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0D4" w:rsidRPr="003678CD" w:rsidRDefault="00F11156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  <w:lang w:val="en-US"/>
        </w:rPr>
      </w:pPr>
      <w:r>
        <w:rPr>
          <w:rFonts w:ascii="Angsana New" w:hAnsi="Angsana New"/>
          <w:b/>
          <w:bCs/>
          <w:sz w:val="48"/>
          <w:szCs w:val="48"/>
          <w:lang w:val="en-US"/>
        </w:rPr>
        <w:t xml:space="preserve"> </w:t>
      </w:r>
      <w:r w:rsidR="003678CD">
        <w:rPr>
          <w:rFonts w:ascii="Angsana New" w:hAnsi="Angsana New"/>
          <w:b/>
          <w:bCs/>
          <w:sz w:val="48"/>
          <w:szCs w:val="48"/>
          <w:lang w:val="en-US"/>
        </w:rPr>
        <w:t xml:space="preserve"> </w:t>
      </w:r>
    </w:p>
    <w:p w:rsidR="009570D4" w:rsidRPr="000A238D" w:rsidRDefault="009570D4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9570D4" w:rsidRPr="00B6627E" w:rsidRDefault="00907FEC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  <w:r w:rsidRPr="00B6627E">
        <w:rPr>
          <w:rFonts w:ascii="Angsana New" w:hAnsi="Angsana New" w:hint="cs"/>
          <w:b/>
          <w:bCs/>
          <w:noProof/>
          <w:sz w:val="48"/>
          <w:szCs w:val="48"/>
          <w:lang w:val="en-US" w:eastAsia="en-US"/>
        </w:rPr>
        <w:drawing>
          <wp:anchor distT="0" distB="0" distL="114300" distR="114300" simplePos="0" relativeHeight="251657728" behindDoc="0" locked="0" layoutInCell="0" allowOverlap="1" wp14:anchorId="4357DC59" wp14:editId="1CAD2996">
            <wp:simplePos x="0" y="0"/>
            <wp:positionH relativeFrom="column">
              <wp:posOffset>2214880</wp:posOffset>
            </wp:positionH>
            <wp:positionV relativeFrom="paragraph">
              <wp:posOffset>150495</wp:posOffset>
            </wp:positionV>
            <wp:extent cx="748030" cy="702310"/>
            <wp:effectExtent l="0" t="0" r="0" b="254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70D4" w:rsidRPr="00B6627E" w:rsidRDefault="009570D4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9570D4" w:rsidRPr="00B6627E" w:rsidRDefault="009570D4" w:rsidP="009570D4">
      <w:pPr>
        <w:pStyle w:val="Header"/>
        <w:jc w:val="center"/>
        <w:rPr>
          <w:rFonts w:ascii="Angsana New" w:hAnsi="Angsana New"/>
          <w:b/>
          <w:bCs/>
          <w:sz w:val="56"/>
          <w:szCs w:val="56"/>
        </w:rPr>
      </w:pPr>
    </w:p>
    <w:p w:rsidR="009570D4" w:rsidRPr="00B6627E" w:rsidRDefault="009570D4" w:rsidP="009570D4">
      <w:pPr>
        <w:pStyle w:val="Header"/>
        <w:jc w:val="center"/>
        <w:rPr>
          <w:rFonts w:ascii="Angsana New" w:hAnsi="Angsana New"/>
          <w:b/>
          <w:bCs/>
          <w:sz w:val="56"/>
          <w:szCs w:val="56"/>
        </w:rPr>
      </w:pPr>
      <w:r w:rsidRPr="00B6627E">
        <w:rPr>
          <w:rFonts w:ascii="Angsana New" w:hAnsi="Angsana New"/>
          <w:b/>
          <w:bCs/>
          <w:sz w:val="56"/>
          <w:szCs w:val="56"/>
          <w:cs/>
        </w:rPr>
        <w:t>บริษัท</w:t>
      </w:r>
      <w:r w:rsidRPr="00B6627E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B6627E">
        <w:rPr>
          <w:rFonts w:ascii="Angsana New" w:hAnsi="Angsana New"/>
          <w:b/>
          <w:bCs/>
          <w:sz w:val="56"/>
          <w:szCs w:val="56"/>
          <w:cs/>
        </w:rPr>
        <w:t>ทีพีไอ</w:t>
      </w:r>
      <w:r w:rsidRPr="00B6627E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B6627E">
        <w:rPr>
          <w:rFonts w:ascii="Angsana New" w:hAnsi="Angsana New"/>
          <w:b/>
          <w:bCs/>
          <w:sz w:val="56"/>
          <w:szCs w:val="56"/>
          <w:cs/>
        </w:rPr>
        <w:t>โพลีน</w:t>
      </w:r>
      <w:r w:rsidRPr="00B6627E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B6627E">
        <w:rPr>
          <w:rFonts w:ascii="Angsana New" w:hAnsi="Angsana New"/>
          <w:b/>
          <w:bCs/>
          <w:sz w:val="56"/>
          <w:szCs w:val="56"/>
          <w:cs/>
        </w:rPr>
        <w:t>จำกัด</w:t>
      </w:r>
      <w:r w:rsidRPr="00B6627E">
        <w:rPr>
          <w:rFonts w:ascii="Angsana New" w:hAnsi="Angsana New"/>
          <w:b/>
          <w:bCs/>
          <w:sz w:val="56"/>
          <w:szCs w:val="56"/>
        </w:rPr>
        <w:t xml:space="preserve"> (</w:t>
      </w:r>
      <w:proofErr w:type="spellStart"/>
      <w:r w:rsidRPr="00B6627E">
        <w:rPr>
          <w:rFonts w:ascii="Angsana New" w:hAnsi="Angsana New"/>
          <w:b/>
          <w:bCs/>
          <w:sz w:val="56"/>
          <w:szCs w:val="56"/>
          <w:cs/>
        </w:rPr>
        <w:t>มหาชน</w:t>
      </w:r>
      <w:proofErr w:type="spellEnd"/>
      <w:r w:rsidRPr="00B6627E">
        <w:rPr>
          <w:rFonts w:ascii="Angsana New" w:hAnsi="Angsana New"/>
          <w:b/>
          <w:bCs/>
          <w:sz w:val="56"/>
          <w:szCs w:val="56"/>
        </w:rPr>
        <w:t>)</w:t>
      </w:r>
    </w:p>
    <w:p w:rsidR="009570D4" w:rsidRPr="00B6627E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sz w:val="32"/>
          <w:szCs w:val="32"/>
          <w:u w:val="single"/>
        </w:rPr>
      </w:pPr>
      <w:r w:rsidRPr="00B6627E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B6627E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B6627E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B6627E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B6627E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B6627E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B6627E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B6627E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B6627E">
        <w:rPr>
          <w:rFonts w:ascii="Angsana New" w:hAnsi="Angsana New" w:cs="Angsana New" w:hint="cs"/>
          <w:sz w:val="32"/>
          <w:szCs w:val="32"/>
          <w:u w:val="single"/>
          <w:cs/>
        </w:rPr>
        <w:tab/>
      </w:r>
    </w:p>
    <w:p w:rsidR="009570D4" w:rsidRPr="00B6627E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9570D4" w:rsidRPr="00B6627E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 w:rsidRPr="00B6627E">
        <w:rPr>
          <w:rFonts w:ascii="Angsana New" w:hAnsi="Angsana New" w:cs="Angsana New"/>
          <w:b/>
          <w:bCs/>
          <w:sz w:val="56"/>
          <w:szCs w:val="56"/>
          <w:cs/>
        </w:rPr>
        <w:t>ส่วนที่</w:t>
      </w:r>
      <w:r w:rsidRPr="00B6627E">
        <w:rPr>
          <w:rFonts w:ascii="Angsana New" w:hAnsi="Angsana New" w:cs="Angsana New" w:hint="cs"/>
          <w:b/>
          <w:bCs/>
          <w:sz w:val="56"/>
          <w:szCs w:val="56"/>
          <w:cs/>
        </w:rPr>
        <w:t xml:space="preserve"> 3</w:t>
      </w:r>
      <w:r w:rsidR="009E5794" w:rsidRPr="00B6627E">
        <w:rPr>
          <w:rFonts w:ascii="Angsana New" w:hAnsi="Angsana New" w:cs="Angsana New"/>
          <w:b/>
          <w:bCs/>
          <w:sz w:val="56"/>
          <w:szCs w:val="56"/>
        </w:rPr>
        <w:t xml:space="preserve"> </w:t>
      </w:r>
      <w:r w:rsidR="0012369E" w:rsidRPr="00B6627E">
        <w:rPr>
          <w:rFonts w:ascii="Angsana New" w:hAnsi="Angsana New" w:cs="Angsana New"/>
          <w:b/>
          <w:bCs/>
          <w:sz w:val="56"/>
          <w:szCs w:val="56"/>
        </w:rPr>
        <w:t xml:space="preserve"> </w:t>
      </w:r>
      <w:r w:rsidR="003B7CB6" w:rsidRPr="00B6627E">
        <w:rPr>
          <w:rFonts w:ascii="Angsana New" w:hAnsi="Angsana New" w:cs="Angsana New"/>
          <w:b/>
          <w:bCs/>
          <w:sz w:val="56"/>
          <w:szCs w:val="56"/>
        </w:rPr>
        <w:t xml:space="preserve"> </w:t>
      </w:r>
      <w:r w:rsidR="00250561" w:rsidRPr="00B6627E">
        <w:rPr>
          <w:rFonts w:ascii="Angsana New" w:hAnsi="Angsana New" w:cs="Angsana New"/>
          <w:b/>
          <w:bCs/>
          <w:sz w:val="56"/>
          <w:szCs w:val="56"/>
        </w:rPr>
        <w:t xml:space="preserve"> </w:t>
      </w:r>
    </w:p>
    <w:p w:rsidR="009570D4" w:rsidRPr="00B6627E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 w:rsidRPr="00B6627E">
        <w:rPr>
          <w:rFonts w:ascii="Angsana New" w:hAnsi="Angsana New" w:cs="Angsana New" w:hint="cs"/>
          <w:b/>
          <w:bCs/>
          <w:sz w:val="56"/>
          <w:szCs w:val="56"/>
          <w:cs/>
        </w:rPr>
        <w:t>ฐานะทางการเงินและผลการดำเนินงาน</w:t>
      </w:r>
    </w:p>
    <w:p w:rsidR="00077DCB" w:rsidRPr="00B6627E" w:rsidRDefault="00077DCB">
      <w:pPr>
        <w:tabs>
          <w:tab w:val="left" w:pos="567"/>
          <w:tab w:val="left" w:pos="3544"/>
          <w:tab w:val="left" w:pos="3686"/>
          <w:tab w:val="left" w:pos="3969"/>
        </w:tabs>
        <w:jc w:val="both"/>
        <w:rPr>
          <w:rFonts w:ascii="Angsana New" w:hAnsi="Angsana New" w:cs="Angsana New"/>
          <w:b/>
          <w:bCs/>
          <w:sz w:val="32"/>
          <w:szCs w:val="32"/>
          <w:cs/>
        </w:rPr>
        <w:sectPr w:rsidR="00077DCB" w:rsidRPr="00B6627E" w:rsidSect="00EC7990">
          <w:headerReference w:type="default" r:id="rId10"/>
          <w:footerReference w:type="even" r:id="rId11"/>
          <w:footerReference w:type="default" r:id="rId12"/>
          <w:pgSz w:w="11906" w:h="16838"/>
          <w:pgMar w:top="1440" w:right="1556" w:bottom="1361" w:left="1797" w:header="720" w:footer="720" w:gutter="0"/>
          <w:pgNumType w:start="65"/>
          <w:cols w:space="720"/>
        </w:sectPr>
      </w:pPr>
    </w:p>
    <w:p w:rsidR="002F53EE" w:rsidRPr="00B6627E" w:rsidRDefault="00767E5D">
      <w:pPr>
        <w:tabs>
          <w:tab w:val="left" w:pos="567"/>
          <w:tab w:val="left" w:pos="3544"/>
          <w:tab w:val="left" w:pos="3686"/>
          <w:tab w:val="left" w:pos="3969"/>
        </w:tabs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6627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ED781F" w:rsidRPr="00B6627E">
        <w:rPr>
          <w:rFonts w:ascii="Angsana New" w:hAnsi="Angsana New" w:cs="Angsana New" w:hint="cs"/>
          <w:b/>
          <w:bCs/>
          <w:sz w:val="32"/>
          <w:szCs w:val="32"/>
          <w:cs/>
        </w:rPr>
        <w:t>3.</w:t>
      </w:r>
      <w:r w:rsidR="002F53EE" w:rsidRPr="00B6627E">
        <w:rPr>
          <w:rFonts w:ascii="Angsana New" w:hAnsi="Angsana New" w:cs="Angsana New"/>
          <w:b/>
          <w:bCs/>
          <w:sz w:val="32"/>
          <w:szCs w:val="32"/>
        </w:rPr>
        <w:tab/>
      </w:r>
      <w:r w:rsidR="00ED781F" w:rsidRPr="00B6627E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ข้อมูลทางการเงินที่สำคัญ</w:t>
      </w:r>
    </w:p>
    <w:p w:rsidR="00BF73F0" w:rsidRPr="00B6627E" w:rsidRDefault="002F53EE" w:rsidP="00BF73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1134"/>
        </w:tabs>
        <w:spacing w:before="120" w:after="120"/>
        <w:jc w:val="both"/>
        <w:rPr>
          <w:rFonts w:ascii="Angsana New" w:hAnsi="Angsana New" w:cs="Angsana New"/>
          <w:b/>
          <w:bCs/>
          <w:sz w:val="26"/>
          <w:szCs w:val="26"/>
          <w:cs/>
        </w:rPr>
      </w:pPr>
      <w:r w:rsidRPr="00B6627E">
        <w:rPr>
          <w:rFonts w:ascii="Angsana New" w:hAnsi="Angsana New" w:cs="Angsana New"/>
          <w:b/>
          <w:bCs/>
          <w:sz w:val="26"/>
          <w:szCs w:val="26"/>
          <w:cs/>
        </w:rPr>
        <w:tab/>
      </w:r>
      <w:r w:rsidR="00BF73F0" w:rsidRPr="00B6627E">
        <w:rPr>
          <w:rFonts w:ascii="Angsana New" w:hAnsi="Angsana New" w:cs="Angsana New"/>
          <w:b/>
          <w:bCs/>
          <w:sz w:val="26"/>
          <w:szCs w:val="26"/>
        </w:rPr>
        <w:t>13.1</w:t>
      </w:r>
      <w:r w:rsidR="00BF73F0" w:rsidRPr="00B6627E">
        <w:rPr>
          <w:rFonts w:ascii="Angsana New" w:hAnsi="Angsana New" w:cs="Angsana New"/>
          <w:b/>
          <w:bCs/>
          <w:sz w:val="26"/>
          <w:szCs w:val="26"/>
          <w:cs/>
        </w:rPr>
        <w:tab/>
      </w:r>
      <w:r w:rsidR="00BF73F0" w:rsidRPr="00B6627E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งบการเงิน</w:t>
      </w:r>
      <w:r w:rsidR="00BF73F0" w:rsidRPr="00B6627E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</w:t>
      </w:r>
    </w:p>
    <w:p w:rsidR="00BF73F0" w:rsidRPr="00B6627E" w:rsidRDefault="00BF73F0" w:rsidP="00BF18A6">
      <w:pPr>
        <w:tabs>
          <w:tab w:val="left" w:pos="720"/>
          <w:tab w:val="left" w:pos="2160"/>
          <w:tab w:val="left" w:pos="2880"/>
          <w:tab w:val="left" w:pos="3600"/>
          <w:tab w:val="center" w:pos="4756"/>
        </w:tabs>
        <w:spacing w:after="120" w:line="216" w:lineRule="auto"/>
        <w:ind w:left="1134" w:hanging="567"/>
        <w:jc w:val="both"/>
        <w:rPr>
          <w:rFonts w:ascii="Angsana New" w:hAnsi="Angsana New" w:cs="Angsana New"/>
          <w:sz w:val="16"/>
          <w:szCs w:val="16"/>
        </w:rPr>
      </w:pPr>
      <w:r w:rsidRPr="00B6627E">
        <w:rPr>
          <w:rFonts w:ascii="Angsana New" w:hAnsi="Angsana New" w:cs="Angsana New"/>
          <w:sz w:val="26"/>
          <w:szCs w:val="26"/>
        </w:rPr>
        <w:t>13.1.1</w:t>
      </w:r>
      <w:r w:rsidRPr="00B6627E">
        <w:rPr>
          <w:rFonts w:ascii="Angsana New" w:hAnsi="Angsana New" w:cs="Angsana New"/>
          <w:sz w:val="26"/>
          <w:szCs w:val="26"/>
        </w:rPr>
        <w:tab/>
      </w:r>
      <w:r w:rsidRPr="00B6627E">
        <w:rPr>
          <w:rFonts w:ascii="Angsana New" w:hAnsi="Angsana New" w:cs="Angsana New"/>
          <w:sz w:val="26"/>
          <w:szCs w:val="26"/>
          <w:cs/>
        </w:rPr>
        <w:t>สรุปรายงานการสอบบัญชี</w:t>
      </w:r>
      <w:r w:rsidRPr="00B6627E">
        <w:rPr>
          <w:rFonts w:ascii="Angsana New" w:hAnsi="Angsana New" w:cs="Angsana New"/>
          <w:sz w:val="26"/>
          <w:szCs w:val="26"/>
        </w:rPr>
        <w:t xml:space="preserve"> 3 </w:t>
      </w:r>
      <w:r w:rsidRPr="00B6627E">
        <w:rPr>
          <w:rFonts w:ascii="Angsana New" w:hAnsi="Angsana New" w:cs="Angsana New"/>
          <w:sz w:val="26"/>
          <w:szCs w:val="26"/>
          <w:cs/>
        </w:rPr>
        <w:t>ปี</w:t>
      </w:r>
      <w:r w:rsidR="00EC27CD" w:rsidRPr="00B6627E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6D0738" w:rsidRPr="00B6627E">
        <w:rPr>
          <w:rFonts w:ascii="Angsana New" w:hAnsi="Angsana New" w:cs="Angsana New"/>
          <w:sz w:val="16"/>
          <w:szCs w:val="16"/>
        </w:rPr>
        <w:t xml:space="preserve"> </w:t>
      </w:r>
    </w:p>
    <w:tbl>
      <w:tblPr>
        <w:tblW w:w="773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126"/>
        <w:gridCol w:w="2127"/>
        <w:gridCol w:w="1134"/>
        <w:gridCol w:w="1134"/>
        <w:gridCol w:w="1212"/>
      </w:tblGrid>
      <w:tr w:rsidR="005F6EE4" w:rsidRPr="00B6627E" w:rsidTr="005F6EE4">
        <w:trPr>
          <w:trHeight w:val="13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:rsidR="005F6EE4" w:rsidRPr="00B6627E" w:rsidRDefault="005F6EE4" w:rsidP="005E7B79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6627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ชื่อผู้สอบบัญชี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:rsidR="005F6EE4" w:rsidRPr="00B6627E" w:rsidRDefault="005F6EE4" w:rsidP="005E7B79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6627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สำนักงานสอบบัญชี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:rsidR="005F6EE4" w:rsidRPr="00B6627E" w:rsidRDefault="005F6EE4" w:rsidP="005E7B79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662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:rsidR="005F6EE4" w:rsidRPr="00B6627E" w:rsidRDefault="005F6EE4" w:rsidP="005E7B79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662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:rsidR="005F6EE4" w:rsidRPr="00B6627E" w:rsidRDefault="005F6EE4" w:rsidP="005E7B79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6627E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2A7515" w:rsidRPr="00B6627E" w:rsidTr="005F6EE4">
        <w:trPr>
          <w:trHeight w:val="141"/>
        </w:trPr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2A7515" w:rsidRPr="00B6627E" w:rsidRDefault="002A7515" w:rsidP="005E7B79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2A7515" w:rsidRPr="00B6627E" w:rsidRDefault="002A7515" w:rsidP="005E7B79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2A7515" w:rsidRPr="00B6627E" w:rsidRDefault="002A7515" w:rsidP="005E7B79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6627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งบตรวจสอบ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2A7515" w:rsidRPr="00B6627E" w:rsidRDefault="002A7515" w:rsidP="005E7B79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6627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งบตรวจสอบ</w:t>
            </w:r>
          </w:p>
        </w:tc>
        <w:tc>
          <w:tcPr>
            <w:tcW w:w="12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2A7515" w:rsidRPr="00B6627E" w:rsidRDefault="002A7515" w:rsidP="00D448EE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6627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งบตรวจสอบ</w:t>
            </w:r>
          </w:p>
        </w:tc>
      </w:tr>
      <w:tr w:rsidR="002A7515" w:rsidRPr="00B6627E" w:rsidTr="005F6EE4">
        <w:tc>
          <w:tcPr>
            <w:tcW w:w="21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A7515" w:rsidRPr="00B6627E" w:rsidRDefault="002A7515" w:rsidP="005E7B79">
            <w:pPr>
              <w:spacing w:line="204" w:lineRule="auto"/>
              <w:ind w:left="-57" w:right="-57"/>
              <w:rPr>
                <w:rFonts w:ascii="Angsana New" w:hAnsi="Angsana New" w:cs="Angsana New"/>
                <w:sz w:val="26"/>
                <w:szCs w:val="26"/>
              </w:rPr>
            </w:pPr>
            <w:r w:rsidRPr="00B6627E">
              <w:rPr>
                <w:rFonts w:ascii="Angsana New" w:hAnsi="Angsana New" w:cs="Angsana New"/>
                <w:sz w:val="26"/>
                <w:szCs w:val="26"/>
                <w:cs/>
              </w:rPr>
              <w:t>นาย</w:t>
            </w:r>
            <w:r w:rsidRPr="00B6627E">
              <w:rPr>
                <w:rFonts w:ascii="Angsana New" w:hAnsi="Angsana New" w:cs="Angsana New" w:hint="cs"/>
                <w:sz w:val="26"/>
                <w:szCs w:val="26"/>
                <w:cs/>
              </w:rPr>
              <w:t>บุญญฤทธิ์  ถนอมเจริญ</w:t>
            </w:r>
          </w:p>
        </w:tc>
        <w:tc>
          <w:tcPr>
            <w:tcW w:w="212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A7515" w:rsidRPr="00B6627E" w:rsidRDefault="002A7515" w:rsidP="005E7B79">
            <w:pPr>
              <w:spacing w:line="204" w:lineRule="auto"/>
              <w:ind w:left="-57" w:right="-57"/>
              <w:rPr>
                <w:rFonts w:ascii="Angsana New" w:hAnsi="Angsana New" w:cs="Angsana New"/>
                <w:sz w:val="26"/>
                <w:szCs w:val="26"/>
              </w:rPr>
            </w:pPr>
            <w:r w:rsidRPr="00B6627E">
              <w:rPr>
                <w:rFonts w:ascii="Angsana New" w:hAnsi="Angsana New" w:cs="Angsana New"/>
                <w:sz w:val="26"/>
                <w:szCs w:val="26"/>
                <w:cs/>
              </w:rPr>
              <w:t>บ</w:t>
            </w:r>
            <w:r w:rsidRPr="00B6627E">
              <w:rPr>
                <w:rFonts w:ascii="Angsana New" w:hAnsi="Angsana New" w:cs="Angsana New" w:hint="cs"/>
                <w:sz w:val="26"/>
                <w:szCs w:val="26"/>
                <w:cs/>
              </w:rPr>
              <w:t>ริษัท</w:t>
            </w:r>
            <w:r w:rsidRPr="00B6627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6627E">
              <w:rPr>
                <w:rFonts w:ascii="Angsana New" w:hAnsi="Angsana New" w:cs="Angsana New"/>
                <w:sz w:val="26"/>
                <w:szCs w:val="26"/>
                <w:cs/>
              </w:rPr>
              <w:t>เคพีเอ็มจี</w:t>
            </w:r>
            <w:r w:rsidRPr="00B6627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6627E">
              <w:rPr>
                <w:rFonts w:ascii="Angsana New" w:hAnsi="Angsana New" w:cs="Angsana New"/>
                <w:sz w:val="26"/>
                <w:szCs w:val="26"/>
                <w:cs/>
              </w:rPr>
              <w:t>ภูมิไชยสอบบัญชี</w:t>
            </w:r>
            <w:r w:rsidRPr="00B6627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6627E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A7515" w:rsidRPr="00B6627E" w:rsidRDefault="002A7515" w:rsidP="005E7B79">
            <w:pPr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627E">
              <w:rPr>
                <w:rFonts w:ascii="Angsana New" w:hAnsi="Angsana New" w:cs="Angsana New"/>
                <w:sz w:val="26"/>
                <w:szCs w:val="26"/>
                <w:cs/>
              </w:rPr>
              <w:t>แสดงความเห็น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A7515" w:rsidRPr="00B6627E" w:rsidRDefault="002A7515" w:rsidP="005E7B79">
            <w:pPr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627E">
              <w:rPr>
                <w:rFonts w:ascii="Angsana New" w:hAnsi="Angsana New" w:cs="Angsana New"/>
                <w:sz w:val="26"/>
                <w:szCs w:val="26"/>
                <w:cs/>
              </w:rPr>
              <w:t>แสดงความเห็น</w:t>
            </w:r>
          </w:p>
        </w:tc>
        <w:tc>
          <w:tcPr>
            <w:tcW w:w="121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A7515" w:rsidRPr="00B6627E" w:rsidRDefault="002A7515" w:rsidP="005E7B79">
            <w:pPr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627E">
              <w:rPr>
                <w:rFonts w:ascii="Angsana New" w:hAnsi="Angsana New" w:cs="Angsana New"/>
                <w:sz w:val="26"/>
                <w:szCs w:val="26"/>
                <w:cs/>
              </w:rPr>
              <w:t>แสดงความเห็น</w:t>
            </w:r>
          </w:p>
        </w:tc>
      </w:tr>
    </w:tbl>
    <w:p w:rsidR="00BF73F0" w:rsidRPr="00B6627E" w:rsidRDefault="00BF73F0" w:rsidP="00BF18A6">
      <w:pPr>
        <w:tabs>
          <w:tab w:val="left" w:pos="1701"/>
        </w:tabs>
        <w:spacing w:before="120" w:after="120" w:line="216" w:lineRule="auto"/>
        <w:ind w:firstLine="567"/>
        <w:jc w:val="thaiDistribute"/>
        <w:rPr>
          <w:rFonts w:ascii="Angsana New" w:eastAsia="Times New Roman" w:hAnsi="Angsana New" w:cs="Angsana New"/>
          <w:b/>
          <w:bCs/>
          <w:color w:val="FF0000"/>
          <w:sz w:val="26"/>
          <w:szCs w:val="26"/>
          <w:u w:val="single"/>
        </w:rPr>
      </w:pPr>
      <w:r w:rsidRPr="00B6627E">
        <w:rPr>
          <w:rFonts w:ascii="Angsana New" w:eastAsia="Times New Roman" w:hAnsi="Angsana New" w:cs="Angsana New"/>
          <w:sz w:val="26"/>
          <w:szCs w:val="26"/>
        </w:rPr>
        <w:t>13.1.2</w:t>
      </w:r>
      <w:r w:rsidRPr="00B6627E">
        <w:rPr>
          <w:rFonts w:ascii="Angsana New" w:eastAsia="Times New Roman" w:hAnsi="Angsana New" w:cs="Angsana New"/>
          <w:sz w:val="26"/>
          <w:szCs w:val="26"/>
          <w:cs/>
        </w:rPr>
        <w:t xml:space="preserve">   ตารางสรุปงบการเงินรวมและอัตราส่วนทางการเงินที่สำคัญ</w:t>
      </w:r>
      <w:r w:rsidR="00EC27CD" w:rsidRPr="00B6627E">
        <w:rPr>
          <w:rFonts w:ascii="Angsana New" w:eastAsia="Times New Roman" w:hAnsi="Angsana New" w:cs="Angsana New" w:hint="cs"/>
          <w:color w:val="FF0000"/>
          <w:sz w:val="26"/>
          <w:szCs w:val="26"/>
          <w:cs/>
        </w:rPr>
        <w:t xml:space="preserve"> </w:t>
      </w:r>
    </w:p>
    <w:tbl>
      <w:tblPr>
        <w:tblW w:w="9227" w:type="dxa"/>
        <w:jc w:val="center"/>
        <w:tblInd w:w="1889" w:type="dxa"/>
        <w:tblLayout w:type="fixed"/>
        <w:tblLook w:val="0000" w:firstRow="0" w:lastRow="0" w:firstColumn="0" w:lastColumn="0" w:noHBand="0" w:noVBand="0"/>
      </w:tblPr>
      <w:tblGrid>
        <w:gridCol w:w="4808"/>
        <w:gridCol w:w="1360"/>
        <w:gridCol w:w="1189"/>
        <w:gridCol w:w="962"/>
        <w:gridCol w:w="908"/>
      </w:tblGrid>
      <w:tr w:rsidR="009913F3" w:rsidRPr="00B6627E" w:rsidTr="009913F3">
        <w:trPr>
          <w:trHeight w:val="327"/>
          <w:jc w:val="center"/>
        </w:trPr>
        <w:tc>
          <w:tcPr>
            <w:tcW w:w="4808" w:type="dxa"/>
            <w:tcBorders>
              <w:top w:val="single" w:sz="4" w:space="0" w:color="auto"/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ind w:left="176"/>
              <w:jc w:val="center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หน่วย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2559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2560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  <w:tcBorders>
              <w:top w:val="single" w:sz="4" w:space="0" w:color="auto"/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ind w:left="176" w:hanging="176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ผลการดำเนินงาน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360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89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31,492</w:t>
            </w:r>
          </w:p>
        </w:tc>
        <w:tc>
          <w:tcPr>
            <w:tcW w:w="962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30,996</w:t>
            </w:r>
          </w:p>
        </w:tc>
        <w:tc>
          <w:tcPr>
            <w:tcW w:w="9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37,315</w:t>
            </w: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ind w:right="-108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รายได้จากการขาย</w:t>
            </w:r>
          </w:p>
        </w:tc>
        <w:tc>
          <w:tcPr>
            <w:tcW w:w="1360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89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29,128</w:t>
            </w:r>
          </w:p>
        </w:tc>
        <w:tc>
          <w:tcPr>
            <w:tcW w:w="962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29,088</w:t>
            </w:r>
          </w:p>
        </w:tc>
        <w:tc>
          <w:tcPr>
            <w:tcW w:w="9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34,993</w:t>
            </w: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กำไรขั้นต้น</w:t>
            </w:r>
          </w:p>
        </w:tc>
        <w:tc>
          <w:tcPr>
            <w:tcW w:w="1360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89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4,813</w:t>
            </w:r>
          </w:p>
        </w:tc>
        <w:tc>
          <w:tcPr>
            <w:tcW w:w="962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4,593</w:t>
            </w:r>
          </w:p>
        </w:tc>
        <w:tc>
          <w:tcPr>
            <w:tcW w:w="9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6,975</w:t>
            </w: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กำไร(ขาดทุน)  จากการดำเนินงาน 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(ก่อนหักดอกเบี้ยจ่าย และภาษีเงินได้)</w:t>
            </w:r>
          </w:p>
        </w:tc>
        <w:tc>
          <w:tcPr>
            <w:tcW w:w="1360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89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1,138</w:t>
            </w:r>
          </w:p>
        </w:tc>
        <w:tc>
          <w:tcPr>
            <w:tcW w:w="962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547</w:t>
            </w:r>
          </w:p>
        </w:tc>
        <w:tc>
          <w:tcPr>
            <w:tcW w:w="9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2,980</w:t>
            </w: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กำไร(ขาดทุน)  จากการดำเนินงาน 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(หลังหักดอกเบี้ยจ่าย ก่อนหักภาษีเงินได้)</w:t>
            </w:r>
          </w:p>
        </w:tc>
        <w:tc>
          <w:tcPr>
            <w:tcW w:w="1360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89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(511)</w:t>
            </w:r>
          </w:p>
        </w:tc>
        <w:tc>
          <w:tcPr>
            <w:tcW w:w="962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(1,100)</w:t>
            </w:r>
          </w:p>
        </w:tc>
        <w:tc>
          <w:tcPr>
            <w:tcW w:w="9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1,261</w:t>
            </w: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1360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89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962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(696)</w:t>
            </w:r>
          </w:p>
        </w:tc>
        <w:tc>
          <w:tcPr>
            <w:tcW w:w="9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1,425</w:t>
            </w: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  <w:tcBorders>
              <w:top w:val="single" w:sz="4" w:space="0" w:color="auto"/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ฐานะทางการเงิน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สินทรัพย์รวม</w:t>
            </w:r>
          </w:p>
        </w:tc>
        <w:tc>
          <w:tcPr>
            <w:tcW w:w="1360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89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92,618</w:t>
            </w:r>
          </w:p>
        </w:tc>
        <w:tc>
          <w:tcPr>
            <w:tcW w:w="962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103,178</w:t>
            </w:r>
          </w:p>
        </w:tc>
        <w:tc>
          <w:tcPr>
            <w:tcW w:w="9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110,488</w:t>
            </w: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360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89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19,549</w:t>
            </w:r>
          </w:p>
        </w:tc>
        <w:tc>
          <w:tcPr>
            <w:tcW w:w="962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24,195</w:t>
            </w:r>
          </w:p>
        </w:tc>
        <w:tc>
          <w:tcPr>
            <w:tcW w:w="9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28,391</w:t>
            </w: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หนี้สินรวม</w:t>
            </w:r>
          </w:p>
        </w:tc>
        <w:tc>
          <w:tcPr>
            <w:tcW w:w="1360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89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55,864</w:t>
            </w:r>
          </w:p>
        </w:tc>
        <w:tc>
          <w:tcPr>
            <w:tcW w:w="962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51,092</w:t>
            </w:r>
          </w:p>
        </w:tc>
        <w:tc>
          <w:tcPr>
            <w:tcW w:w="9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59,551</w:t>
            </w: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360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89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46,609</w:t>
            </w:r>
          </w:p>
        </w:tc>
        <w:tc>
          <w:tcPr>
            <w:tcW w:w="962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40,972</w:t>
            </w:r>
          </w:p>
        </w:tc>
        <w:tc>
          <w:tcPr>
            <w:tcW w:w="9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50,457</w:t>
            </w: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ส่วนของผู้ถือหุ้น</w:t>
            </w:r>
          </w:p>
        </w:tc>
        <w:tc>
          <w:tcPr>
            <w:tcW w:w="1360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89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36,755</w:t>
            </w:r>
          </w:p>
        </w:tc>
        <w:tc>
          <w:tcPr>
            <w:tcW w:w="962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52,086</w:t>
            </w:r>
          </w:p>
        </w:tc>
        <w:tc>
          <w:tcPr>
            <w:tcW w:w="9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50,937</w:t>
            </w: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  <w:tcBorders>
              <w:top w:val="single" w:sz="4" w:space="0" w:color="auto"/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อัตราส่วนทางการเงินที่สำคัญ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อัตรากำไรขั้นต้น </w:t>
            </w:r>
          </w:p>
        </w:tc>
        <w:tc>
          <w:tcPr>
            <w:tcW w:w="1360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(%)</w:t>
            </w:r>
          </w:p>
        </w:tc>
        <w:tc>
          <w:tcPr>
            <w:tcW w:w="1189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16.52</w:t>
            </w:r>
          </w:p>
        </w:tc>
        <w:tc>
          <w:tcPr>
            <w:tcW w:w="962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15.79</w:t>
            </w:r>
          </w:p>
        </w:tc>
        <w:tc>
          <w:tcPr>
            <w:tcW w:w="9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19.93</w:t>
            </w: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อัตรากำไรสุทธิ </w:t>
            </w:r>
          </w:p>
        </w:tc>
        <w:tc>
          <w:tcPr>
            <w:tcW w:w="1360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(%)</w:t>
            </w:r>
          </w:p>
        </w:tc>
        <w:tc>
          <w:tcPr>
            <w:tcW w:w="1189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1.63</w:t>
            </w:r>
          </w:p>
        </w:tc>
        <w:tc>
          <w:tcPr>
            <w:tcW w:w="962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(2.25)</w:t>
            </w:r>
          </w:p>
        </w:tc>
        <w:tc>
          <w:tcPr>
            <w:tcW w:w="9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3.82</w:t>
            </w: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จำนวนทุนจดทะเบียนชำระแล้ว</w:t>
            </w:r>
          </w:p>
        </w:tc>
        <w:tc>
          <w:tcPr>
            <w:tcW w:w="1360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89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20,190</w:t>
            </w:r>
          </w:p>
        </w:tc>
        <w:tc>
          <w:tcPr>
            <w:tcW w:w="962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20,190</w:t>
            </w:r>
          </w:p>
        </w:tc>
        <w:tc>
          <w:tcPr>
            <w:tcW w:w="9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20,190</w:t>
            </w: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มูลค่าที่ตราไว้ต่อหุ้น</w:t>
            </w:r>
          </w:p>
        </w:tc>
        <w:tc>
          <w:tcPr>
            <w:tcW w:w="1360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B662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89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6627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62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1.00</w:t>
            </w:r>
          </w:p>
        </w:tc>
        <w:tc>
          <w:tcPr>
            <w:tcW w:w="9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1.00</w:t>
            </w: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มูลค่าตามบัญชีต่อหุ้น </w:t>
            </w:r>
          </w:p>
        </w:tc>
        <w:tc>
          <w:tcPr>
            <w:tcW w:w="1360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B662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89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6627E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962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 xml:space="preserve">   2.61**</w:t>
            </w:r>
          </w:p>
        </w:tc>
        <w:tc>
          <w:tcPr>
            <w:tcW w:w="9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2.63**</w:t>
            </w: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กำไรสุทธิต่อหุ้น </w:t>
            </w:r>
          </w:p>
        </w:tc>
        <w:tc>
          <w:tcPr>
            <w:tcW w:w="1360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B662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89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6627E">
              <w:rPr>
                <w:rFonts w:asciiTheme="majorBidi" w:hAnsiTheme="majorBidi" w:cstheme="majorBidi"/>
                <w:sz w:val="26"/>
                <w:szCs w:val="26"/>
              </w:rPr>
              <w:t>026</w:t>
            </w:r>
          </w:p>
        </w:tc>
        <w:tc>
          <w:tcPr>
            <w:tcW w:w="962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(0.063)</w:t>
            </w:r>
          </w:p>
        </w:tc>
        <w:tc>
          <w:tcPr>
            <w:tcW w:w="9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0.016</w:t>
            </w: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เงินปันผลจ่ายต่อหุ้น</w:t>
            </w:r>
          </w:p>
        </w:tc>
        <w:tc>
          <w:tcPr>
            <w:tcW w:w="1360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B662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89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962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9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อัตราการจ่ายเงินปันผลต่อกำไรสุทธิ *</w:t>
            </w:r>
          </w:p>
        </w:tc>
        <w:tc>
          <w:tcPr>
            <w:tcW w:w="1360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89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29.85</w:t>
            </w:r>
          </w:p>
        </w:tc>
        <w:tc>
          <w:tcPr>
            <w:tcW w:w="962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N/A</w:t>
            </w:r>
          </w:p>
        </w:tc>
        <w:tc>
          <w:tcPr>
            <w:tcW w:w="9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153.85</w:t>
            </w: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360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เท่า</w:t>
            </w:r>
            <w:r w:rsidRPr="00B662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89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1.52</w:t>
            </w:r>
          </w:p>
        </w:tc>
        <w:tc>
          <w:tcPr>
            <w:tcW w:w="962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0.98</w:t>
            </w:r>
          </w:p>
        </w:tc>
        <w:tc>
          <w:tcPr>
            <w:tcW w:w="9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1.17</w:t>
            </w:r>
          </w:p>
        </w:tc>
      </w:tr>
      <w:tr w:rsidR="009913F3" w:rsidRPr="00B6627E" w:rsidTr="009913F3">
        <w:trPr>
          <w:jc w:val="center"/>
        </w:trPr>
        <w:tc>
          <w:tcPr>
            <w:tcW w:w="48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อัตราส่วนหนี้สิน (สุทธิ) ต่อส่วนของผู้ถือหุ้น</w:t>
            </w:r>
            <w:r w:rsidRPr="00B6627E">
              <w:rPr>
                <w:rFonts w:asciiTheme="majorBidi" w:hAnsiTheme="majorBidi" w:cstheme="majorBidi"/>
                <w:sz w:val="26"/>
                <w:szCs w:val="26"/>
              </w:rPr>
              <w:t>**</w:t>
            </w:r>
            <w:r w:rsidR="00EC4806" w:rsidRPr="00B6627E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360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เท่า</w:t>
            </w:r>
            <w:r w:rsidRPr="00B662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89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1.42</w:t>
            </w:r>
          </w:p>
        </w:tc>
        <w:tc>
          <w:tcPr>
            <w:tcW w:w="962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0.85</w:t>
            </w:r>
          </w:p>
        </w:tc>
        <w:tc>
          <w:tcPr>
            <w:tcW w:w="9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1.00</w:t>
            </w:r>
          </w:p>
        </w:tc>
      </w:tr>
      <w:tr w:rsidR="009913F3" w:rsidRPr="00B6627E" w:rsidTr="009913F3">
        <w:trPr>
          <w:trHeight w:val="297"/>
          <w:jc w:val="center"/>
        </w:trPr>
        <w:tc>
          <w:tcPr>
            <w:tcW w:w="48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อัตราส่วนหนี้สินที่มีภาระดอกเบี้ยต่อส่วนของผู้ถือหุ้น </w:t>
            </w:r>
          </w:p>
        </w:tc>
        <w:tc>
          <w:tcPr>
            <w:tcW w:w="1360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เท่า</w:t>
            </w:r>
            <w:r w:rsidRPr="00B662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89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1.27</w:t>
            </w:r>
          </w:p>
        </w:tc>
        <w:tc>
          <w:tcPr>
            <w:tcW w:w="962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0.79</w:t>
            </w:r>
          </w:p>
        </w:tc>
        <w:tc>
          <w:tcPr>
            <w:tcW w:w="908" w:type="dxa"/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0.99</w:t>
            </w:r>
          </w:p>
        </w:tc>
      </w:tr>
      <w:tr w:rsidR="009913F3" w:rsidRPr="00B6627E" w:rsidTr="009913F3">
        <w:trPr>
          <w:trHeight w:val="297"/>
          <w:jc w:val="center"/>
        </w:trPr>
        <w:tc>
          <w:tcPr>
            <w:tcW w:w="4808" w:type="dxa"/>
            <w:tcBorders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อัตราส่วนหนี้สินที่มีภาระดอกเบี้ย (สุทธิ) ต่อส่วนของผู้ถือหุ้น**</w:t>
            </w:r>
            <w:r w:rsidR="00EC4806" w:rsidRPr="00B6627E">
              <w:rPr>
                <w:rFonts w:asciiTheme="majorBidi" w:hAnsiTheme="majorBidi" w:cstheme="majorBidi" w:hint="cs"/>
                <w:sz w:val="26"/>
                <w:szCs w:val="26"/>
                <w:cs/>
              </w:rPr>
              <w:t>*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เท่า</w:t>
            </w:r>
            <w:r w:rsidRPr="00B662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1.17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0.66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:rsidR="009913F3" w:rsidRPr="00B6627E" w:rsidRDefault="009913F3" w:rsidP="004F5E48">
            <w:pPr>
              <w:tabs>
                <w:tab w:val="left" w:pos="2977"/>
              </w:tabs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0.82</w:t>
            </w:r>
          </w:p>
        </w:tc>
      </w:tr>
    </w:tbl>
    <w:p w:rsidR="009913F3" w:rsidRPr="00B6627E" w:rsidRDefault="009913F3" w:rsidP="00EC4806">
      <w:pPr>
        <w:spacing w:before="40" w:line="180" w:lineRule="auto"/>
        <w:jc w:val="thaiDistribute"/>
        <w:rPr>
          <w:rFonts w:asciiTheme="majorBidi" w:hAnsiTheme="majorBidi" w:cstheme="majorBidi"/>
          <w:color w:val="000000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/>
          <w:sz w:val="26"/>
          <w:szCs w:val="26"/>
          <w:cs/>
          <w:lang w:val="x-none" w:eastAsia="x-none"/>
        </w:rPr>
        <w:t xml:space="preserve">              </w:t>
      </w:r>
      <w:r w:rsidRPr="00B6627E">
        <w:rPr>
          <w:rFonts w:asciiTheme="majorBidi" w:hAnsiTheme="majorBidi" w:cstheme="majorBidi"/>
          <w:color w:val="000000"/>
          <w:sz w:val="26"/>
          <w:szCs w:val="26"/>
          <w:u w:val="single"/>
          <w:cs/>
          <w:lang w:val="x-none" w:eastAsia="x-none"/>
        </w:rPr>
        <w:t>หมายเหตุ</w:t>
      </w:r>
      <w:r w:rsidRPr="00B6627E">
        <w:rPr>
          <w:rFonts w:asciiTheme="majorBidi" w:hAnsiTheme="majorBidi" w:cstheme="majorBidi"/>
          <w:color w:val="000000"/>
          <w:sz w:val="26"/>
          <w:szCs w:val="26"/>
          <w:cs/>
          <w:lang w:val="x-none" w:eastAsia="x-none"/>
        </w:rPr>
        <w:t xml:space="preserve"> </w:t>
      </w:r>
      <w:r w:rsidRPr="00B6627E">
        <w:rPr>
          <w:rFonts w:asciiTheme="majorBidi" w:hAnsiTheme="majorBidi" w:cstheme="majorBidi"/>
          <w:color w:val="000000"/>
          <w:sz w:val="26"/>
          <w:szCs w:val="26"/>
          <w:lang w:eastAsia="x-none"/>
        </w:rPr>
        <w:t xml:space="preserve">   </w:t>
      </w:r>
      <w:r w:rsidR="009E7CA0" w:rsidRPr="00B6627E">
        <w:rPr>
          <w:rFonts w:asciiTheme="majorBidi" w:hAnsiTheme="majorBidi" w:cstheme="majorBidi"/>
          <w:color w:val="000000"/>
          <w:sz w:val="26"/>
          <w:szCs w:val="26"/>
          <w:lang w:eastAsia="x-none"/>
        </w:rPr>
        <w:t xml:space="preserve">    </w:t>
      </w:r>
      <w:r w:rsidRPr="00B6627E">
        <w:rPr>
          <w:rFonts w:asciiTheme="majorBidi" w:hAnsiTheme="majorBidi" w:cstheme="majorBidi"/>
          <w:color w:val="000000"/>
          <w:sz w:val="26"/>
          <w:szCs w:val="26"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/>
          <w:sz w:val="26"/>
          <w:szCs w:val="26"/>
          <w:cs/>
          <w:lang w:val="x-none" w:eastAsia="x-none"/>
        </w:rPr>
        <w:t xml:space="preserve">* </w:t>
      </w:r>
      <w:r w:rsidRPr="00B6627E">
        <w:rPr>
          <w:rFonts w:asciiTheme="majorBidi" w:hAnsiTheme="majorBidi" w:cstheme="majorBidi"/>
          <w:color w:val="000000"/>
          <w:sz w:val="26"/>
          <w:szCs w:val="26"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/>
          <w:sz w:val="26"/>
          <w:szCs w:val="26"/>
          <w:cs/>
          <w:lang w:val="x-none" w:eastAsia="x-none"/>
        </w:rPr>
        <w:t>คำนวณโดยใช้งบการเงินเฉพาะกิจการ</w:t>
      </w:r>
    </w:p>
    <w:p w:rsidR="00EC4806" w:rsidRPr="00B6627E" w:rsidRDefault="009913F3" w:rsidP="009913F3">
      <w:pPr>
        <w:spacing w:line="180" w:lineRule="auto"/>
        <w:ind w:left="1701" w:hanging="567"/>
        <w:rPr>
          <w:rFonts w:asciiTheme="majorBidi" w:hAnsiTheme="majorBidi" w:cstheme="majorBidi"/>
          <w:color w:val="000000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/>
          <w:sz w:val="26"/>
          <w:szCs w:val="26"/>
          <w:cs/>
          <w:lang w:eastAsia="x-none"/>
        </w:rPr>
        <w:t xml:space="preserve">    </w:t>
      </w:r>
      <w:r w:rsidR="00EC4806" w:rsidRPr="00B6627E">
        <w:rPr>
          <w:rFonts w:asciiTheme="majorBidi" w:hAnsiTheme="majorBidi" w:cstheme="majorBidi" w:hint="cs"/>
          <w:color w:val="000000"/>
          <w:sz w:val="26"/>
          <w:szCs w:val="26"/>
          <w:cs/>
          <w:lang w:eastAsia="x-none"/>
        </w:rPr>
        <w:t xml:space="preserve">    </w:t>
      </w:r>
      <w:r w:rsidRPr="00B6627E">
        <w:rPr>
          <w:rFonts w:asciiTheme="majorBidi" w:hAnsiTheme="majorBidi" w:cstheme="majorBidi"/>
          <w:color w:val="000000"/>
          <w:sz w:val="26"/>
          <w:szCs w:val="26"/>
          <w:cs/>
          <w:lang w:eastAsia="x-none"/>
        </w:rPr>
        <w:t xml:space="preserve"> **  </w:t>
      </w:r>
      <w:r w:rsidR="00EC4806" w:rsidRPr="00B6627E">
        <w:rPr>
          <w:rFonts w:asciiTheme="majorBidi" w:hAnsiTheme="majorBidi" w:cstheme="majorBidi" w:hint="cs"/>
          <w:color w:val="000000"/>
          <w:sz w:val="26"/>
          <w:szCs w:val="26"/>
          <w:cs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/>
          <w:sz w:val="26"/>
          <w:szCs w:val="26"/>
          <w:cs/>
          <w:lang w:eastAsia="x-none"/>
        </w:rPr>
        <w:t>บริษัทไม่ได้บันทึกบัญชีเงินลงทุนในหุ้น</w:t>
      </w:r>
      <w:r w:rsidRPr="00B6627E">
        <w:rPr>
          <w:rFonts w:asciiTheme="majorBidi" w:hAnsiTheme="majorBidi" w:cstheme="majorBidi"/>
          <w:color w:val="000000"/>
          <w:sz w:val="26"/>
          <w:szCs w:val="26"/>
          <w:lang w:eastAsia="x-none"/>
        </w:rPr>
        <w:t xml:space="preserve"> TPIPP </w:t>
      </w:r>
      <w:r w:rsidRPr="00B6627E">
        <w:rPr>
          <w:rFonts w:asciiTheme="majorBidi" w:hAnsiTheme="majorBidi" w:cstheme="majorBidi"/>
          <w:color w:val="000000"/>
          <w:sz w:val="26"/>
          <w:szCs w:val="26"/>
          <w:cs/>
          <w:lang w:eastAsia="x-none"/>
        </w:rPr>
        <w:t xml:space="preserve">ที่บริษัทถืออยู่จำนวน </w:t>
      </w:r>
      <w:r w:rsidRPr="00B6627E">
        <w:rPr>
          <w:rFonts w:asciiTheme="majorBidi" w:hAnsiTheme="majorBidi" w:cstheme="majorBidi"/>
          <w:color w:val="000000"/>
          <w:sz w:val="26"/>
          <w:szCs w:val="26"/>
          <w:lang w:eastAsia="x-none"/>
        </w:rPr>
        <w:t xml:space="preserve">5,899,999,300 </w:t>
      </w:r>
      <w:r w:rsidRPr="00B6627E">
        <w:rPr>
          <w:rFonts w:asciiTheme="majorBidi" w:hAnsiTheme="majorBidi" w:cstheme="majorBidi"/>
          <w:color w:val="000000"/>
          <w:sz w:val="26"/>
          <w:szCs w:val="26"/>
          <w:cs/>
          <w:lang w:eastAsia="x-none"/>
        </w:rPr>
        <w:t>หุ้น</w:t>
      </w:r>
      <w:r w:rsidRPr="00B6627E">
        <w:rPr>
          <w:rFonts w:asciiTheme="majorBidi" w:hAnsiTheme="majorBidi" w:cstheme="majorBidi"/>
          <w:color w:val="000000"/>
          <w:sz w:val="26"/>
          <w:szCs w:val="26"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/>
          <w:sz w:val="26"/>
          <w:szCs w:val="26"/>
          <w:cs/>
          <w:lang w:eastAsia="x-none"/>
        </w:rPr>
        <w:t>ในราคา</w:t>
      </w:r>
      <w:r w:rsidR="00EC4806" w:rsidRPr="00B6627E">
        <w:rPr>
          <w:rFonts w:asciiTheme="majorBidi" w:hAnsiTheme="majorBidi" w:cstheme="majorBidi" w:hint="cs"/>
          <w:color w:val="000000"/>
          <w:sz w:val="26"/>
          <w:szCs w:val="26"/>
          <w:cs/>
          <w:lang w:eastAsia="x-none"/>
        </w:rPr>
        <w:t xml:space="preserve"> </w:t>
      </w:r>
    </w:p>
    <w:p w:rsidR="00EC4806" w:rsidRPr="00B6627E" w:rsidRDefault="00EC4806" w:rsidP="009913F3">
      <w:pPr>
        <w:spacing w:line="180" w:lineRule="auto"/>
        <w:ind w:left="1701" w:hanging="567"/>
        <w:rPr>
          <w:rFonts w:asciiTheme="majorBidi" w:hAnsiTheme="majorBidi" w:cstheme="majorBidi"/>
          <w:color w:val="000000"/>
          <w:sz w:val="26"/>
          <w:szCs w:val="26"/>
          <w:lang w:eastAsia="x-none"/>
        </w:rPr>
      </w:pPr>
      <w:r w:rsidRPr="00B6627E">
        <w:rPr>
          <w:rFonts w:asciiTheme="majorBidi" w:hAnsiTheme="majorBidi" w:cstheme="majorBidi" w:hint="cs"/>
          <w:color w:val="000000"/>
          <w:sz w:val="26"/>
          <w:szCs w:val="26"/>
          <w:cs/>
          <w:lang w:eastAsia="x-none"/>
        </w:rPr>
        <w:t xml:space="preserve">                </w:t>
      </w:r>
      <w:r w:rsidR="009913F3" w:rsidRPr="00B6627E">
        <w:rPr>
          <w:rFonts w:asciiTheme="majorBidi" w:hAnsiTheme="majorBidi" w:cstheme="majorBidi"/>
          <w:color w:val="000000"/>
          <w:sz w:val="26"/>
          <w:szCs w:val="26"/>
          <w:cs/>
          <w:lang w:eastAsia="x-none"/>
        </w:rPr>
        <w:t xml:space="preserve">ตลาดในงบการเงินของบริษัท โดยได้บันทึกบัญชีหุ้นดังกล่าวในราคาทุนหุ้นละ </w:t>
      </w:r>
      <w:r w:rsidR="009913F3" w:rsidRPr="00B6627E">
        <w:rPr>
          <w:rFonts w:asciiTheme="majorBidi" w:hAnsiTheme="majorBidi" w:cstheme="majorBidi"/>
          <w:color w:val="000000"/>
          <w:sz w:val="26"/>
          <w:szCs w:val="26"/>
          <w:lang w:eastAsia="x-none"/>
        </w:rPr>
        <w:t>1</w:t>
      </w:r>
      <w:r w:rsidR="009913F3" w:rsidRPr="00B6627E">
        <w:rPr>
          <w:rFonts w:asciiTheme="majorBidi" w:hAnsiTheme="majorBidi" w:cstheme="majorBidi"/>
          <w:color w:val="000000"/>
          <w:sz w:val="26"/>
          <w:szCs w:val="26"/>
          <w:cs/>
          <w:lang w:eastAsia="x-none"/>
        </w:rPr>
        <w:t xml:space="preserve"> บาท (ตามมูลค่า</w:t>
      </w:r>
      <w:r w:rsidRPr="00B6627E">
        <w:rPr>
          <w:rFonts w:asciiTheme="majorBidi" w:hAnsiTheme="majorBidi" w:cstheme="majorBidi" w:hint="cs"/>
          <w:color w:val="000000"/>
          <w:sz w:val="26"/>
          <w:szCs w:val="26"/>
          <w:cs/>
          <w:lang w:eastAsia="x-none"/>
        </w:rPr>
        <w:t xml:space="preserve">  </w:t>
      </w:r>
    </w:p>
    <w:p w:rsidR="00EC4806" w:rsidRPr="00B6627E" w:rsidRDefault="00EC4806" w:rsidP="009913F3">
      <w:pPr>
        <w:spacing w:line="180" w:lineRule="auto"/>
        <w:ind w:left="1701" w:hanging="567"/>
        <w:rPr>
          <w:rFonts w:asciiTheme="majorBidi" w:hAnsiTheme="majorBidi" w:cstheme="majorBidi"/>
          <w:color w:val="000000"/>
          <w:sz w:val="26"/>
          <w:szCs w:val="26"/>
          <w:lang w:eastAsia="x-none"/>
        </w:rPr>
      </w:pPr>
      <w:r w:rsidRPr="00B6627E">
        <w:rPr>
          <w:rFonts w:asciiTheme="majorBidi" w:hAnsiTheme="majorBidi" w:cstheme="majorBidi" w:hint="cs"/>
          <w:color w:val="000000"/>
          <w:sz w:val="26"/>
          <w:szCs w:val="26"/>
          <w:cs/>
          <w:lang w:eastAsia="x-none"/>
        </w:rPr>
        <w:t xml:space="preserve">                </w:t>
      </w:r>
      <w:r w:rsidR="009913F3" w:rsidRPr="00B6627E">
        <w:rPr>
          <w:rFonts w:asciiTheme="majorBidi" w:hAnsiTheme="majorBidi" w:cstheme="majorBidi"/>
          <w:color w:val="000000"/>
          <w:sz w:val="26"/>
          <w:szCs w:val="26"/>
          <w:cs/>
          <w:lang w:eastAsia="x-none"/>
        </w:rPr>
        <w:t>ที่ตราไว้)</w:t>
      </w:r>
    </w:p>
    <w:p w:rsidR="009913F3" w:rsidRPr="00B6627E" w:rsidRDefault="00EC4806" w:rsidP="009913F3">
      <w:pPr>
        <w:spacing w:line="180" w:lineRule="auto"/>
        <w:ind w:left="1701" w:hanging="567"/>
        <w:rPr>
          <w:rFonts w:asciiTheme="majorBidi" w:hAnsiTheme="majorBidi" w:cstheme="majorBidi"/>
          <w:color w:val="000000"/>
          <w:sz w:val="26"/>
          <w:szCs w:val="26"/>
          <w:lang w:eastAsia="x-none"/>
        </w:rPr>
      </w:pPr>
      <w:r w:rsidRPr="00B6627E">
        <w:rPr>
          <w:rFonts w:asciiTheme="majorBidi" w:hAnsiTheme="majorBidi" w:cstheme="majorBidi" w:hint="cs"/>
          <w:color w:val="000000"/>
          <w:sz w:val="26"/>
          <w:szCs w:val="26"/>
          <w:cs/>
          <w:lang w:eastAsia="x-none"/>
        </w:rPr>
        <w:t xml:space="preserve">        *</w:t>
      </w:r>
      <w:r w:rsidRPr="00B6627E">
        <w:rPr>
          <w:rFonts w:asciiTheme="majorBidi" w:hAnsiTheme="majorBidi" w:cstheme="majorBidi"/>
          <w:color w:val="000000"/>
          <w:sz w:val="26"/>
          <w:szCs w:val="26"/>
          <w:cs/>
          <w:lang w:eastAsia="x-none"/>
        </w:rPr>
        <w:t xml:space="preserve">**  หักเงินสดและรายการเทียบเท่าเงินสดและเงินลงทุนชั่วคราว  </w:t>
      </w:r>
    </w:p>
    <w:p w:rsidR="002F53EE" w:rsidRPr="00B6627E" w:rsidRDefault="0089042E" w:rsidP="00BF73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1134"/>
        </w:tabs>
        <w:spacing w:before="120" w:after="120"/>
        <w:jc w:val="both"/>
        <w:rPr>
          <w:rFonts w:ascii="Angsana New" w:hAnsi="Angsana New" w:cs="Angsana New"/>
          <w:sz w:val="25"/>
          <w:szCs w:val="25"/>
        </w:rPr>
      </w:pPr>
      <w:r w:rsidRPr="00B6627E">
        <w:rPr>
          <w:rFonts w:ascii="Angsana New" w:hAnsi="Angsana New" w:cs="Angsana New" w:hint="cs"/>
          <w:sz w:val="25"/>
          <w:szCs w:val="25"/>
          <w:cs/>
        </w:rPr>
        <w:tab/>
      </w:r>
      <w:r w:rsidR="002F53EE" w:rsidRPr="00B6627E">
        <w:rPr>
          <w:rFonts w:ascii="Angsana New" w:hAnsi="Angsana New" w:cs="Angsana New"/>
          <w:sz w:val="25"/>
          <w:szCs w:val="25"/>
          <w:cs/>
        </w:rPr>
        <w:t>รายละเอียดงบดุล งบกำไรขาดทุน</w:t>
      </w:r>
      <w:r w:rsidR="00E0594C" w:rsidRPr="00B6627E">
        <w:rPr>
          <w:rFonts w:ascii="Angsana New" w:hAnsi="Angsana New" w:cs="Angsana New"/>
          <w:sz w:val="25"/>
          <w:szCs w:val="25"/>
        </w:rPr>
        <w:t xml:space="preserve"> </w:t>
      </w:r>
      <w:r w:rsidR="002F53EE" w:rsidRPr="00B6627E">
        <w:rPr>
          <w:rFonts w:ascii="Angsana New" w:hAnsi="Angsana New" w:cs="Angsana New"/>
          <w:sz w:val="25"/>
          <w:szCs w:val="25"/>
          <w:cs/>
        </w:rPr>
        <w:t>งบกระแสเงินสด</w:t>
      </w:r>
      <w:r w:rsidR="00E0594C" w:rsidRPr="00B6627E">
        <w:rPr>
          <w:rFonts w:ascii="Angsana New" w:hAnsi="Angsana New" w:cs="Angsana New"/>
          <w:sz w:val="25"/>
          <w:szCs w:val="25"/>
        </w:rPr>
        <w:t xml:space="preserve"> </w:t>
      </w:r>
      <w:r w:rsidR="002F53EE" w:rsidRPr="00B6627E">
        <w:rPr>
          <w:rFonts w:ascii="Angsana New" w:hAnsi="Angsana New" w:cs="Angsana New"/>
          <w:sz w:val="25"/>
          <w:szCs w:val="25"/>
          <w:cs/>
        </w:rPr>
        <w:t>และอัตราส่วนทางการเงินที่สำคัญ (แสดงในเอกสารแนบ</w:t>
      </w:r>
      <w:r w:rsidR="00E0594C" w:rsidRPr="00B6627E">
        <w:rPr>
          <w:rFonts w:ascii="Angsana New" w:hAnsi="Angsana New" w:cs="Angsana New"/>
          <w:sz w:val="25"/>
          <w:szCs w:val="25"/>
        </w:rPr>
        <w:t xml:space="preserve"> </w:t>
      </w:r>
      <w:r w:rsidR="006878D5" w:rsidRPr="00B6627E">
        <w:rPr>
          <w:rFonts w:ascii="Angsana New" w:hAnsi="Angsana New" w:cs="Angsana New"/>
          <w:sz w:val="25"/>
          <w:szCs w:val="25"/>
        </w:rPr>
        <w:t>5</w:t>
      </w:r>
      <w:r w:rsidR="002F53EE" w:rsidRPr="00B6627E">
        <w:rPr>
          <w:rFonts w:ascii="Angsana New" w:hAnsi="Angsana New" w:cs="Angsana New"/>
          <w:sz w:val="25"/>
          <w:szCs w:val="25"/>
          <w:cs/>
        </w:rPr>
        <w:t>)</w:t>
      </w:r>
    </w:p>
    <w:p w:rsidR="00826A01" w:rsidRPr="00B6627E" w:rsidRDefault="00826A01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color w:val="FF0000"/>
          <w:sz w:val="32"/>
          <w:szCs w:val="32"/>
          <w:u w:val="single"/>
        </w:rPr>
      </w:pPr>
      <w:r w:rsidRPr="00B6627E">
        <w:rPr>
          <w:rFonts w:ascii="Angsana New" w:hAnsi="Angsana New" w:cs="Angsana New"/>
          <w:b/>
          <w:bCs/>
          <w:sz w:val="32"/>
          <w:szCs w:val="32"/>
        </w:rPr>
        <w:lastRenderedPageBreak/>
        <w:t>14</w:t>
      </w:r>
      <w:r w:rsidRPr="00B6627E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B6627E">
        <w:rPr>
          <w:rFonts w:ascii="Angsana New" w:hAnsi="Angsana New" w:cs="Angsana New"/>
          <w:b/>
          <w:bCs/>
          <w:sz w:val="32"/>
          <w:szCs w:val="32"/>
        </w:rPr>
        <w:tab/>
      </w:r>
      <w:r w:rsidRPr="00B6627E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การวิเคราะห์และคำอธิบายของฝ่ายจัดการ </w:t>
      </w:r>
    </w:p>
    <w:p w:rsidR="00826A01" w:rsidRPr="00B6627E" w:rsidRDefault="00826A01" w:rsidP="00826A01">
      <w:pPr>
        <w:tabs>
          <w:tab w:val="left" w:pos="180"/>
          <w:tab w:val="left" w:pos="630"/>
        </w:tabs>
        <w:ind w:left="180" w:right="-193" w:hanging="90"/>
        <w:jc w:val="thaiDistribute"/>
        <w:rPr>
          <w:rFonts w:ascii="Angsana New" w:eastAsia="Times New Roman" w:hAnsi="Angsana New" w:cs="Angsana New"/>
          <w:b/>
          <w:bCs/>
          <w:sz w:val="26"/>
          <w:szCs w:val="26"/>
          <w:u w:val="single"/>
        </w:rPr>
      </w:pPr>
      <w:r w:rsidRPr="00B6627E">
        <w:rPr>
          <w:rFonts w:ascii="Angsana New" w:hAnsi="Angsana New" w:cs="Angsana New" w:hint="cs"/>
          <w:sz w:val="26"/>
          <w:szCs w:val="26"/>
          <w:cs/>
        </w:rPr>
        <w:tab/>
      </w:r>
      <w:r w:rsidRPr="00B6627E">
        <w:rPr>
          <w:rFonts w:ascii="Angsana New" w:eastAsia="Times New Roman" w:hAnsi="Angsana New" w:cs="Angsana New" w:hint="cs"/>
          <w:sz w:val="26"/>
          <w:szCs w:val="26"/>
          <w:cs/>
        </w:rPr>
        <w:tab/>
      </w:r>
      <w:r w:rsidRPr="00B6627E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14.1   </w:t>
      </w:r>
      <w:r w:rsidRPr="00B6627E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การวิเคราะห์ฐานะการเงินและผลการดำเนินงาน</w:t>
      </w:r>
      <w:r w:rsidRPr="00B6627E">
        <w:rPr>
          <w:rFonts w:ascii="Angsana New" w:eastAsia="Times New Roman" w:hAnsi="Angsana New" w:cs="Angsana New"/>
          <w:b/>
          <w:bCs/>
          <w:sz w:val="26"/>
          <w:szCs w:val="26"/>
          <w:u w:val="single"/>
        </w:rPr>
        <w:t xml:space="preserve"> </w:t>
      </w:r>
      <w:r w:rsidRPr="00B6627E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 xml:space="preserve">ปี </w:t>
      </w:r>
      <w:proofErr w:type="gramStart"/>
      <w:r w:rsidR="001B0047" w:rsidRPr="00B6627E">
        <w:rPr>
          <w:rFonts w:ascii="Angsana New" w:eastAsia="Times New Roman" w:hAnsi="Angsana New" w:cs="Angsana New"/>
          <w:b/>
          <w:bCs/>
          <w:sz w:val="26"/>
          <w:szCs w:val="26"/>
          <w:u w:val="single"/>
        </w:rPr>
        <w:t>2559</w:t>
      </w:r>
      <w:r w:rsidR="00A008F4" w:rsidRPr="00B6627E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 </w:t>
      </w:r>
      <w:r w:rsidRPr="00B6627E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 ปี</w:t>
      </w:r>
      <w:proofErr w:type="gramEnd"/>
      <w:r w:rsidRPr="00B6627E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 </w:t>
      </w:r>
      <w:r w:rsidR="001B0047" w:rsidRPr="00B6627E">
        <w:rPr>
          <w:rFonts w:ascii="Angsana New" w:eastAsia="Times New Roman" w:hAnsi="Angsana New" w:cs="Angsana New"/>
          <w:b/>
          <w:bCs/>
          <w:sz w:val="26"/>
          <w:szCs w:val="26"/>
          <w:u w:val="single"/>
        </w:rPr>
        <w:t>2560</w:t>
      </w:r>
      <w:r w:rsidRPr="00B6627E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 </w:t>
      </w:r>
      <w:r w:rsidR="00A008F4" w:rsidRPr="00B6627E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>และ</w:t>
      </w:r>
      <w:r w:rsidRPr="00B6627E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ปี </w:t>
      </w:r>
      <w:r w:rsidR="001B0047" w:rsidRPr="00B6627E">
        <w:rPr>
          <w:rFonts w:ascii="Angsana New" w:eastAsia="Times New Roman" w:hAnsi="Angsana New" w:cs="Angsana New"/>
          <w:b/>
          <w:bCs/>
          <w:sz w:val="26"/>
          <w:szCs w:val="26"/>
          <w:u w:val="single"/>
        </w:rPr>
        <w:t>2561</w:t>
      </w:r>
      <w:r w:rsidR="00A008F4" w:rsidRPr="00B6627E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 </w:t>
      </w:r>
    </w:p>
    <w:p w:rsidR="00826A01" w:rsidRPr="00B6627E" w:rsidRDefault="00826A01" w:rsidP="00826A01">
      <w:pPr>
        <w:tabs>
          <w:tab w:val="left" w:pos="450"/>
          <w:tab w:val="left" w:pos="1710"/>
        </w:tabs>
        <w:spacing w:before="120" w:after="120"/>
        <w:ind w:firstLine="629"/>
        <w:rPr>
          <w:rFonts w:ascii="Angsana New" w:hAnsi="Angsana New" w:cs="Angsana New"/>
          <w:b/>
          <w:bCs/>
          <w:sz w:val="26"/>
          <w:szCs w:val="26"/>
        </w:rPr>
      </w:pPr>
      <w:r w:rsidRPr="00B6627E">
        <w:rPr>
          <w:rFonts w:ascii="Angsana New" w:hAnsi="Angsana New" w:cs="Angsana New"/>
          <w:b/>
          <w:bCs/>
          <w:sz w:val="26"/>
          <w:szCs w:val="26"/>
        </w:rPr>
        <w:t xml:space="preserve">14.1.1 </w:t>
      </w:r>
      <w:r w:rsidRPr="00B6627E">
        <w:rPr>
          <w:rFonts w:ascii="Angsana New" w:hAnsi="Angsana New" w:cs="Angsana New"/>
          <w:b/>
          <w:bCs/>
          <w:sz w:val="26"/>
          <w:szCs w:val="26"/>
          <w:cs/>
        </w:rPr>
        <w:t>ผลการดำเนินงาน</w:t>
      </w:r>
      <w:r w:rsidRPr="00B6627E">
        <w:rPr>
          <w:rFonts w:ascii="Angsana New" w:hAnsi="Angsana New" w:cs="Angsana New"/>
          <w:b/>
          <w:bCs/>
          <w:sz w:val="26"/>
          <w:szCs w:val="26"/>
        </w:rPr>
        <w:t xml:space="preserve">   </w:t>
      </w:r>
    </w:p>
    <w:p w:rsidR="00BE79C5" w:rsidRPr="00B6627E" w:rsidRDefault="00BE79C5" w:rsidP="00BE79C5">
      <w:pPr>
        <w:spacing w:after="120"/>
        <w:ind w:left="720" w:firstLine="448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B6627E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รายได้</w:t>
      </w:r>
    </w:p>
    <w:p w:rsidR="001B0047" w:rsidRPr="00B6627E" w:rsidRDefault="001B0047" w:rsidP="001B0047">
      <w:pPr>
        <w:spacing w:after="120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ในปี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2559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 ปี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2560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 และปี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2561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บริษัทและบริษัทย่อยมีรายได้จากการขายเท่ากับ  2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9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28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 ล้านบาท  29,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08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8 ล้านบาท และ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34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993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ล้านบาท ตามลำดับ โดยแบ่งเป็นรายได้จากการขายในธุรกิจวัสดุก่อสร้างคิดเป็นสัดส่วนร้อยละ 63.7 ร้อยละ 62.1 และร้อยละ 57.1 ของรายได้จากการขายรวม และรายได้จากการขายในธุรกิจพลังงานและสาธารณูปโภค คิดเป็นสัดส่วนร้อยละ 12.8 ร้อยละ 14.4 และ 19.1 ของรายได้จากการขายรวม ตามลำดับ</w:t>
      </w:r>
    </w:p>
    <w:p w:rsidR="001B0047" w:rsidRPr="00B6627E" w:rsidRDefault="001B0047" w:rsidP="001B0047">
      <w:pPr>
        <w:spacing w:after="120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นอกจากนี้ ในปี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25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59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ปี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25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60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และปี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256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บริษัทและบริษัทย่อย มีสัดส่วนรายได้จากการขายในธุรกิจปิโตรเคมี และเคมีภัณฑ์เท่ากับร้อยละ 23.2 ร้อยละ 23.0 และร้อยละ 23.4 ของรายได้จากการขายรวม ตามลำดับ</w:t>
      </w:r>
    </w:p>
    <w:p w:rsidR="001B0047" w:rsidRPr="00B6627E" w:rsidRDefault="001B0047" w:rsidP="001B0047">
      <w:pPr>
        <w:spacing w:after="120" w:line="216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ทั้งนี้ ในปี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256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รายได้จากการขายของธุรกิจพลังงานและสาธารณูปโภคเพิ่มขึ้น เนื่องจากปริมาณการขายไฟฟ้าเพิ่มขึ้นร้อยละ 60.8 จากโรงไฟฟ้าโรงที่ 6 และ 7 ที่เริ่มเปิดดำเนินการในปี 2561 และราคาขายไฟฟ้าเฉลี่ยเพิ่มขึ้นร้อยละ 3.6 ในส่วนของรายได้จากการขายของธุรกิจวัสดุก่อสร้าง ในปี 2561 ปรับตัวเพิ่มขึ้นร้อยละ 10.6 เป็นผลมาจากราคาขายปูนซีเมนต์ในประเทศปรับตัวเพิ่มขึ้นร้อยละ 8.2 นอกจากนี้รายได้จากการขายของ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ธุรกิจปิโตรเคมี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ปรับตัวเพิ่มขึ้นร้อยละ 22.3 เนื่องจากปริมาณขายเพิ่มขึ้นร้อยละ 4.2 และราคาขายปรับตัวเพิ่มขึ้นร้อยละ 1.3</w:t>
      </w:r>
    </w:p>
    <w:p w:rsidR="001B0047" w:rsidRPr="00B6627E" w:rsidRDefault="001B0047" w:rsidP="001B0047">
      <w:pPr>
        <w:spacing w:after="120" w:line="216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ในส่วนรายได้อื่น ซึ่งประกอบด้วย รายได้ค่าขนส่ง  กำไรจากอัตราแลกเปลี่ยนสุทธิ  รายได้จากการลงทุน กำไรจากการต่อรองราคาซื้อ และรายได้อื่นๆ ในปี 2559  ปี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2560 และปี 2561 แสดงเท่ากับ 2,364 ล้านบาท  1,907 ล้านบาท  และ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2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321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 ล้านบาท  ตามลำดับ โดยรายได้อื่น ในปี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2561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 มีมูลค่า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เพิ่มขึ้น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เมื่อเทียบกับปี 2560 เนื่องจากมีกำไรจากอัตราแลกเปลี่ยนและรายได้จากการชดเชยค่าเสียหายจากบริษัทประกันภัยเพิ่มขึ้น  </w:t>
      </w:r>
    </w:p>
    <w:p w:rsidR="001B0047" w:rsidRPr="00B6627E" w:rsidRDefault="001B0047" w:rsidP="001B0047">
      <w:pPr>
        <w:spacing w:after="200" w:line="216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บริษัทและบริษัทย่อยมี รายได้รวมในปี 2559  ปี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2560  และปี 2561 เท่ากับ 31,492 ล้านบาท  30,996 ล้านบาท และ 37,315 ล้านบาท ตามลำดับ</w:t>
      </w:r>
    </w:p>
    <w:p w:rsidR="00BE79C5" w:rsidRPr="00B6627E" w:rsidRDefault="00BE79C5" w:rsidP="00BE79C5">
      <w:pPr>
        <w:spacing w:after="120"/>
        <w:ind w:left="117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B6627E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ต้นทุนขาย</w:t>
      </w:r>
    </w:p>
    <w:p w:rsidR="001B0047" w:rsidRPr="00B6627E" w:rsidRDefault="001B0047" w:rsidP="001B0047">
      <w:pPr>
        <w:spacing w:after="200" w:line="216" w:lineRule="auto"/>
        <w:ind w:left="1134"/>
        <w:jc w:val="thaiDistribute"/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ต้นทุนขายของบริษัทและบริษัทย่อย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ในปี 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2559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ปี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  <w:t xml:space="preserve"> 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2560 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และปี 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2561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 เท่ากับ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2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4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316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2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4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495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และ 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28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018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ตามลำดับ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 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คิดเป็นสัดส่วนร้อยละ 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83.5 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ร้อยละ 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84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.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2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และร้อยละ 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80.1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ของรายได้จากการขาย 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ส่งผลให้อัตรากำไรขั้นต้นของบริษัท เท่ากับร้อยละ 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16.5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ร้อยละ 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15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.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และร้อยละ 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19.9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ของรายได้จากการขาย ตามลำดับ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โดย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อัตรากำไรขั้นต้นในปี 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2561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เพิ่มขึ้น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เมื่อเทียบกับปี 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2560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 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สาแหตุหลักมา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จาก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สัดส่วนรายได้ของ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ธุรกิจพลังงานและสาธารณูปโภค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ซึ่งมีอัตรากำไรขั้นต้นสูง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เพิ่มขึ้นจากร้อยละ 14.4  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ของรายได้จากการขายรวม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ในปี 2560 เป็นร้อยละ 19.1 ในปี 2561 ประกอบกับราคาขายเฉลี่ยของปูนซีเมนต์ในประเทศเพิ่มขึ้น ทำให้กำไรขั้นต้นของกลุ่ม</w:t>
      </w:r>
      <w:r w:rsidRPr="00B6627E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วัสดุก่อสร้าง</w:t>
      </w:r>
      <w:r w:rsidRPr="00B6627E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ปรับตัวดีขึ้น </w:t>
      </w:r>
    </w:p>
    <w:p w:rsidR="00BE79C5" w:rsidRPr="00B6627E" w:rsidRDefault="00BE79C5" w:rsidP="00BE79C5">
      <w:pPr>
        <w:spacing w:after="120" w:line="216" w:lineRule="auto"/>
        <w:ind w:left="117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B6627E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ค่าใช้จ่ายในการขายและบริหาร</w:t>
      </w:r>
    </w:p>
    <w:p w:rsidR="001B0047" w:rsidRPr="00B6627E" w:rsidRDefault="001B0047" w:rsidP="001B0047">
      <w:pPr>
        <w:spacing w:line="216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บริษัทและบริษัทย่อยมีค่าใช้จ่ายในการขายและบริหารในปี 2559 ปี 2560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และปี 2561 เท่ากับ 5,364 ล้านบาท 5,810 ล้านบาท และ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5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965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ล้านบาท ตามลำดับ คิดเป็นสัดส่วนร้อยละ 18.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4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ร้อยละ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20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.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0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และร้อยละ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17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.0 ของรายได้จากการขาย ตามลำดับ  โดยค่าใช้จ่ายในการขายและบริหารในปี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2561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คิดเป็นสัดส่วนต่อรายได้จากการขายลดลง เนื่องจากบริษัทมีรายได้จากการขายเพิ่มขึ้นร้อยละ 20.3 เมื่อเทียบกับปี 2560</w:t>
      </w:r>
    </w:p>
    <w:p w:rsidR="00BE79C5" w:rsidRPr="00B6627E" w:rsidRDefault="00BE79C5" w:rsidP="001B0047">
      <w:pPr>
        <w:spacing w:before="120" w:after="120" w:line="228" w:lineRule="auto"/>
        <w:ind w:left="1134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B6627E">
        <w:rPr>
          <w:rFonts w:asciiTheme="majorBidi" w:eastAsia="Times New Roman" w:hAnsiTheme="majorBidi" w:cstheme="majorBidi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ดอกเบี้ยจ่าย (ต้นทุนทางการเงิน)</w:t>
      </w:r>
    </w:p>
    <w:p w:rsidR="001B0047" w:rsidRPr="00B6627E" w:rsidRDefault="001B0047" w:rsidP="001B0047">
      <w:pPr>
        <w:spacing w:after="120" w:line="216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บริษัทและบริษัทย่อยมีดอกเบี้ยจ่าย ในปี 2559 ปี 2560 และปี 2561 จำนวน 1,649 ล้านบาท 1,647 ล้านบาท          และ 1,719 ล้านบาท ตามลำดับ โดยในปี 2561 บริษัทมีดอกเบี้ยจ่ายเพิ่มขึ้นเมื่อเทียบกับปี 2560 เนื่องจากบริษัทมีภาระหนี้จากการกู้ยืมเงินรวมทั้งการออกและเสนอขายหุ้นกู้เพื่อลงทุนในโครงการต่างๆ เพิ่มขึ้น</w:t>
      </w:r>
    </w:p>
    <w:p w:rsidR="00BE79C5" w:rsidRPr="00B6627E" w:rsidRDefault="00BE79C5" w:rsidP="001B0047">
      <w:pPr>
        <w:spacing w:after="120"/>
        <w:ind w:left="1134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B6627E">
        <w:rPr>
          <w:rFonts w:asciiTheme="majorBidi" w:eastAsia="Times New Roman" w:hAnsiTheme="majorBidi" w:cstheme="majorBidi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กำไรสุทธิ</w:t>
      </w:r>
    </w:p>
    <w:p w:rsidR="001B0047" w:rsidRPr="00B6627E" w:rsidRDefault="001B0047" w:rsidP="001B0047">
      <w:pPr>
        <w:spacing w:line="204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ในปี 2559  ปี 2560 และปี 2561 บริษัทและบริษัทย่อยมีกำไร(ขาดทุน) สุทธิจำนวน 515 ล้านบาท (696) ล้านบาท และ 1,425 ล้านบาท  โดยมีกำไร (ขาดทุน) สุทธิต่อหุ้นเท่ากับ 0.026 บาท (0.063)  บาท และ 0.016 บาท ตามลำดับ โดยกำไรในปี  2561 สูงขึ้น เป็นผลเนื่องมาจาก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รายได้จากการขาย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เพิ่มสูงขึ้น  </w:t>
      </w:r>
    </w:p>
    <w:p w:rsidR="001B0047" w:rsidRPr="00B6627E" w:rsidRDefault="001B0047" w:rsidP="001B0047">
      <w:pPr>
        <w:spacing w:line="204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</w:p>
    <w:p w:rsidR="001B0047" w:rsidRPr="00B6627E" w:rsidRDefault="001B0047" w:rsidP="001B0047">
      <w:pPr>
        <w:spacing w:after="240" w:line="204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ทั้งนี้ บริษัทและบริษัทย่อยมีกำไร (ขาดทุน) จากการดำเนินธุรกิจปกติ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 xml:space="preserve"> (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ไม่รวมกำไร(ขาดทุน)จากอัตราแลกเปลี่ยน  กำไรจากการต่อรองราคาซื้อ และภาษีเงินได้นิติบุคคล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)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เท่ากับ (511) ล้านบาท (1,100) ล้านบาท และ 1,261  ล้านบาท ในปี 2559  ปี 2560  และปี 2561 ตามลำดับ </w:t>
      </w:r>
    </w:p>
    <w:p w:rsidR="00BE79C5" w:rsidRPr="00B6627E" w:rsidRDefault="00BE79C5" w:rsidP="00BE79C5">
      <w:pPr>
        <w:spacing w:after="120"/>
        <w:ind w:left="1170" w:hanging="630"/>
        <w:rPr>
          <w:rFonts w:ascii="Angsana New" w:hAnsi="Angsana New" w:cs="Angsana New"/>
          <w:b/>
          <w:bCs/>
          <w:color w:val="000000" w:themeColor="text1"/>
          <w:sz w:val="26"/>
          <w:szCs w:val="26"/>
        </w:rPr>
      </w:pPr>
      <w:r w:rsidRPr="00B6627E">
        <w:rPr>
          <w:rFonts w:ascii="Angsana New" w:hAnsi="Angsana New" w:cs="Angsana New"/>
          <w:b/>
          <w:bCs/>
          <w:color w:val="000000" w:themeColor="text1"/>
          <w:sz w:val="26"/>
          <w:szCs w:val="26"/>
        </w:rPr>
        <w:t xml:space="preserve">14.1.2  </w:t>
      </w:r>
      <w:r w:rsidRPr="00B6627E">
        <w:rPr>
          <w:rFonts w:ascii="Angsana New" w:hAnsi="Angsana New" w:cs="Angsan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B6627E">
        <w:rPr>
          <w:rFonts w:ascii="Angsana New" w:hAnsi="Angsana New" w:cs="Angsana New"/>
          <w:b/>
          <w:bCs/>
          <w:color w:val="000000" w:themeColor="text1"/>
          <w:sz w:val="26"/>
          <w:szCs w:val="26"/>
          <w:cs/>
        </w:rPr>
        <w:t>ฐานะการเงินและอัตราส่วนทางการเงิน</w:t>
      </w:r>
    </w:p>
    <w:p w:rsidR="00BE79C5" w:rsidRPr="00B6627E" w:rsidRDefault="00BE79C5" w:rsidP="00BE79C5">
      <w:pPr>
        <w:spacing w:after="120"/>
        <w:ind w:left="117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B6627E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สินทรัพย์</w:t>
      </w:r>
    </w:p>
    <w:p w:rsidR="001B0047" w:rsidRPr="00B6627E" w:rsidRDefault="001B0047" w:rsidP="001B0047">
      <w:pPr>
        <w:spacing w:after="120" w:line="216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ณ วันที่ 31 ธันวาคม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2559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 25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60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และ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2561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บริษัทและบริษัทย่อยมีสินทรัพย์รวม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92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618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ล้านบาท 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103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178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ล้านบาท  และ 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10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488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ล้านบาท ตามลำดับ  ในปี 256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สินทรัพย์รวมเพิ่มขึ้น สาเหตุหลักมาจากการลงทุนเพิ่มเติมในโครงการต่างๆ ของกลุ่มธุรกิจพลังงานและสาธารณูปโภค รวมทั้งรายการเงินสดและรายการเทียบเท่าเงินสด และเงินลงทุนชั่วคราวเพิ่มขึ้น เนื่องจากบริษัททีพีไอ โพลีน เพาเวอร์ ได้รับเงินจากการออกหุ้นกู้จำนวน 4,000 ล้านบาท ในไตรมาส 4 ปี 2561</w:t>
      </w:r>
    </w:p>
    <w:p w:rsidR="001B0047" w:rsidRPr="00B6627E" w:rsidRDefault="001B0047" w:rsidP="001B0047">
      <w:pPr>
        <w:spacing w:after="120" w:line="204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บริษัท และบริษัทย่อยมีสินทรัพย์หมุนเวียน ณ วันที่ 31 ธันวาคม 2559  2560  และ 2561 เท่ากับ 19,549 ล้านบาท 24,195 ล้านบาท  และ 28,391 ล้านบาท ตามลำดับ โดยเพิ่มขึ้นจากรายการ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เงินสดและรายการเทียบเท่าเงินสด เงินลงทุนชั่วคราว ลูกหนี้การค้า และ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สินค้าคงเหลือ  โดยสัดส่วนของมูลค่าสินค้าคงเหลือในปี 2559 ปี 2560 และปี 2561 คิดเป็นร้อยละ 60.0 ร้อยละ 54.3 และ ร้อยละ 50.5 ของสินทรัพย์หมุนเวียนรวม คิดเป็นระยะเวลาขายสินค้าเฉลี่ย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68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วัน 183 วัน และ 176 วัน ส่วนสัดส่วนของลูกหนี้การค้า (สุทธิหลังหักค่าเผื่อหนี้สงสัยจะสูญ) คิดเป็นร้อยละ 15.4 ร้อยละ 12.7 และร้อยละ 15.2 ของสินทรัพย์หมุนเวียนรวม หรือคิดเป็นระยะเวลาเก็บหนี้เฉลี่ย 36 วัน 39 วัน และ 39 วัน ตามลำดับ</w:t>
      </w:r>
    </w:p>
    <w:p w:rsidR="001B0047" w:rsidRPr="00B6627E" w:rsidRDefault="001B0047" w:rsidP="001B0047">
      <w:pPr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ทั้งนี้ ณ วันที่ 31 ธันวาคม 2559 2560 และ 2561 บริษัทและบริษัทย่อยมีมูลค่าสินทรัพย์ที่ดิน อาคาร และอุปกรณ์ เท่ากับ 69,833 ล้านบาท  76,551 ล้านบาท  และ 79,456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ล้านบาท ตามลำดับ โดยสินทรัพย์ที่เพิ่มขึ้นในปี 2561 ส่วนใหญ่มาจากการลงทุนของกลุ่มธุรกิจพลังงานและสาธารณูปโภค ประกอบด้วย การลงทุนในโรงไฟฟ้าเชื้อเพลิง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 xml:space="preserve">RDF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70 เมกะวัตต์ (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TG6)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โรงไฟฟ้า 70 เมกะวัตต์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(TG7)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โรงไฟฟ้าเชื้อเพลิงถ่านหิน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150 เมกะวัตต์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(TG8)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และโรงงานผลิตเชื้อเพลิง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 RDF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</w:t>
      </w:r>
    </w:p>
    <w:p w:rsidR="00BE79C5" w:rsidRPr="00B6627E" w:rsidRDefault="00BE79C5" w:rsidP="001B0047">
      <w:pPr>
        <w:spacing w:before="120" w:after="120"/>
        <w:ind w:left="1134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B6627E">
        <w:rPr>
          <w:rFonts w:asciiTheme="majorBidi" w:eastAsia="Times New Roman" w:hAnsiTheme="majorBidi" w:cstheme="majorBidi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หนี้สิน</w:t>
      </w:r>
    </w:p>
    <w:p w:rsidR="001B0047" w:rsidRPr="00B6627E" w:rsidRDefault="001B0047" w:rsidP="001B0047">
      <w:pPr>
        <w:spacing w:line="216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ณ วันที่ 31 ธันวาคม 2559  2560 และ 2561 บริษัท และบริษัทย่อยมีหนี้สินรวม 55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864 ล้านบาท  51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092 ล้านบาท และ 59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551 ล้านบาท ตามลำดับ  ในปี 2561 บริษัทและบริษัทย่อยมีหนี้สินเพิ่มขึ้นจากการกู้ยืมระยะยาวจากสถาบันการเงินจำนวน 3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000 ล้านบาท และออกหุ้นกู้จำนวน 4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000 ล้านบาท เพื่อการลงทุนและใช้เป็นเงินทุนในการลงทุนในโครงการโรงไฟฟ้า และใช้เป็นเงินทุนหมุนเวียนของบริษัท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 และบริษัทย่อย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</w:t>
      </w:r>
    </w:p>
    <w:p w:rsidR="001B0047" w:rsidRPr="00B6627E" w:rsidRDefault="001B0047" w:rsidP="001B0047">
      <w:pPr>
        <w:spacing w:line="216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x-none" w:eastAsia="x-none"/>
        </w:rPr>
      </w:pPr>
    </w:p>
    <w:p w:rsidR="001B0047" w:rsidRPr="00B6627E" w:rsidRDefault="001B0047" w:rsidP="001B0047">
      <w:pPr>
        <w:spacing w:line="216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บริษัทและบริษัทย่อยมีเจ้าหนี้การค้าเท่ากับ 2,214 ล้านบาท  2,818 ล้านบาท  และ 3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002 ล้านบาท ณ วันที่  31 ธันวาคม 2559  2560 และ 2561 ตามลำดับ  คิดเป็นระยะเวลาชำระหนี้เฉลี่ย 35 วัน  37 วัน และ 37 วัน </w:t>
      </w:r>
    </w:p>
    <w:p w:rsidR="001B0047" w:rsidRPr="00B6627E" w:rsidRDefault="001B0047" w:rsidP="001B0047">
      <w:pPr>
        <w:spacing w:line="216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ณ วันที่ 31 ธันวาคม 2559  2560 และ 2561 บริษัทและบริษัทย่อยมีหนี้เงินกู้ระยะสั้นจากสถาบันการเงิน เท่ากับ 5,610 ล้านบาท 2,178 ล้านบาท  และ 2,644 ล้านบาท  โดยมีเงินกู้ยืมระยะยาวจากสถาบันทางการเงิน เท่ากับ 8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909 ล้านบาท 5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790 ล้านบาท  และ 7,812 ล้านบาท  ตามลำดับ  โดยมีหนี้หุ้นกู้เท่ากับ 32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000 ล้านบาท 33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000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ล้านบาท และ 40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000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ล้านบาท ตามลำดับ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ทั้งนี้ หนี้เงินกู้ยืมระยะสั้น และหนี้เงินกู้ยืมระยะยาวจากสถาบันการเงิน รวมทั้งหนี้หุ้นกู้ที่เพิ่มขึ้น  เนื่องจากบริษัทและบริษัทย่อยได้มีการลงทุนเพิ่มเติมในโครงการต่างๆ โดยเฉพาะโรงไฟฟ้าอย่างต่อเนื่อง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 รวมทั้งนำมาใช้เป็นเงินทุนหมุนเวียนในการดำเนินงาน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</w:t>
      </w:r>
    </w:p>
    <w:p w:rsidR="00BE79C5" w:rsidRPr="00B6627E" w:rsidRDefault="00BE79C5" w:rsidP="001B0047">
      <w:pPr>
        <w:spacing w:before="120" w:after="120"/>
        <w:ind w:left="1134"/>
        <w:jc w:val="thaiDistribute"/>
        <w:rPr>
          <w:rFonts w:asciiTheme="majorBidi" w:eastAsia="Times New Roman" w:hAnsiTheme="majorBidi" w:cstheme="majorBidi"/>
          <w:b/>
          <w:color w:val="000000" w:themeColor="text1"/>
          <w:sz w:val="26"/>
          <w:szCs w:val="26"/>
          <w:u w:val="single"/>
          <w:lang w:val="x-none" w:eastAsia="x-none"/>
        </w:rPr>
      </w:pPr>
      <w:r w:rsidRPr="00B6627E">
        <w:rPr>
          <w:rFonts w:asciiTheme="majorBidi" w:eastAsia="Times New Roman" w:hAnsiTheme="majorBidi" w:cstheme="majorBidi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ส่วนของผู้ถือหุ้น</w:t>
      </w:r>
    </w:p>
    <w:p w:rsidR="001B0047" w:rsidRPr="00B6627E" w:rsidRDefault="001B0047" w:rsidP="001B0047">
      <w:pPr>
        <w:spacing w:line="228" w:lineRule="auto"/>
        <w:ind w:left="1134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บริษัทและบริษัทย่อยมีส่วนของผู้ถือหุ้น ณ วันที่ 31 ธันวาคม 2559  2560 และ 2561 เท่ากับ 36,755 ล้านบาท 52,086 ล้านบาท  และ 50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937 ล้านบาท ตามลำดับ ส่วนของผู้ถือหุ้น (ณ วันที่ 31 ธันวาคม 2561) ลดลงจำนวน </w:t>
      </w:r>
      <w:r w:rsidR="00703992"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1,150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ล้านบาท โดยมีสาเหตุหลักมาจากบริษัทได้มีการซื้อหุ้นของบริษัทคืน</w:t>
      </w:r>
      <w:r w:rsidR="00703992" w:rsidRPr="00B6627E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val="x-none" w:eastAsia="x-none"/>
        </w:rPr>
        <w:t xml:space="preserve">จำนวน </w:t>
      </w:r>
      <w:r w:rsidR="00703992"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1,683 </w:t>
      </w:r>
      <w:r w:rsidR="00703992" w:rsidRPr="00B6627E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eastAsia="x-none"/>
        </w:rPr>
        <w:t>ล้านบาท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 (โดย ณ วันที่ 15 มกราคม 2562 บริษัทได้ทำการซื้อหุ้นคืนครบจำนวน 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009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500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000 หุ้น โดยใช้เงิน 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982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775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193 บาท)  </w:t>
      </w:r>
    </w:p>
    <w:p w:rsidR="00BE79C5" w:rsidRPr="00B6627E" w:rsidRDefault="00BE79C5" w:rsidP="001B0047">
      <w:pPr>
        <w:spacing w:before="120" w:after="120"/>
        <w:ind w:left="1134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B6627E">
        <w:rPr>
          <w:rFonts w:asciiTheme="majorBidi" w:eastAsia="Times New Roman" w:hAnsiTheme="majorBidi" w:cstheme="majorBidi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โครงสร้างเงินลงทุน</w:t>
      </w:r>
    </w:p>
    <w:p w:rsidR="001B0047" w:rsidRPr="00B6627E" w:rsidRDefault="001B0047" w:rsidP="001B0047">
      <w:pPr>
        <w:spacing w:line="216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อัตราหนี้สินต่อส่วนของผู้ถือหุ้นของบริษัทและบริษัทย่อยเท่ากับ 1.52 เท่า  0.98 เท่า และ 1.17 เท่า โดยมีอัตราหนี้สินที่มีภาระดอกเบี้ย (สุทธิ) ต่อส่วนของผู้ถือหุ้นของบริษัทและบริษัทย่อยเท่ากับ 1.17 เท่า 0.66 เท่า และ 0.82 เท่า ณ วันที่ 31 ธันวาคม 2559 2560 และ 2561 ตามลำดับ โดยหากพิจารณาในส่วนอัตราหนี้สินต่อส่วนของผู้ถือหุ้น ในปี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256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เพิ่มขึ้น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เมื่อเทียบกับ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ปี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25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60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เนื่อง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จาก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บริษัทและบริษัทย่อยมี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หนี้สินเพิ่มขึ้นจากการกู้ยืมระยะยาวจากสถาบันการเงิน และการออกหุ้นกู้เพื่อลงทุน   รวมถึงส่วนของผู้ถือหุ้นลดลง เนื่องจาก ณ วันที่ 31 ธันวาคม 2561 บริษัทได้มีการซื้อหุ้นของบริษัทคืนจำนวน 1,683 ล้านบาท (โดย ณ วันที่ 15 มกราคม 2562 บริษัทได้ทำการซื้อหุ้นคืนครบจำนวน 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009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500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000 หุ้น โดยใช้เงิน 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982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775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193 บาท) </w:t>
      </w:r>
    </w:p>
    <w:p w:rsidR="001B0047" w:rsidRPr="00B6627E" w:rsidRDefault="001B0047" w:rsidP="001B0047">
      <w:pPr>
        <w:spacing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6"/>
          <w:szCs w:val="6"/>
          <w:lang w:val="x-none" w:eastAsia="x-none"/>
        </w:rPr>
      </w:pPr>
    </w:p>
    <w:p w:rsidR="001B0047" w:rsidRPr="00B6627E" w:rsidRDefault="001B0047" w:rsidP="001B0047">
      <w:pPr>
        <w:spacing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อย่างไรก็ตาม ณ สิ้นปี 2561 บริษัทและบริษัทย่อยมีเงินสดและรายการเทียบเท่าเงินสดจำนวน 4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367 ล้านบาท และมีเงินลงทุนชั่วคราวจำนวน 4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261 ล้านบาท คิดเป็นสภาพคล่องทางการเงินรวมทั้งสิ้น 8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628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ล้านบาท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ดังนั้นการพิจารณาโครงสร้างเงินทุนจึงควรพิจารณาจาก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อัตราหนี้สินทางการเงิน (สุทธิ) ต่อส่วนของผู้ถือหุ้น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 จึงจะสามารถสะท้อนภาพโครงสร้างเงินทุนได้เหมาะสมกว่า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อัตราหนี้สินต่อส่วนของผู้ถือหุ้น</w:t>
      </w:r>
    </w:p>
    <w:p w:rsidR="00BE79C5" w:rsidRPr="00B6627E" w:rsidRDefault="00BE79C5" w:rsidP="001B0047">
      <w:pPr>
        <w:spacing w:before="120" w:after="120"/>
        <w:ind w:left="1134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B6627E">
        <w:rPr>
          <w:rFonts w:asciiTheme="majorBidi" w:eastAsia="Times New Roman" w:hAnsiTheme="majorBidi" w:cstheme="majorBidi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สภาพคล่อง</w:t>
      </w:r>
    </w:p>
    <w:p w:rsidR="001B0047" w:rsidRPr="00B6627E" w:rsidRDefault="001B0047" w:rsidP="001B0047">
      <w:pPr>
        <w:spacing w:before="120" w:after="120" w:line="216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ในปี 2559  2560 และ 2561 บริษัทและบริษัทย่อยมีกระแสเงินสดสุทธิจากกิจกรรมดำเนินงานจำนวน 1,932 ล้านบาท  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955 ล้านบาท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และ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3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762 ล้านบาท ตามลำดับ โดยกระแสเงินสดสุทธิจากกิจกรรมดำเนินงานที่เพิ่มขึ้นในปี 2560 และปี 2561 มาจากรายได้ของกลุ่มธุรกิจพลังงานและสาธารณูปโภคที่เพิ่มขึ้น  </w:t>
      </w:r>
    </w:p>
    <w:p w:rsidR="001B0047" w:rsidRPr="00B6627E" w:rsidRDefault="001B0047" w:rsidP="001B0047">
      <w:pPr>
        <w:spacing w:after="120" w:line="216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บริษัทและบริษัทย่อยมีกระแสเงินสดสุทธิใช้ไปในกิจกรรมลงทุนในปี 2559 2560 และ 2561 จำนวน (7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962) ล้านบาท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(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11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055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)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ล้านบาท และ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(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7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369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>)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ล้านบาท ตามลำดับ เนื่องจากในปี 2559 2560 และ 2561 บริษัทและบริษัทย่อยมีการลงทุนอย่างต่อเนื่อง ในส่วนของอาคาร เครื่องจักรและอุปกรณ์  จากโครงการก่อสร้าง  โรงไฟฟ้า โรงงานผลิตเชื้อเพลิง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 RDF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และโรงงานไฟเบอร์ซีเมนต์ </w:t>
      </w:r>
    </w:p>
    <w:p w:rsidR="001B0047" w:rsidRPr="00B6627E" w:rsidRDefault="001B0047" w:rsidP="001B0047">
      <w:pPr>
        <w:spacing w:after="120"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บริษัทและบริษัทย่อยมีกระแสเงินสดสุทธิจากกิจกรรมจัดหาเงินในปี 2559  2560 และ 2561 จำนวน 7,059 ล้านบาท  8,533 ล้านบาท และ 5,047 ล้านบาท ตามลำดับ โดยบริษัทได้เงินจากการกู้ยืมจากสถาบันการเงินทั้งระยะสั้นและระยะยาว และการจำหน่ายหุ้นกู้  เพื่อนำมาใช้ในการก่อสร้างโครงการลงทุนตามที่กล่าวข้างต้น ส่งผลให้มีกระแสเงินสดสุทธิหลังกิจกรรมทางการเงินในปี 2559  2560 และ 2561 เท่ากับ 1,029 ล้านบาท (567) ล้านบาท และ 1,448 ล้านบาท ตามลำดับ</w:t>
      </w:r>
    </w:p>
    <w:p w:rsidR="001B0047" w:rsidRPr="00B6627E" w:rsidRDefault="001B0047" w:rsidP="001B0047">
      <w:pPr>
        <w:spacing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อัตราส่วนความสามารถชำระดอกเบี้ย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 xml:space="preserve">(Interest Coverage Ratio)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ในปี 2559 2560 2561 เท่ากับ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2.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31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เท่า 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.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94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 และ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3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.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39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เท่า ตามลำดับ ซึ่งอัตราดังกล่าวเพิ่มขึ้น เนื่องจากในปี 2561 บริษัทมีผลการดำเนินงานที่ดีขึ้น จากกลุ่มพลังงานและสาธารณูปโภคและกลุ่มวัสดุก่อสร้างเป็นหลัก นอกจากนี้อัตราส่วนความสามารถชำระภาระผูกพัน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 xml:space="preserve">(Debt Service Coverage Ratio)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เท่ากับ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1.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68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เท่า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1.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31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เท่า และ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2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.3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7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เท่า ตามลำดับ โดยบริษัทและบริษัทย่อย มีอัตราส่วนหนี้สินซึ่งมีภาระดอกเบี้ยต่อส่วนของผู้ถือหุ้นเท่ากับ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.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27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เท่า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0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.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79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เท่า และ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0.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9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9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เท่า และมีอัตราส่วนหนี้สินซึ่งมีภาระดอกเบี้ย (สุทธิ) ต่อส่วนของผู้ถือหุ้นเท่ากับ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.17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เท่า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0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.66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เท่า และ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0.82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เท่า ตามลำดับ</w:t>
      </w:r>
    </w:p>
    <w:p w:rsidR="00BE79C5" w:rsidRPr="00B6627E" w:rsidRDefault="00BE79C5" w:rsidP="001B0047">
      <w:pPr>
        <w:spacing w:line="228" w:lineRule="auto"/>
        <w:ind w:left="1134"/>
        <w:jc w:val="thaiDistribute"/>
        <w:rPr>
          <w:rFonts w:asciiTheme="majorBidi" w:eastAsia="Times New Roman" w:hAnsiTheme="majorBidi" w:cstheme="majorBidi"/>
          <w:color w:val="000000" w:themeColor="text1"/>
          <w:sz w:val="26"/>
          <w:szCs w:val="26"/>
          <w:lang w:eastAsia="x-none"/>
        </w:rPr>
      </w:pPr>
    </w:p>
    <w:p w:rsidR="00EF5B7C" w:rsidRPr="00B6627E" w:rsidRDefault="00EF5B7C" w:rsidP="001B0047">
      <w:pPr>
        <w:spacing w:after="120" w:line="228" w:lineRule="auto"/>
        <w:ind w:left="1134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eastAsia="x-none"/>
        </w:rPr>
      </w:pP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  <w:lang w:eastAsia="x-none"/>
        </w:rPr>
        <w:t>แหล่งที่มาและใช้ไปของเงินทุน</w:t>
      </w: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eastAsia="x-none"/>
        </w:rPr>
        <w:t xml:space="preserve"> </w:t>
      </w:r>
    </w:p>
    <w:p w:rsidR="001B0047" w:rsidRPr="00B6627E" w:rsidRDefault="001B0047" w:rsidP="001B0047">
      <w:pPr>
        <w:spacing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บริษัทและบริษัทย่อยมีสภาพคล่องและแหล่งเงินทุนเพียงพอสำหรับการดำเนินธุรกิจ โดยมีแหล่งเงินทุนจากกระแสเงินสดสุทธิจากการดำเนินธุรกิจ  การกู้ยืมเงินจากสถาบันการเงินทั้งในและต่างประเทศในรูปสินเชื่อหมุนเวียนและสินเชื่อระยะยาว  และการเสนอขายหุ้นกู้  โดยตามเงื่อนไขของสัญญากู้ยืมเงินจากสถาบันการเงิน และตามข้อกำหนดว่าด้วยสิทธิและหน้าที่ของผู้ออกหุ้นกู้ มีเงื่อนไขที่สำคัญและเกี่ยวข้อง สรุปได้ ดังนี้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 </w:t>
      </w:r>
    </w:p>
    <w:p w:rsidR="001B0047" w:rsidRPr="00B6627E" w:rsidRDefault="001B0047" w:rsidP="001B0047">
      <w:pPr>
        <w:spacing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</w:p>
    <w:p w:rsidR="001B0047" w:rsidRPr="00B6627E" w:rsidRDefault="001B0047" w:rsidP="00593C20">
      <w:pPr>
        <w:numPr>
          <w:ilvl w:val="0"/>
          <w:numId w:val="3"/>
        </w:numPr>
        <w:tabs>
          <w:tab w:val="left" w:pos="1134"/>
        </w:tabs>
        <w:spacing w:before="120" w:after="200" w:line="228" w:lineRule="auto"/>
        <w:ind w:left="1134" w:firstLine="0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eastAsia="x-none"/>
        </w:rPr>
        <w:t>โครงการปูนซีเมนต์สายการผลิตที่ 4 ของบริษัท</w:t>
      </w:r>
    </w:p>
    <w:p w:rsidR="001B0047" w:rsidRPr="00B6627E" w:rsidRDefault="001B0047" w:rsidP="001B0047">
      <w:pPr>
        <w:spacing w:after="120"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โครงการปูนซีเมนต์สายการผลิตที่ 4 ของบริษัท มีมูลค่าการลงทุนประมาณ 11,500 ล้านบาท บริษัทได้รับเงินกู้ยืมจากสถาบันการเงินร้อยละ 100 ของมูลค่าโครงการ โดยกู้ยืมเงินจากสถาบันการเงินในประเทศในวงเงินกู้ยืมรวม 5,500 ล้านบาท (ได้มีการชำระคืนหนี้ทั้งหมดล่วงหน้าเมื่อเดือนสิงหาคม 2558)  และได้รับเงินกู้ยืมจากสถาบันการเงินต่างประเทศภายใต้การค้ำประกันของ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Euler Hermes Deutschland AG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ซึ่งเป็น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German Export Credit Agency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ของกระทรวงการคลัง ประเทศเยอรมนี และ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Office National Du Ducroire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หรือ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ONDD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ซึ่งเป็น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Belgian Export Credit Agency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ของประเทศเบลเยี่ยม ในวงเงินกู้ยืมรวมทั้งสิ้น 153,851,376.39 ยูโร โดยมีระยะเวลาปลอดการชำระหนี้ 36 เดือน และระยะเวลาชำระหนี้ 10 ปี โดยมีเงื่อนไขให้ดำรงอัตราส่วนหนี้สินที่มีภาระดอกเบี้ยต่อส่วนของผู้ถือหุ้น ไม่เกิน 1 : 1 และเงื่อนไขการดำรงอัตราส่วนความสามารถในการชำระหนี้ (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Debt Service Coverage Ratio)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ไม่ต่ำกว่า 1.2 : 1  โดย ณ วันที่ 31 ธันวาคม 2561 บริษัทมีภาระหนี้เงินกู้ยืมดังกล่าวคงเหลือ 114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740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696.72 ยูโร หรือ เทียบเท่า 4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301.44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ล้านบาท</w:t>
      </w:r>
    </w:p>
    <w:p w:rsidR="001B0047" w:rsidRPr="00B6627E" w:rsidRDefault="001B0047" w:rsidP="001B0047">
      <w:pPr>
        <w:spacing w:after="240"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ณ วันที่ 31 ธันวาคม 256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 บริษัทมีอัตราส่วน</w:t>
      </w:r>
      <w:r w:rsidR="007E2DDC"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หนี้สินที่มีภาระดอกเบี้ยต่อส่วนของผู้ถือหุ้น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 เท่ากับ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0.</w:t>
      </w:r>
      <w:r w:rsidR="007E2DDC"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99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 : 1 </w:t>
      </w:r>
      <w:r w:rsidR="007E2DDC" w:rsidRPr="00B6627E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eastAsia="x-none"/>
        </w:rPr>
        <w:t xml:space="preserve">และอัตราส่วนหนี้สินที่มีภาระดอกเบี้ย (สุทธิ) ต่อส่วนของผู้ถือหุ้นเท่ากับ </w:t>
      </w:r>
      <w:r w:rsidR="007E2DDC"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0.82 : 1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ซึ่งไม่เกินอัตรา 1:1 ตามที่ได้กำหนดไว้ในสัญญากู้ยืมเงินดังกล่าวข้างต้น และมี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Debt Service Coverage Ratio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เท่ากับ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2.37 : 1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ซึ่งไม่ต่ำกว่า อัตรา 1.2 : 1 ตามที่ได้กำหนดไว้ในสัญญากู้ยืมเงินดังกล่าวข้างต้น </w:t>
      </w:r>
    </w:p>
    <w:p w:rsidR="001B0047" w:rsidRPr="00B6627E" w:rsidRDefault="001B0047" w:rsidP="00593C20">
      <w:pPr>
        <w:numPr>
          <w:ilvl w:val="0"/>
          <w:numId w:val="3"/>
        </w:numPr>
        <w:spacing w:before="120" w:after="120" w:line="228" w:lineRule="auto"/>
        <w:ind w:left="1134" w:firstLine="0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eastAsia="x-none"/>
        </w:rPr>
        <w:t xml:space="preserve">  โครงการหัวรถจักรของบริษัท</w:t>
      </w:r>
    </w:p>
    <w:p w:rsidR="001B0047" w:rsidRPr="00B6627E" w:rsidRDefault="001B0047" w:rsidP="001B0047">
      <w:pPr>
        <w:spacing w:after="120"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โครงการหัวรถจักรของบริษัท มีมูลค่าโครงการรวม 24.2 ล้านเหรียญสหรัฐ บริษัทได้รับเงินกู้ยืมร้อยละ 85 ของมูลค่าโครงการ จากสถาบันการเงินต่างประเทศภายใต้การค้ำประกันของ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SINOSURE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ซึ่งเป็น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Chinese Export Credit Agency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ของประเทศจีน โดยมีเงื่อนไขให้ดำรงอัตราส่วนหนี้สินที่มีภาระดอกเบี้ยต่อส่วนของผู้ถือหุ้น ไม่เกิน 1: 1 โดย ณ วันที่ 31 ธันวาคม 2561 บริษัทมีภาระหนี้เงินกู้ดังกล่าวคงเหลือจำนวน 11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999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166.65 เหรียญสหรัฐ หรือ เทียบเท่า 391.35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ล้านบาท </w:t>
      </w:r>
    </w:p>
    <w:p w:rsidR="001B0047" w:rsidRPr="00B6627E" w:rsidRDefault="001B0047" w:rsidP="001B0047">
      <w:pPr>
        <w:spacing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ณ วันที่ 31 ธันวาคม 2561 บริษัทมีอั</w:t>
      </w:r>
      <w:r w:rsidR="007E2DDC"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ตราส่วนหนี้สินที่มีภาระดอกเบี้ย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ต่อส่วนของผู้ถือเท่ากับ </w:t>
      </w:r>
      <w:r w:rsidR="007E2DDC"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0.99 : 1 </w:t>
      </w:r>
      <w:r w:rsidR="007E2DDC" w:rsidRPr="00B6627E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eastAsia="x-none"/>
        </w:rPr>
        <w:t xml:space="preserve">และอัตราส่วนหนี้สินที่มีภาระดอกเบี้ย (สุทธิ) ต่อส่วนของผู้ถือหุ้นเท่ากับ </w:t>
      </w:r>
      <w:r w:rsidR="007E2DDC"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0.82 : 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ซึ่งไม่เกินอัตรา 1:1 ตามที่ได้กำหนดไว้ในสัญญากู้ยืมเงินดังกล่าวข้างต้น</w:t>
      </w:r>
    </w:p>
    <w:p w:rsidR="00B04CB9" w:rsidRPr="00B6627E" w:rsidRDefault="00B04CB9" w:rsidP="001B0047">
      <w:pPr>
        <w:spacing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</w:p>
    <w:p w:rsidR="001B0047" w:rsidRPr="00B6627E" w:rsidRDefault="001B0047" w:rsidP="001B0047">
      <w:pPr>
        <w:spacing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 </w:t>
      </w:r>
    </w:p>
    <w:p w:rsidR="001B0047" w:rsidRPr="00B6627E" w:rsidRDefault="001B0047" w:rsidP="00593C20">
      <w:pPr>
        <w:numPr>
          <w:ilvl w:val="0"/>
          <w:numId w:val="3"/>
        </w:numPr>
        <w:spacing w:before="120" w:after="120" w:line="228" w:lineRule="auto"/>
        <w:ind w:left="1134" w:firstLine="0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eastAsia="x-none"/>
        </w:rPr>
        <w:t>ภาระเงินกู้ 3,000 ล้านบาท ของบริษัท</w:t>
      </w:r>
    </w:p>
    <w:p w:rsidR="001B0047" w:rsidRPr="00B6627E" w:rsidRDefault="001B0047" w:rsidP="001B0047">
      <w:pPr>
        <w:spacing w:after="120"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บริษัทมีหนี้เงินกู้จากสถาบันการเงินในประเทศจำนวน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3,000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ล้านบาท โดยมีระยะเวลาชำระหนี้ 3 ปี 6 เดือน โดยมีเงื่อนไขให้ดำรงอัตราส่วนหนี้สินที่มีภาระดอกเบี้ยต่อส่วนของผู้ถือหุ้น ไม่เกิน 1.5 : 1 โดย ณ วันที่ 31 ธันวาคม 2561 บริษัทมีภาระหนี้เงินกู้ยืมดังกล่าว เท่ากับ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3,000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ล้านบาท</w:t>
      </w:r>
    </w:p>
    <w:p w:rsidR="001B0047" w:rsidRPr="00B6627E" w:rsidRDefault="001B0047" w:rsidP="001B0047">
      <w:pPr>
        <w:spacing w:after="240"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ณ วันที่ 31 ธันวาคม 256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 บริษัทมีอั</w:t>
      </w:r>
      <w:r w:rsidR="002806C5"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ตราส่วนหนี้สินที่มีภาระดอกเบี้ย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ต่อส่วนของผู้ถือหุ้น </w:t>
      </w:r>
      <w:r w:rsidR="002806C5"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0.99 : 1 </w:t>
      </w:r>
      <w:r w:rsidR="002806C5" w:rsidRPr="00B6627E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eastAsia="x-none"/>
        </w:rPr>
        <w:t xml:space="preserve">และอัตราส่วนหนี้สินที่มีภาระดอกเบี้ย (สุทธิ) ต่อส่วนของผู้ถือหุ้นเท่ากับ </w:t>
      </w:r>
      <w:r w:rsidR="002806C5"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0.82 : 1</w:t>
      </w:r>
      <w:r w:rsidR="002806C5" w:rsidRPr="00B6627E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ซึ่งไม่เกินอัตรา 1.5:1 ตามที่ได้กำหนดไว้ในสัญญากู้ยืมเงินดังกล่าวข้างต้น </w:t>
      </w:r>
    </w:p>
    <w:p w:rsidR="001B0047" w:rsidRPr="00B6627E" w:rsidRDefault="001B0047" w:rsidP="00593C20">
      <w:pPr>
        <w:numPr>
          <w:ilvl w:val="0"/>
          <w:numId w:val="3"/>
        </w:numPr>
        <w:spacing w:before="120" w:after="120" w:line="228" w:lineRule="auto"/>
        <w:ind w:left="1134" w:firstLine="0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eastAsia="x-none"/>
        </w:rPr>
        <w:t>ภาระหนี้หุ้นกู้ 36</w:t>
      </w: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eastAsia="x-none"/>
        </w:rPr>
        <w:t xml:space="preserve">530 ล้านบาท ของบริษัท  </w:t>
      </w:r>
    </w:p>
    <w:p w:rsidR="001B0047" w:rsidRPr="00B6627E" w:rsidRDefault="001B0047" w:rsidP="001B0047">
      <w:pPr>
        <w:spacing w:after="120"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ณ วันที่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31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ธันวาคม 2561 บริษัทมีภาระหนี้หุ้นกู้เท่ากับ 36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000 ล้านบาท  (ต่อมาเมื่อวันที่ 31 มกราคม 2562 มีภาระหนี้หุ้นกู้เท่ากับ</w:t>
      </w: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eastAsia="x-none"/>
        </w:rPr>
        <w:t xml:space="preserve"> 36</w:t>
      </w: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eastAsia="x-none"/>
        </w:rPr>
        <w:t xml:space="preserve">530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ล้านบาท) โดยตามข้อกำหนดสิทธิหุ้นกู้ของบริษัท มีข้อกำหนดในการดำรงไว้ ซึ่งอัตราส่วนหนี้สินที่มีภาระดอกเบี้ยต่อส่วนของผู้ถือหุ้นไม่เกิน 1.5 : 1</w:t>
      </w:r>
    </w:p>
    <w:p w:rsidR="001B0047" w:rsidRPr="00B6627E" w:rsidRDefault="001B0047" w:rsidP="001B0047">
      <w:pPr>
        <w:spacing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ณ วันที่ 31 ธันวาคม 2561 บริษัทมีอั</w:t>
      </w:r>
      <w:r w:rsidR="002806C5"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ตราส่วนหนี้สินที่มีภาระดอกเบี้ย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ต่อส่วนของผู้ถือหุ้น </w:t>
      </w:r>
      <w:r w:rsidR="002806C5"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0.99 : 1 </w:t>
      </w:r>
      <w:r w:rsidR="002806C5" w:rsidRPr="00B6627E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eastAsia="x-none"/>
        </w:rPr>
        <w:t xml:space="preserve">และอัตราส่วนหนี้สินที่มีภาระดอกเบี้ย (สุทธิ) ต่อส่วนของผู้ถือหุ้นเท่ากับ </w:t>
      </w:r>
      <w:r w:rsidR="002806C5"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0.82 : 1</w:t>
      </w:r>
      <w:r w:rsidR="002806C5" w:rsidRPr="00B6627E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ซึ่งไม่เกินอัตรา 1.5 : 1 ตามที่ได้กำหนดไว้ในสัญญากู้ยืมเงินดังกล่าวข้างต้น</w:t>
      </w:r>
    </w:p>
    <w:p w:rsidR="001B0047" w:rsidRPr="00B6627E" w:rsidRDefault="001B0047" w:rsidP="001B0047">
      <w:pPr>
        <w:spacing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</w:p>
    <w:p w:rsidR="001B0047" w:rsidRPr="00B6627E" w:rsidRDefault="001B0047" w:rsidP="00593C20">
      <w:pPr>
        <w:numPr>
          <w:ilvl w:val="0"/>
          <w:numId w:val="3"/>
        </w:numPr>
        <w:spacing w:before="120" w:after="120" w:line="228" w:lineRule="auto"/>
        <w:ind w:left="1134" w:firstLine="0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eastAsia="x-none"/>
        </w:rPr>
        <w:t xml:space="preserve">ภาระหนี้หุ้นกู้ </w:t>
      </w: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x-none"/>
        </w:rPr>
        <w:t>4,000</w:t>
      </w: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eastAsia="x-none"/>
        </w:rPr>
        <w:t xml:space="preserve"> ล้านบาทของบริษัท ทีไอ โพลีน เพาเวอร์ จำกัด (มหาชน)  </w:t>
      </w:r>
    </w:p>
    <w:p w:rsidR="001B0047" w:rsidRPr="00B6627E" w:rsidRDefault="001B0047" w:rsidP="001B0047">
      <w:pPr>
        <w:spacing w:after="120"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ณ วันที่ 31 ธันวาคม 2561 บริษัท ทีพีไอ โพลีน เพาเวอร์ จำกัด (มหาชน) มีภาระหนี้หุ้นกู้เท่ากับ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4,000</w:t>
      </w: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ล้านบาท โดยตามข้อกำหนดสิทธิหุ้นกู้ มีข้อกำหนดในการดำรงไว้ ซึ่งอัตราส่วนหนี้สินที่มีภาระดอกเบี้ยต่อส่วนของผู้ถือหุ้นไม่เกิน 1.75 : 1</w:t>
      </w:r>
    </w:p>
    <w:p w:rsidR="001B0047" w:rsidRPr="00B6627E" w:rsidRDefault="001B0047" w:rsidP="001B0047">
      <w:pPr>
        <w:spacing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ณ วันที่ 31 ธันวาคม 2561 บริษัท ทีพีไอ โพลีน เพาเวอร์ จำกัด (มหาชน) มีอัตราส่วนหนี้สินที่มีภาระดอกเบี้ย ต่อส่วนของผู้ถือหุ้น</w:t>
      </w:r>
      <w:r w:rsidR="002806C5" w:rsidRPr="00B6627E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eastAsia="x-none"/>
        </w:rPr>
        <w:t xml:space="preserve"> เท่ากับ </w:t>
      </w:r>
      <w:r w:rsidR="002806C5"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0.16 : 1 </w:t>
      </w:r>
      <w:r w:rsidR="002806C5" w:rsidRPr="00B6627E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eastAsia="x-none"/>
        </w:rPr>
        <w:t>และอัตราส่วนหนี้สินที่มีภาระดอกเบี้ย (สุทธิ) ต่อส่วนของผู้ถือหุ้น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 เท่ากับ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-0.016 : 1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(เนื่องจากบริษัทมีเงินสดและเงินลงทุน มากกว่า ภาระหนี้ทางการเงิน) ซึ่งไม่เกินอัตรา 1.75 : 1 ตามที่ได้กำหนดไว้ในสัญญากู้ยืมเงินดังกล่าวข้างต้น</w:t>
      </w:r>
    </w:p>
    <w:p w:rsidR="001B0047" w:rsidRPr="00B6627E" w:rsidRDefault="001B0047" w:rsidP="001B0047">
      <w:pPr>
        <w:spacing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eastAsia="x-none"/>
        </w:rPr>
      </w:pPr>
    </w:p>
    <w:p w:rsidR="001B0047" w:rsidRPr="00B6627E" w:rsidRDefault="001B0047" w:rsidP="001B0047">
      <w:pPr>
        <w:spacing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อนึ่ง บริษัทมีนโยบายในการบริหารสภาพคล่อง โดยการบริหารกระแสเงินสดสุทธิจากการดำเนินธุรกิจ เพื่อนำมาชำระภาระหนี้ทางการเงิน โดยมีแหล่งเงินทุนในการดำเนินธุรกิจจากวงเงินสินเชื่อหมุนเวียนที่ได้รับจากสถาบันการเงิน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และ/หรือ การออกตั๋วแลกเงิน และ/หรือ การออกหุ้นกู้  โดยปัจจุบันบริษัทมีวงเงินสินเชื่อหมุนเวียนจากสถาบันการเงินกว่า 3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000 ล้านบาท  และมีวงเงินออกตั๋วแลกเงิน ณ ขณะใดขณะหนึ่ง จำนวน 5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000 ล้านบาท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(Revolving Basis)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 </w:t>
      </w:r>
    </w:p>
    <w:p w:rsidR="001B0047" w:rsidRPr="00B6627E" w:rsidRDefault="001B0047" w:rsidP="001B0047">
      <w:pPr>
        <w:spacing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  <w:lang w:eastAsia="x-none"/>
        </w:rPr>
      </w:pPr>
    </w:p>
    <w:p w:rsidR="001B0047" w:rsidRPr="00B6627E" w:rsidRDefault="001B0047" w:rsidP="001B0047">
      <w:pPr>
        <w:spacing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ในด้านการลงทุน บริษัทมีนโยบายตั้งงบประมาณรายจ่ายลงทุน เพื่อใช้พัฒนาประสิทธิภาพการผลิต และลดต้นทุนการผลิต โดยมีแหล่งเงินทุนจากกระแสเงินสดสุทธิจากการดำเนินธุรกิจ และ/หรือ เงินกู้ยืมระยะยาวจากสถาบันการเงิน และ/หรือ การออกหุ้นกู้ ภายในวงเงินที่ได้รับอนุมัติตามมติที่ประชุมผู้ถือหุ้นของบริษัท โดยปัจจุบันบริษัทมีวงเงินคงเหลือในการออกหุ้นกู้จำนวน 19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470 ล้านบาท  </w:t>
      </w:r>
    </w:p>
    <w:p w:rsidR="001B0047" w:rsidRPr="00B6627E" w:rsidRDefault="001B0047" w:rsidP="001B0047">
      <w:pPr>
        <w:spacing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ด้านบริษัท ทีพีไอ โพลีน เพาเวอร์ จำกัด (มหาชน)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มีสภาพคล่องที่เพียงพอ จากกระแสเงินสดสุทธิจากการดำเนินธุรกิจ โดยปัจจุบันบริษัท ทีพีไอ โพลีน เพาเวอร์ จำกัด (มหาชน)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มีวงเงินสินเชื่อหมุนเวียนจากสถาบันการเงิน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 1,060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 ล้านบาท  และมีวงเงินออกตั๋วแลกเงิน ณ ขณะใดขณะหนึ่ง จำนวน 5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000 ล้านบาท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(Revolving Basis)</w:t>
      </w:r>
    </w:p>
    <w:p w:rsidR="001B0047" w:rsidRPr="00B6627E" w:rsidRDefault="001B0047" w:rsidP="001B0047">
      <w:pPr>
        <w:spacing w:line="228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ในด้านการลงทุนในโครงการต่างๆ  บริษัท ทีพีไอ โพลีน เพาเวอร์ จำกัด (มหาชน) มีแหล่งเงินทุนจากกระแสเงินสดสุทธิจากการดำเนินธุรกิจ และ/หรือ เงินกู้ยืมจากสถาบันการเงิน และ/หรือ การออกหุ้นกู้ ภายในวงเงินที่ได้รับอนุมัติจากที่ประชุมผู้ถือหุ้น โดยมีวงเงินออกหุ้นกู้ ณ ขณะใดขณะหนึ่งจำนวน 25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,000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ล้านบาท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(Revolving Basis)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 โดยปัจจุบันบริษัท ทีพีไอ โพลีน เพาเวอร์ จำกัด (มหาชน)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ได้ใช้วงเงินดังกล่าวในการออกหุ้นกู้แล้วจำนวน  4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000 ล้านบาท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จึงยังคงเหลือวงเงินที่สามารถออกหุ้นกู้ได้อีก 21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,000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 ล้านบาท</w:t>
      </w:r>
    </w:p>
    <w:p w:rsidR="001B0047" w:rsidRPr="00B6627E" w:rsidRDefault="001B0047" w:rsidP="001B0047">
      <w:pPr>
        <w:ind w:left="1134"/>
        <w:rPr>
          <w:rFonts w:asciiTheme="majorBidi" w:hAnsiTheme="majorBidi" w:cstheme="majorBidi"/>
          <w:sz w:val="16"/>
          <w:szCs w:val="16"/>
          <w:cs/>
        </w:rPr>
      </w:pPr>
    </w:p>
    <w:p w:rsidR="001B0047" w:rsidRPr="00B6627E" w:rsidRDefault="001B0047" w:rsidP="001B0047">
      <w:pPr>
        <w:spacing w:after="120" w:line="216" w:lineRule="auto"/>
        <w:ind w:left="1134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ภาระผูกพันกับบุคคล หรือ กิจการที่ไม่เกี่ยวข้องกัน</w:t>
      </w:r>
    </w:p>
    <w:p w:rsidR="001B0047" w:rsidRPr="00B6627E" w:rsidRDefault="001B0047" w:rsidP="001B0047">
      <w:pPr>
        <w:spacing w:after="120" w:line="216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ณ วันที่ 31 ธันวาคม 2561 บริษัทและบริษัทย่อยมีภาระผูกพัน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 ดังนี้</w:t>
      </w:r>
    </w:p>
    <w:p w:rsidR="001B0047" w:rsidRPr="00B6627E" w:rsidRDefault="001B0047" w:rsidP="00593C20">
      <w:pPr>
        <w:pStyle w:val="ListParagraph"/>
        <w:numPr>
          <w:ilvl w:val="0"/>
          <w:numId w:val="4"/>
        </w:numPr>
        <w:spacing w:after="120" w:line="216" w:lineRule="auto"/>
        <w:ind w:left="1418" w:hanging="284"/>
        <w:contextualSpacing w:val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ภาระผูกพันตาม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สัญญาก่อสร้างเครื่องจักร และอุปกรณ์ จำนวน 3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398 ล้านบาท  โดยใช้แหล่งเงินทุนจากกระแสเงินสดจากการดำเนินธุรกิจ รวมทั้งการออกและเสนอขายหุ้นกู้ </w:t>
      </w:r>
    </w:p>
    <w:p w:rsidR="001B0047" w:rsidRPr="00B6627E" w:rsidRDefault="001B0047" w:rsidP="00593C20">
      <w:pPr>
        <w:pStyle w:val="ListParagraph"/>
        <w:numPr>
          <w:ilvl w:val="0"/>
          <w:numId w:val="4"/>
        </w:numPr>
        <w:spacing w:after="120" w:line="216" w:lineRule="auto"/>
        <w:ind w:left="1418" w:hanging="284"/>
        <w:contextualSpacing w:val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ภาระผูกพันตามสัญญาเช่ารถ และสัญญาเช่าที่ดิน โดยแบ่งเป็นภาระผูกพันภายในระยะเวลา 1 ปี จำนวน 74 ล้านบาท  และภาระผูกพันที่มีระยะเวลามากกว่า 1 ปี แต่ไม่เกิน 5 ปี จำนวน 92 ล้านบาท โดยใช้แหล่งเงินทุนจากกระแสเงินสดจากการดำเนินธุรกิจ </w:t>
      </w:r>
    </w:p>
    <w:p w:rsidR="001B0047" w:rsidRPr="00B6627E" w:rsidRDefault="001B0047" w:rsidP="00593C20">
      <w:pPr>
        <w:pStyle w:val="ListParagraph"/>
        <w:numPr>
          <w:ilvl w:val="0"/>
          <w:numId w:val="4"/>
        </w:numPr>
        <w:spacing w:after="240" w:line="216" w:lineRule="auto"/>
        <w:ind w:left="1418" w:hanging="284"/>
        <w:contextualSpacing w:val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ภาระผูกพันที่เป็นเลตเตอร์ออฟเครดิต (เพื่อนำเข้าวัตถุดิบ และอะไหล่ต่างๆ) จำนวน 787 ล้านบาท   สัญญาสั่งซื้อวัตถุดิบ จำนวน  263 ล้านบาท  และหนังสือค้ำประกันจากธนาคารจำนวน 356 ล้านบาท โดยใช้แหล่งเงินทุนจากกระแสเงินสดจากการดำเนินธุรกิจ และวงเงินสินเชื่อหมุนเวียนจากสถาบันการเงิน จำนวนกว่า 4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,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000 ล้านบาท </w:t>
      </w:r>
    </w:p>
    <w:p w:rsidR="001B0047" w:rsidRPr="00B6627E" w:rsidRDefault="001B0047" w:rsidP="001B0047">
      <w:pPr>
        <w:spacing w:after="240" w:line="216" w:lineRule="auto"/>
        <w:ind w:left="1134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lang w:val="x-none" w:eastAsia="x-none"/>
        </w:rPr>
        <w:t xml:space="preserve">14.2  </w:t>
      </w: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 xml:space="preserve"> ผลการดำเนินงานแยกตามกลุ่มธุรกิจ</w:t>
      </w:r>
    </w:p>
    <w:p w:rsidR="001B0047" w:rsidRPr="00B6627E" w:rsidRDefault="001B0047" w:rsidP="001B0047">
      <w:pPr>
        <w:spacing w:after="120" w:line="216" w:lineRule="auto"/>
        <w:ind w:left="1134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กลุ่มวัสดุก่อสร้าง</w:t>
      </w:r>
    </w:p>
    <w:p w:rsidR="001B0047" w:rsidRPr="00B6627E" w:rsidRDefault="001B0047" w:rsidP="001B0047">
      <w:pPr>
        <w:spacing w:line="204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ในปี 2560 เทียบกับปี 2559  ปริมาณขายปูนซีเมนต์ในประเทศลดลงร้อยละ 2.9 และปริมาณขายคอนกรีตผสมเสร็จลดลงร้อยละ 13.4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เนื่องจากโครงการก่อสร้างขนาดใหญ่ทั้งของภาครัฐและภาคเอกชนลดลง ในปี 2560 ราคาขายปูนซีเมนต์ภายในประเทศเฉลี่ยปรับตัวลดลงประมาณ 40 บาทต่อตัน และราคาขายคอนกรีตผสมเสร็จปรับตัวลดลงประมาณ 90 บาทต่อลูกบาศก์เมตร เมื่อเทียบกับปี 2559 ที่ผ่านมา</w:t>
      </w:r>
    </w:p>
    <w:p w:rsidR="001B0047" w:rsidRPr="00B6627E" w:rsidRDefault="001B0047" w:rsidP="001B0047">
      <w:pPr>
        <w:spacing w:line="204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10"/>
          <w:szCs w:val="10"/>
          <w:lang w:val="x-none" w:eastAsia="x-none"/>
        </w:rPr>
      </w:pPr>
    </w:p>
    <w:p w:rsidR="001B0047" w:rsidRPr="00B6627E" w:rsidRDefault="001B0047" w:rsidP="001B0047">
      <w:pPr>
        <w:spacing w:line="204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ในปี 2561 เทียบกับปี 2560  ปริมาณขายปูนซีเมนต์ในประเทศเพิ่มขึ้นร้อยละ 2  และปริมาณขายคอนกรีตผสมเสร็จเพิ่มขึ้นร้อยละ 11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เนื่องจากโครงการก่อสร้างขนาดใหญ่ทั้งของภาครัฐและภาคเอกชนเพิ่มขึ้น ในปี 2561 ราคาขายปูนซีเมนต์ภายในประเทศ และราคาขายคอนกรีตผสมเสร็จโดยเฉลี่ยในปี 2561 ปรับตัวเพิ่มขึ้น เมื่อเทียบกับปี 2560 ที่ผ่านมา</w:t>
      </w:r>
    </w:p>
    <w:p w:rsidR="001B0047" w:rsidRPr="00B6627E" w:rsidRDefault="001B0047" w:rsidP="001B0047">
      <w:pPr>
        <w:spacing w:after="60" w:line="204" w:lineRule="auto"/>
        <w:ind w:left="1134"/>
        <w:jc w:val="thaiDistribute"/>
        <w:rPr>
          <w:rFonts w:asciiTheme="majorBidi" w:hAnsiTheme="majorBidi" w:cstheme="majorBidi"/>
          <w:b/>
          <w:bCs/>
          <w:color w:val="000000" w:themeColor="text1"/>
          <w:sz w:val="10"/>
          <w:szCs w:val="10"/>
          <w:u w:val="single"/>
          <w:lang w:val="x-none" w:eastAsia="x-none"/>
        </w:rPr>
      </w:pPr>
    </w:p>
    <w:p w:rsidR="001B0047" w:rsidRPr="00B6627E" w:rsidRDefault="001B0047" w:rsidP="001B0047">
      <w:pPr>
        <w:spacing w:after="60" w:line="204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บริษัทคาดว่าแนวโน้มอุตสาหกรรมวัสดุก่อสร้างจะดีขึ้นในปี 2562 จากการลงทุนในโครงการขนาดใหญ่ของภาครัฐ ซึ่งจะส่งผลให้รายได้และผลการดำเนินงานของกลุ่มวัสดุก่อสร้างของบริษัทดีขึ้น</w:t>
      </w:r>
    </w:p>
    <w:p w:rsidR="001B0047" w:rsidRPr="00B6627E" w:rsidRDefault="001B0047" w:rsidP="001B0047">
      <w:pPr>
        <w:spacing w:after="60" w:line="204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x-none" w:eastAsia="x-none"/>
        </w:rPr>
      </w:pPr>
    </w:p>
    <w:p w:rsidR="001B0047" w:rsidRPr="00B6627E" w:rsidRDefault="001B0047" w:rsidP="001B0047">
      <w:pPr>
        <w:spacing w:after="60" w:line="204" w:lineRule="auto"/>
        <w:ind w:left="1134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กลุ่มปิโตรเคมีและเคมีภัณฑ์</w:t>
      </w:r>
    </w:p>
    <w:p w:rsidR="001B0047" w:rsidRPr="00B6627E" w:rsidRDefault="001B0047" w:rsidP="001B0047">
      <w:pPr>
        <w:spacing w:before="120" w:line="204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ในปี 2560 เทียบกับปี 2559 ที่ผ่านมา ราคาขายเฉลี่ยเม็ดพลาสติกปรับตัวเพิ่มขึ้น ส่งผลให้อัตรากำไรขั้นต้นเพิ่มขึ้นจากร้อยละ 7.6 ในปี 2559 เป็นร้อยละ 11.5 ในปี 2560</w:t>
      </w:r>
    </w:p>
    <w:p w:rsidR="001B0047" w:rsidRPr="00B6627E" w:rsidRDefault="001B0047" w:rsidP="001B0047">
      <w:pPr>
        <w:spacing w:line="204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10"/>
          <w:szCs w:val="10"/>
          <w:lang w:val="x-none" w:eastAsia="x-none"/>
        </w:rPr>
      </w:pPr>
    </w:p>
    <w:p w:rsidR="001B0047" w:rsidRPr="00B6627E" w:rsidRDefault="001B0047" w:rsidP="001B0047">
      <w:pPr>
        <w:spacing w:line="192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ในปี 2561 เทียบกับปี 2560 ที่ผ่านมา ปริมาณขายเม็ดพลาสติก เพิ่มขึ้น ร้อยละ 4 โดยราคาขายเฉลี่ยเม็ดพลาสติกเฉลี่ยปรับตัวเพิ่มขึ้นตามราคาต้นทุนเอทิลีน   ส่งผลให้ผลประกอบการของกลุ่มปิโตรเคมีและเคมีภัณฑ์เพิ่มขึ้น โดยส่งผลให้อัตรากำไรขั้นต้น เพิ่มขึ้น จากร้อยละ 11.6 ในปี 2560 เป็นร้อยละ 13.0 ในปี 2561</w:t>
      </w:r>
    </w:p>
    <w:p w:rsidR="001B0047" w:rsidRPr="00B6627E" w:rsidRDefault="001B0047" w:rsidP="001B0047">
      <w:pPr>
        <w:spacing w:after="60" w:line="192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10"/>
          <w:szCs w:val="10"/>
          <w:lang w:val="x-none" w:eastAsia="x-none"/>
        </w:rPr>
      </w:pPr>
    </w:p>
    <w:p w:rsidR="001B0047" w:rsidRPr="00B6627E" w:rsidRDefault="001B0047" w:rsidP="001B0047">
      <w:pPr>
        <w:spacing w:after="60" w:line="192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บริษัทคาดว่า แนวโน้มอุตสาหกรรมปิโตรเคมีและเคมีภัณฑ์จะดีขึ้นในปี 2562 ซึ่งจะส่งผลให้รายได้และผลการดำเนินงานของกลุ่มปิโตรเคมีและเคมีภัณฑ์ของบริษัทดีขึ้น</w:t>
      </w:r>
    </w:p>
    <w:p w:rsidR="00B04CB9" w:rsidRPr="00B6627E" w:rsidRDefault="00B04CB9" w:rsidP="001B0047">
      <w:pPr>
        <w:spacing w:after="60" w:line="192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</w:p>
    <w:p w:rsidR="00B04CB9" w:rsidRPr="00B6627E" w:rsidRDefault="00B04CB9" w:rsidP="001B0047">
      <w:pPr>
        <w:spacing w:after="60" w:line="192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</w:p>
    <w:p w:rsidR="001B0047" w:rsidRPr="00B6627E" w:rsidRDefault="001B0047" w:rsidP="001B0047">
      <w:pPr>
        <w:spacing w:line="204" w:lineRule="auto"/>
        <w:ind w:left="1134"/>
        <w:jc w:val="thaiDistribute"/>
        <w:rPr>
          <w:rFonts w:asciiTheme="majorBidi" w:hAnsiTheme="majorBidi" w:cstheme="majorBidi"/>
          <w:b/>
          <w:bCs/>
          <w:color w:val="000000" w:themeColor="text1"/>
          <w:sz w:val="16"/>
          <w:szCs w:val="16"/>
          <w:u w:val="single"/>
          <w:lang w:val="x-none" w:eastAsia="x-none"/>
        </w:rPr>
      </w:pPr>
    </w:p>
    <w:p w:rsidR="001B0047" w:rsidRPr="00B6627E" w:rsidRDefault="001B0047" w:rsidP="001B0047">
      <w:pPr>
        <w:spacing w:after="120" w:line="204" w:lineRule="auto"/>
        <w:ind w:left="1134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</w:pP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กลุ่มพลังงานและสาธารณูปโภค</w:t>
      </w:r>
    </w:p>
    <w:p w:rsidR="001B0047" w:rsidRPr="00B6627E" w:rsidRDefault="001B0047" w:rsidP="001B0047">
      <w:pPr>
        <w:spacing w:line="204" w:lineRule="auto"/>
        <w:ind w:left="1134" w:right="45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ในปี 2560 เทียบกับปี 2559 รายได้จากการขายเพิ่มขึ้นร้อยละ 13.1 เป็นผลจากปริมาณการขายไฟฟ้าเพิ่มขึ้นร้อยละ 15.0 และราคาขายไฟฟ้าเฉลี่ยเพิ่มขึ้นร้อยละ 2.3 โดยสัดส่วนรายได้จากการขายในปี 2560  แบ่งเป็นรายได้จากโรงผลิตไฟฟ้าร้อยละ 8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6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และรายได้จากสถานีบริการน้ำมันและแก๊สร้อยละ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14</w:t>
      </w:r>
    </w:p>
    <w:p w:rsidR="001B0047" w:rsidRPr="00B6627E" w:rsidRDefault="001B0047" w:rsidP="001B0047">
      <w:pPr>
        <w:spacing w:before="240"/>
        <w:ind w:left="1134" w:right="45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ในปี 2561 เทียบกับปี 2560 รายได้จากการขายเพิ่มขึ้นร้อยละ 56.6 จากปริมาณการขายไฟฟ้าที่เพิ่มขึ้น โดยสัดส่วนรายได้ในปี 2561 ประกอบด้วยรายได้จากโรงผลิตไฟฟ้าร้อยละ </w:t>
      </w:r>
      <w:r w:rsidR="00EA3ABE"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91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และรายได้จากส</w:t>
      </w:r>
      <w:r w:rsidR="00EA3ABE"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ถานีบริการน้ำมันและแก๊สร้อยละ </w:t>
      </w:r>
      <w:r w:rsidR="00EA3ABE"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9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เนื่องจากโรงไฟฟ้า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RDF-100MW (TG6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และ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TG4)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และ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โรงไฟฟ้า 70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 MW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(TG7)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 (กำลังการผลิตที่ได้รับอนุญาต 40 เมกะวัตต์) ได้เปิดดำเนินการในเชิงพาณิชย์เมื่อวันที่ 5 เมษายน 2561 และวันที่ 18 สิงหาคม 2561 ตามลำดับ </w:t>
      </w:r>
    </w:p>
    <w:p w:rsidR="001B0047" w:rsidRPr="00B6627E" w:rsidRDefault="001B0047" w:rsidP="001B0047">
      <w:pPr>
        <w:spacing w:line="204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:rsidR="001B0047" w:rsidRPr="00B6627E" w:rsidRDefault="001B0047" w:rsidP="001B0047">
      <w:pPr>
        <w:spacing w:line="204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ในปี 2562 บริษัท ทีพีไอ โพลีน เพาเวอร์ จำกัด (มหาชน) ได้เปิดดำเนินการเชิงพาณิชย์โรงไฟฟ้าถ่านหิน 150 เมกะวัตต์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(TG8)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เมื่อวันที่ 25 มกราคม 2562 ส่งผลให้บริษัท ทีพีไอ โพลีน เพาเวอร์ จำกัด (มหาชน) มีโรงไฟฟ้าเปิดดำเนินการชิงพาณิชย์ครบถ้วน 8 โรง กำลังการผลิตรวม 440 เมกะวัตต์ (กำลังการผลิตที่ได้รับอนุญาติ 410 เมกะวัตต์) ซึ่งคาดว่าจะส่งผลให้รายได้และผลการดำเนินงานของบริษัท ทีพีไอ โพลีน เพาเวอร์ จำกัด (มหาชน) ในปี 2562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ดีขึ้น</w:t>
      </w:r>
    </w:p>
    <w:p w:rsidR="001B0047" w:rsidRPr="00B6627E" w:rsidRDefault="001B0047" w:rsidP="001B0047">
      <w:pPr>
        <w:spacing w:before="240" w:after="240" w:line="204" w:lineRule="auto"/>
        <w:ind w:left="1134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</w:pP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  <w:t>กลุ่มการเกษตร</w:t>
      </w:r>
    </w:p>
    <w:p w:rsidR="001B0047" w:rsidRPr="00B6627E" w:rsidRDefault="001B0047" w:rsidP="001B0047">
      <w:pPr>
        <w:spacing w:after="120" w:line="204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ใน ปี 2560 เทียบกับปี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2559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รายได้จากการขายเพิ่มขึ้นร้อยละ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28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เป็นผลจากปริมาณขายที่เพิ่มขึ้น เนื่องจากการส่งเสริมการเกษตรอินทรีย์จากภาครัฐ ประกอบกับสภาพอากาศและปริมาณน้ำที่เอื้ออำนวยในการทำเกษตร จึงทำให้ภาคการเกษตรขยายตัวสูงขึ้น</w:t>
      </w:r>
    </w:p>
    <w:p w:rsidR="001B0047" w:rsidRPr="00B6627E" w:rsidRDefault="001B0047" w:rsidP="001B0047">
      <w:pPr>
        <w:spacing w:after="120" w:line="204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ใน ปี 2561 เทียบกับปี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2560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รายได้จากการขายลดลง ร้อยละ </w:t>
      </w:r>
      <w:r w:rsidR="005256E9"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0.3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เป็นผลจากราคาสินค้าเกษตรตกต่ำ (ยกว้นข้าว) เกษตรกรลดการใช้ปุ๋ย เพื่อลดต้นทุนการผลิต </w:t>
      </w:r>
    </w:p>
    <w:p w:rsidR="001B0047" w:rsidRPr="00B6627E" w:rsidRDefault="001B0047" w:rsidP="001B0047">
      <w:pPr>
        <w:ind w:left="1134"/>
        <w:jc w:val="thaiDistribute"/>
        <w:rPr>
          <w:rFonts w:asciiTheme="majorBidi" w:hAnsiTheme="majorBidi" w:cstheme="majorBidi"/>
          <w:sz w:val="26"/>
          <w:szCs w:val="26"/>
        </w:rPr>
      </w:pPr>
      <w:r w:rsidRPr="00B6627E">
        <w:rPr>
          <w:rFonts w:asciiTheme="majorBidi" w:hAnsiTheme="majorBidi" w:cstheme="majorBidi"/>
          <w:sz w:val="26"/>
          <w:szCs w:val="26"/>
          <w:cs/>
        </w:rPr>
        <w:t>ในปี 2562 ด้วยผลิตภัณฑ์ที่หลากหลาย  และเริ่มเป็นที่รู้จัก คาดว่าจะส่งผลให้รายได้และผลการดำเนินงานในธุรกิจกลุ่มการเกษตรของกลุ่มบริษัททีพีไอโพลีน ดีขึ้น</w:t>
      </w:r>
    </w:p>
    <w:p w:rsidR="00445E96" w:rsidRPr="00B6627E" w:rsidRDefault="00445E96" w:rsidP="001A581C">
      <w:pPr>
        <w:spacing w:line="180" w:lineRule="auto"/>
        <w:ind w:left="426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BE79C5" w:rsidRPr="00B6627E" w:rsidRDefault="00BE79C5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BE79C5" w:rsidRPr="00B6627E" w:rsidRDefault="00BE79C5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BE79C5" w:rsidRPr="00B6627E" w:rsidRDefault="00BE79C5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BE79C5" w:rsidRPr="00B6627E" w:rsidRDefault="00BE79C5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B6627E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B6627E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B6627E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B6627E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B6627E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B6627E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B6627E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B6627E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B6627E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1A581C" w:rsidRPr="00B6627E" w:rsidRDefault="001A581C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1A581C" w:rsidRPr="00B6627E" w:rsidRDefault="001A581C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1A581C" w:rsidRPr="00B6627E" w:rsidRDefault="001A581C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1A581C" w:rsidRPr="00B6627E" w:rsidRDefault="001A581C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B6627E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B6627E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B6627E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B6627E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E10D5F" w:rsidRPr="00B6627E" w:rsidRDefault="00E10D5F" w:rsidP="00E10D5F">
      <w:pPr>
        <w:spacing w:line="228" w:lineRule="auto"/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</w:pPr>
      <w:r w:rsidRPr="00B6627E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ตารางสรุปงบการเงินรวมของ บริษัท ทีพีไอโพลีน จำกัด</w:t>
      </w:r>
      <w:r w:rsidRPr="00B6627E">
        <w:rPr>
          <w:rFonts w:asciiTheme="majorBidi" w:hAnsiTheme="majorBidi" w:cstheme="majorBidi"/>
          <w:b/>
          <w:bCs/>
          <w:sz w:val="26"/>
          <w:szCs w:val="26"/>
          <w:u w:val="single"/>
        </w:rPr>
        <w:t xml:space="preserve"> (</w:t>
      </w:r>
      <w:r w:rsidRPr="00B6627E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มหาชน</w:t>
      </w:r>
      <w:r w:rsidRPr="00B6627E">
        <w:rPr>
          <w:rFonts w:asciiTheme="majorBidi" w:hAnsiTheme="majorBidi" w:cstheme="majorBidi"/>
          <w:b/>
          <w:bCs/>
          <w:sz w:val="26"/>
          <w:szCs w:val="26"/>
          <w:u w:val="single"/>
        </w:rPr>
        <w:t xml:space="preserve">) </w:t>
      </w:r>
      <w:r w:rsidRPr="00B6627E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สำหรับ</w:t>
      </w:r>
      <w:r w:rsidRPr="00B6627E">
        <w:rPr>
          <w:rFonts w:asciiTheme="majorBidi" w:hAnsiTheme="majorBidi" w:cstheme="majorBidi"/>
          <w:b/>
          <w:bCs/>
          <w:sz w:val="26"/>
          <w:szCs w:val="26"/>
          <w:u w:val="single"/>
        </w:rPr>
        <w:t xml:space="preserve"> </w:t>
      </w:r>
      <w:r w:rsidRPr="00B6627E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ปี</w:t>
      </w:r>
      <w:r w:rsidRPr="00B6627E">
        <w:rPr>
          <w:rFonts w:asciiTheme="majorBidi" w:hAnsiTheme="majorBidi" w:cstheme="majorBidi"/>
          <w:b/>
          <w:bCs/>
          <w:sz w:val="26"/>
          <w:szCs w:val="26"/>
          <w:u w:val="single"/>
        </w:rPr>
        <w:t xml:space="preserve"> 2559  </w:t>
      </w:r>
      <w:r w:rsidRPr="00B6627E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 xml:space="preserve">ปี </w:t>
      </w:r>
      <w:r w:rsidRPr="00B6627E">
        <w:rPr>
          <w:rFonts w:asciiTheme="majorBidi" w:hAnsiTheme="majorBidi" w:cstheme="majorBidi"/>
          <w:b/>
          <w:bCs/>
          <w:sz w:val="26"/>
          <w:szCs w:val="26"/>
          <w:u w:val="single"/>
        </w:rPr>
        <w:t>2560</w:t>
      </w:r>
      <w:r w:rsidRPr="00B6627E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 xml:space="preserve"> และปี </w:t>
      </w:r>
      <w:r w:rsidRPr="00B6627E">
        <w:rPr>
          <w:rFonts w:asciiTheme="majorBidi" w:hAnsiTheme="majorBidi" w:cstheme="majorBidi"/>
          <w:b/>
          <w:bCs/>
          <w:sz w:val="26"/>
          <w:szCs w:val="26"/>
          <w:u w:val="single"/>
        </w:rPr>
        <w:t>2561</w:t>
      </w:r>
    </w:p>
    <w:p w:rsidR="004F5E48" w:rsidRPr="00B6627E" w:rsidRDefault="004F5E48" w:rsidP="004F5E48">
      <w:pPr>
        <w:spacing w:before="120" w:after="240" w:line="228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B6627E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งบดุล (งบการเงินรวม) </w:t>
      </w:r>
      <w:r w:rsidRPr="00B6627E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tbl>
      <w:tblPr>
        <w:tblW w:w="9341" w:type="dxa"/>
        <w:tblInd w:w="-72" w:type="dxa"/>
        <w:tblLook w:val="00A0" w:firstRow="1" w:lastRow="0" w:firstColumn="1" w:lastColumn="0" w:noHBand="0" w:noVBand="0"/>
      </w:tblPr>
      <w:tblGrid>
        <w:gridCol w:w="3196"/>
        <w:gridCol w:w="1048"/>
        <w:gridCol w:w="943"/>
        <w:gridCol w:w="1141"/>
        <w:gridCol w:w="900"/>
        <w:gridCol w:w="1141"/>
        <w:gridCol w:w="972"/>
      </w:tblGrid>
      <w:tr w:rsidR="004F5E48" w:rsidRPr="00B6627E" w:rsidTr="004F5E48">
        <w:trPr>
          <w:trHeight w:val="260"/>
        </w:trPr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:rsidR="004F5E48" w:rsidRPr="00B6627E" w:rsidRDefault="004F5E48" w:rsidP="004F5E48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B6627E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szCs w:val="24"/>
                <w:cs/>
              </w:rPr>
              <w:t>รอบปีบัญชีสิ้นสุด ณ วันที่ 31 ธันวาคม</w:t>
            </w:r>
          </w:p>
        </w:tc>
      </w:tr>
      <w:tr w:rsidR="004F5E48" w:rsidRPr="00B6627E" w:rsidTr="004F5E48">
        <w:trPr>
          <w:trHeight w:val="144"/>
        </w:trPr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B6627E" w:rsidRDefault="004F5E48" w:rsidP="00A906CB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B6627E">
              <w:rPr>
                <w:rFonts w:asciiTheme="majorBidi" w:hAnsiTheme="majorBidi" w:cstheme="majorBidi"/>
                <w:szCs w:val="24"/>
              </w:rPr>
              <w:t>2559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B6627E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B6627E">
              <w:rPr>
                <w:rFonts w:asciiTheme="majorBidi" w:hAnsiTheme="majorBidi" w:cstheme="majorBidi"/>
                <w:szCs w:val="24"/>
              </w:rPr>
              <w:t>2560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B6627E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B6627E">
              <w:rPr>
                <w:rFonts w:asciiTheme="majorBidi" w:hAnsiTheme="majorBidi" w:cstheme="majorBidi"/>
                <w:szCs w:val="24"/>
              </w:rPr>
              <w:t>2561</w:t>
            </w:r>
          </w:p>
        </w:tc>
      </w:tr>
      <w:tr w:rsidR="004F5E48" w:rsidRPr="00B6627E" w:rsidTr="004F5E48">
        <w:trPr>
          <w:trHeight w:val="162"/>
        </w:trPr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B6627E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B6627E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B6627E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szCs w:val="24"/>
                <w:cs/>
              </w:rPr>
              <w:t>ร้อยละ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B6627E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B6627E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B6627E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szCs w:val="24"/>
                <w:cs/>
              </w:rPr>
              <w:t>ร้อยละ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B6627E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B6627E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szCs w:val="24"/>
                <w:cs/>
              </w:rPr>
              <w:t>ร้อยละ</w:t>
            </w:r>
          </w:p>
        </w:tc>
      </w:tr>
      <w:tr w:rsidR="004F5E48" w:rsidRPr="00B6627E" w:rsidTr="004F5E48">
        <w:trPr>
          <w:trHeight w:val="152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19,549,201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21.11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24,194,558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23.45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28,391,149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25.70</w:t>
            </w:r>
          </w:p>
        </w:tc>
      </w:tr>
      <w:tr w:rsidR="004F5E48" w:rsidRPr="00B6627E" w:rsidTr="004F5E48">
        <w:trPr>
          <w:trHeight w:val="269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ที่ดินอาคารและอุปกรณ์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69,833,310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75.40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76,551,024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74.19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79,455,918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71.91</w:t>
            </w:r>
          </w:p>
        </w:tc>
      </w:tr>
      <w:tr w:rsidR="004F5E48" w:rsidRPr="00B6627E" w:rsidTr="004F5E48">
        <w:trPr>
          <w:trHeight w:val="269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สินทรัพย์ไม่หมุนเวียนอื่น *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3,235,591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3.49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2,432,053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2.36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2,640,857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2.39</w:t>
            </w:r>
          </w:p>
        </w:tc>
      </w:tr>
      <w:tr w:rsidR="004F5E48" w:rsidRPr="00B6627E" w:rsidTr="004F5E48">
        <w:trPr>
          <w:trHeight w:val="163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</w:pPr>
            <w:r w:rsidRPr="00B6627E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สินทรัพย์รวม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92,618,102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100.00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103,177,635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100.00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110,487,924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100.00</w:t>
            </w:r>
          </w:p>
        </w:tc>
      </w:tr>
      <w:tr w:rsidR="004F5E48" w:rsidRPr="00B6627E" w:rsidTr="004F5E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299" w:type="dxa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หนี้สิน</w:t>
            </w:r>
            <w:r w:rsidRPr="00B6627E">
              <w:rPr>
                <w:rFonts w:asciiTheme="majorBidi" w:hAnsiTheme="majorBidi" w:cstheme="majorBidi"/>
                <w:szCs w:val="24"/>
                <w:cs/>
              </w:rPr>
              <w:t>หมุนเวียน</w:t>
            </w:r>
          </w:p>
        </w:tc>
        <w:tc>
          <w:tcPr>
            <w:tcW w:w="1009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17,068,947</w:t>
            </w:r>
          </w:p>
        </w:tc>
        <w:tc>
          <w:tcPr>
            <w:tcW w:w="954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18.43</w:t>
            </w:r>
          </w:p>
        </w:tc>
        <w:tc>
          <w:tcPr>
            <w:tcW w:w="104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16,216,936</w:t>
            </w:r>
          </w:p>
        </w:tc>
        <w:tc>
          <w:tcPr>
            <w:tcW w:w="908" w:type="dxa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15.72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19,220,280</w:t>
            </w:r>
          </w:p>
        </w:tc>
        <w:tc>
          <w:tcPr>
            <w:tcW w:w="984" w:type="dxa"/>
            <w:tcBorders>
              <w:left w:val="single" w:sz="4" w:space="0" w:color="auto"/>
            </w:tcBorders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17.40</w:t>
            </w:r>
          </w:p>
        </w:tc>
      </w:tr>
      <w:tr w:rsidR="004F5E48" w:rsidRPr="00B6627E" w:rsidTr="004F5E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6"/>
        </w:trPr>
        <w:tc>
          <w:tcPr>
            <w:tcW w:w="3299" w:type="dxa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9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8,002,058</w:t>
            </w:r>
          </w:p>
        </w:tc>
        <w:tc>
          <w:tcPr>
            <w:tcW w:w="954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8.64</w:t>
            </w:r>
          </w:p>
        </w:tc>
        <w:tc>
          <w:tcPr>
            <w:tcW w:w="104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5,039,377</w:t>
            </w:r>
          </w:p>
        </w:tc>
        <w:tc>
          <w:tcPr>
            <w:tcW w:w="908" w:type="dxa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4.88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6,235,392</w:t>
            </w:r>
          </w:p>
        </w:tc>
        <w:tc>
          <w:tcPr>
            <w:tcW w:w="984" w:type="dxa"/>
            <w:tcBorders>
              <w:left w:val="single" w:sz="4" w:space="0" w:color="auto"/>
            </w:tcBorders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5.64</w:t>
            </w:r>
          </w:p>
        </w:tc>
      </w:tr>
      <w:tr w:rsidR="004F5E48" w:rsidRPr="00B6627E" w:rsidTr="004F5E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299" w:type="dxa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หนี้สินไม่หมุนเวียนอื่น</w:t>
            </w: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 xml:space="preserve"> **</w:t>
            </w:r>
          </w:p>
        </w:tc>
        <w:tc>
          <w:tcPr>
            <w:tcW w:w="1009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30,792,569</w:t>
            </w:r>
          </w:p>
        </w:tc>
        <w:tc>
          <w:tcPr>
            <w:tcW w:w="954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33.25</w:t>
            </w:r>
          </w:p>
        </w:tc>
        <w:tc>
          <w:tcPr>
            <w:tcW w:w="104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29,835,188</w:t>
            </w:r>
          </w:p>
        </w:tc>
        <w:tc>
          <w:tcPr>
            <w:tcW w:w="908" w:type="dxa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28.92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34,095,663</w:t>
            </w:r>
          </w:p>
        </w:tc>
        <w:tc>
          <w:tcPr>
            <w:tcW w:w="984" w:type="dxa"/>
            <w:tcBorders>
              <w:left w:val="single" w:sz="4" w:space="0" w:color="auto"/>
            </w:tcBorders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30.86</w:t>
            </w:r>
          </w:p>
        </w:tc>
      </w:tr>
      <w:tr w:rsidR="004F5E48" w:rsidRPr="00B6627E" w:rsidTr="004F5E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1"/>
        </w:trPr>
        <w:tc>
          <w:tcPr>
            <w:tcW w:w="3299" w:type="dxa"/>
            <w:shd w:val="clear" w:color="auto" w:fill="D9D9D9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หนี้สินรวม </w:t>
            </w:r>
          </w:p>
        </w:tc>
        <w:tc>
          <w:tcPr>
            <w:tcW w:w="1009" w:type="dxa"/>
            <w:shd w:val="clear" w:color="auto" w:fill="D9D9D9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55,863,574</w:t>
            </w:r>
          </w:p>
        </w:tc>
        <w:tc>
          <w:tcPr>
            <w:tcW w:w="954" w:type="dxa"/>
            <w:shd w:val="clear" w:color="auto" w:fill="D9D9D9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60.32</w:t>
            </w:r>
          </w:p>
        </w:tc>
        <w:tc>
          <w:tcPr>
            <w:tcW w:w="1048" w:type="dxa"/>
            <w:shd w:val="clear" w:color="auto" w:fill="D9D9D9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51,091,501</w:t>
            </w:r>
          </w:p>
        </w:tc>
        <w:tc>
          <w:tcPr>
            <w:tcW w:w="908" w:type="dxa"/>
            <w:shd w:val="clear" w:color="auto" w:fill="D9D9D9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49.52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shd w:val="clear" w:color="auto" w:fill="D9D9D9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59,551,335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D9D9D9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53.90</w:t>
            </w:r>
          </w:p>
        </w:tc>
      </w:tr>
      <w:tr w:rsidR="004F5E48" w:rsidRPr="00B6627E" w:rsidTr="004F5E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3"/>
        </w:trPr>
        <w:tc>
          <w:tcPr>
            <w:tcW w:w="3299" w:type="dxa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ส่วนของผู้ถือหุ้น</w:t>
            </w:r>
          </w:p>
        </w:tc>
        <w:tc>
          <w:tcPr>
            <w:tcW w:w="1009" w:type="dxa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54" w:type="dxa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48" w:type="dxa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8" w:type="dxa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4F5E48" w:rsidRPr="00B6627E" w:rsidTr="004F5E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3"/>
        </w:trPr>
        <w:tc>
          <w:tcPr>
            <w:tcW w:w="3299" w:type="dxa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ทุนจดทะเบียน</w:t>
            </w:r>
          </w:p>
        </w:tc>
        <w:tc>
          <w:tcPr>
            <w:tcW w:w="1009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24,815,000</w:t>
            </w:r>
          </w:p>
        </w:tc>
        <w:tc>
          <w:tcPr>
            <w:tcW w:w="954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26.79</w:t>
            </w:r>
          </w:p>
        </w:tc>
        <w:tc>
          <w:tcPr>
            <w:tcW w:w="104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24,815,000</w:t>
            </w:r>
          </w:p>
        </w:tc>
        <w:tc>
          <w:tcPr>
            <w:tcW w:w="90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24.05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24,815,000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22.46</w:t>
            </w:r>
          </w:p>
        </w:tc>
      </w:tr>
      <w:tr w:rsidR="004F5E48" w:rsidRPr="00B6627E" w:rsidTr="004F5E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7"/>
        </w:trPr>
        <w:tc>
          <w:tcPr>
            <w:tcW w:w="3299" w:type="dxa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009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20,190,000</w:t>
            </w:r>
          </w:p>
        </w:tc>
        <w:tc>
          <w:tcPr>
            <w:tcW w:w="954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21.80</w:t>
            </w:r>
          </w:p>
        </w:tc>
        <w:tc>
          <w:tcPr>
            <w:tcW w:w="104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20,190,000</w:t>
            </w:r>
          </w:p>
        </w:tc>
        <w:tc>
          <w:tcPr>
            <w:tcW w:w="90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19.57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20,190,000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18.27</w:t>
            </w:r>
          </w:p>
        </w:tc>
      </w:tr>
      <w:tr w:rsidR="004F5E48" w:rsidRPr="00B6627E" w:rsidTr="004F5E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6"/>
        </w:trPr>
        <w:tc>
          <w:tcPr>
            <w:tcW w:w="3299" w:type="dxa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หุ้นทุนซื้อคืนที่ถือโดยบริษัทย่อย</w:t>
            </w:r>
          </w:p>
        </w:tc>
        <w:tc>
          <w:tcPr>
            <w:tcW w:w="1009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359,235)</w:t>
            </w:r>
          </w:p>
        </w:tc>
        <w:tc>
          <w:tcPr>
            <w:tcW w:w="954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(0.39)</w:t>
            </w:r>
          </w:p>
        </w:tc>
        <w:tc>
          <w:tcPr>
            <w:tcW w:w="104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(359,235)</w:t>
            </w:r>
          </w:p>
        </w:tc>
        <w:tc>
          <w:tcPr>
            <w:tcW w:w="90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(0.35)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4F5E48" w:rsidRPr="00B6627E" w:rsidTr="004F5E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0"/>
        </w:trPr>
        <w:tc>
          <w:tcPr>
            <w:tcW w:w="3299" w:type="dxa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หุ้นทุนซื้อคืน</w:t>
            </w:r>
          </w:p>
        </w:tc>
        <w:tc>
          <w:tcPr>
            <w:tcW w:w="1009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04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90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(</w:t>
            </w: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1,682,625</w:t>
            </w: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(</w:t>
            </w: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1.52</w:t>
            </w: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)</w:t>
            </w:r>
          </w:p>
        </w:tc>
      </w:tr>
      <w:tr w:rsidR="004F5E48" w:rsidRPr="00B6627E" w:rsidTr="004F5E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0"/>
        </w:trPr>
        <w:tc>
          <w:tcPr>
            <w:tcW w:w="3299" w:type="dxa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ส่วนเกินมูลค่าหุ้น</w:t>
            </w:r>
          </w:p>
        </w:tc>
        <w:tc>
          <w:tcPr>
            <w:tcW w:w="1009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60,600</w:t>
            </w:r>
          </w:p>
        </w:tc>
        <w:tc>
          <w:tcPr>
            <w:tcW w:w="954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0.07</w:t>
            </w:r>
          </w:p>
        </w:tc>
        <w:tc>
          <w:tcPr>
            <w:tcW w:w="104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60,600</w:t>
            </w:r>
          </w:p>
        </w:tc>
        <w:tc>
          <w:tcPr>
            <w:tcW w:w="90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0.06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60,600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0.05</w:t>
            </w:r>
          </w:p>
        </w:tc>
      </w:tr>
      <w:tr w:rsidR="004F5E48" w:rsidRPr="00B6627E" w:rsidTr="004F5E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7"/>
        </w:trPr>
        <w:tc>
          <w:tcPr>
            <w:tcW w:w="3299" w:type="dxa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ส่วนเกินหุ้นทุนซื้อคืน</w:t>
            </w:r>
          </w:p>
        </w:tc>
        <w:tc>
          <w:tcPr>
            <w:tcW w:w="1009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04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90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35,218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0.03</w:t>
            </w:r>
          </w:p>
        </w:tc>
      </w:tr>
      <w:tr w:rsidR="004F5E48" w:rsidRPr="00B6627E" w:rsidTr="004F5E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7"/>
        </w:trPr>
        <w:tc>
          <w:tcPr>
            <w:tcW w:w="3299" w:type="dxa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ส่วนเกิน</w:t>
            </w: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(</w:t>
            </w: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ต่ำกว่า</w:t>
            </w:r>
            <w:r w:rsidRPr="00B6627E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)</w:t>
            </w: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ทุนอื่น</w:t>
            </w:r>
          </w:p>
        </w:tc>
        <w:tc>
          <w:tcPr>
            <w:tcW w:w="1009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52,943</w:t>
            </w:r>
          </w:p>
        </w:tc>
        <w:tc>
          <w:tcPr>
            <w:tcW w:w="954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0.06</w:t>
            </w:r>
          </w:p>
        </w:tc>
        <w:tc>
          <w:tcPr>
            <w:tcW w:w="104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9,840,436</w:t>
            </w:r>
          </w:p>
        </w:tc>
        <w:tc>
          <w:tcPr>
            <w:tcW w:w="90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9.54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9,840,436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8.91</w:t>
            </w:r>
          </w:p>
        </w:tc>
      </w:tr>
      <w:tr w:rsidR="004F5E48" w:rsidRPr="00B6627E" w:rsidTr="004F5E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7"/>
        </w:trPr>
        <w:tc>
          <w:tcPr>
            <w:tcW w:w="3299" w:type="dxa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กำไรสะสม</w:t>
            </w:r>
          </w:p>
        </w:tc>
        <w:tc>
          <w:tcPr>
            <w:tcW w:w="1009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16,693,810</w:t>
            </w:r>
          </w:p>
        </w:tc>
        <w:tc>
          <w:tcPr>
            <w:tcW w:w="954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18.02</w:t>
            </w:r>
          </w:p>
        </w:tc>
        <w:tc>
          <w:tcPr>
            <w:tcW w:w="104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15,036,655</w:t>
            </w:r>
          </w:p>
        </w:tc>
        <w:tc>
          <w:tcPr>
            <w:tcW w:w="90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14.57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14,928,646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13.51</w:t>
            </w:r>
          </w:p>
        </w:tc>
      </w:tr>
      <w:tr w:rsidR="004F5E48" w:rsidRPr="00B6627E" w:rsidTr="004F5E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8"/>
        </w:trPr>
        <w:tc>
          <w:tcPr>
            <w:tcW w:w="3299" w:type="dxa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009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110,412</w:t>
            </w:r>
          </w:p>
        </w:tc>
        <w:tc>
          <w:tcPr>
            <w:tcW w:w="954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0.12</w:t>
            </w:r>
          </w:p>
        </w:tc>
        <w:tc>
          <w:tcPr>
            <w:tcW w:w="104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114,160</w:t>
            </w:r>
          </w:p>
        </w:tc>
        <w:tc>
          <w:tcPr>
            <w:tcW w:w="90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0.11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109,437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0.10</w:t>
            </w:r>
          </w:p>
        </w:tc>
      </w:tr>
      <w:tr w:rsidR="004F5E48" w:rsidRPr="00B6627E" w:rsidTr="004F5E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1"/>
        </w:trPr>
        <w:tc>
          <w:tcPr>
            <w:tcW w:w="3299" w:type="dxa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009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5,998</w:t>
            </w:r>
          </w:p>
        </w:tc>
        <w:tc>
          <w:tcPr>
            <w:tcW w:w="954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0.01</w:t>
            </w:r>
          </w:p>
        </w:tc>
        <w:tc>
          <w:tcPr>
            <w:tcW w:w="104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7,203,518</w:t>
            </w:r>
          </w:p>
        </w:tc>
        <w:tc>
          <w:tcPr>
            <w:tcW w:w="90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6.98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7,454,877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6.75</w:t>
            </w:r>
          </w:p>
        </w:tc>
      </w:tr>
      <w:tr w:rsidR="004F5E48" w:rsidRPr="00B6627E" w:rsidTr="004F5E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2"/>
        </w:trPr>
        <w:tc>
          <w:tcPr>
            <w:tcW w:w="3299" w:type="dxa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ส่วนของผู้ถือหุ้น</w:t>
            </w:r>
          </w:p>
        </w:tc>
        <w:tc>
          <w:tcPr>
            <w:tcW w:w="1009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36,754,528</w:t>
            </w:r>
          </w:p>
        </w:tc>
        <w:tc>
          <w:tcPr>
            <w:tcW w:w="954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39.68</w:t>
            </w:r>
          </w:p>
        </w:tc>
        <w:tc>
          <w:tcPr>
            <w:tcW w:w="104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52,086,134</w:t>
            </w:r>
          </w:p>
        </w:tc>
        <w:tc>
          <w:tcPr>
            <w:tcW w:w="908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50.48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50,936,589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46.10</w:t>
            </w:r>
          </w:p>
        </w:tc>
      </w:tr>
      <w:tr w:rsidR="004F5E48" w:rsidRPr="00B6627E" w:rsidTr="004F5E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299" w:type="dxa"/>
            <w:shd w:val="clear" w:color="auto" w:fill="D9D9D9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รวมหนี้สินและส่วนของผู้ถือหุ้น</w:t>
            </w:r>
          </w:p>
        </w:tc>
        <w:tc>
          <w:tcPr>
            <w:tcW w:w="1009" w:type="dxa"/>
            <w:shd w:val="clear" w:color="auto" w:fill="D9D9D9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92,618,102</w:t>
            </w:r>
          </w:p>
        </w:tc>
        <w:tc>
          <w:tcPr>
            <w:tcW w:w="954" w:type="dxa"/>
            <w:shd w:val="clear" w:color="auto" w:fill="D9D9D9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100.00</w:t>
            </w:r>
          </w:p>
        </w:tc>
        <w:tc>
          <w:tcPr>
            <w:tcW w:w="1048" w:type="dxa"/>
            <w:shd w:val="clear" w:color="auto" w:fill="D9D9D9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103,177,635</w:t>
            </w:r>
          </w:p>
        </w:tc>
        <w:tc>
          <w:tcPr>
            <w:tcW w:w="908" w:type="dxa"/>
            <w:shd w:val="clear" w:color="auto" w:fill="D9D9D9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100.00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shd w:val="clear" w:color="auto" w:fill="D9D9D9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110,487,924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D9D9D9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100.00</w:t>
            </w:r>
          </w:p>
        </w:tc>
      </w:tr>
    </w:tbl>
    <w:p w:rsidR="004F5E48" w:rsidRPr="00B6627E" w:rsidRDefault="004F5E48" w:rsidP="004F5E48">
      <w:pPr>
        <w:spacing w:before="120" w:line="228" w:lineRule="auto"/>
        <w:ind w:left="992" w:hanging="1134"/>
        <w:rPr>
          <w:rFonts w:asciiTheme="majorBidi" w:hAnsiTheme="majorBidi" w:cstheme="majorBidi"/>
          <w:sz w:val="22"/>
          <w:szCs w:val="22"/>
        </w:rPr>
      </w:pPr>
      <w:r w:rsidRPr="00B6627E">
        <w:rPr>
          <w:rFonts w:asciiTheme="majorBidi" w:hAnsiTheme="majorBidi" w:cstheme="majorBidi"/>
          <w:sz w:val="22"/>
          <w:szCs w:val="22"/>
          <w:u w:val="single"/>
          <w:cs/>
        </w:rPr>
        <w:t>หมายเหตุ</w:t>
      </w:r>
      <w:r w:rsidRPr="00B6627E">
        <w:rPr>
          <w:rFonts w:asciiTheme="majorBidi" w:hAnsiTheme="majorBidi" w:cstheme="majorBidi"/>
          <w:sz w:val="22"/>
          <w:szCs w:val="22"/>
        </w:rPr>
        <w:t xml:space="preserve"> </w:t>
      </w:r>
      <w:r w:rsidRPr="00B6627E">
        <w:rPr>
          <w:rFonts w:asciiTheme="majorBidi" w:hAnsiTheme="majorBidi" w:cstheme="majorBidi"/>
          <w:sz w:val="22"/>
          <w:szCs w:val="22"/>
          <w:cs/>
        </w:rPr>
        <w:t xml:space="preserve">         *    สินทรัพย์ไม่หมุนเวียนอื่น ประกอบไปด้วย เงินลงทุนในบริษัทร่วมและการร่วมค้า เงินลงทุนระยะยาวในกิจการที่เกี่ยวข้องกัน เงินลงทุนระยะยาวอื่น อสังหาริมทรัพย์เพื่อการลงทุน สิทธิการเช่าที่ดิน สินทรัพย์ไม่มีตัวตน สินทรัพย์ภาษีเงินได้รอการตัดบัญชี เงินจ่ายล่วงหน้าค่าอาคารและอุปกรณ์ และสินทรัพย์ไม่หมุนเวียนอื่น</w:t>
      </w:r>
    </w:p>
    <w:p w:rsidR="004F5E48" w:rsidRPr="00B6627E" w:rsidRDefault="004F5E48" w:rsidP="004F5E48">
      <w:pPr>
        <w:spacing w:line="228" w:lineRule="auto"/>
        <w:ind w:left="426" w:right="-777" w:hanging="1134"/>
        <w:rPr>
          <w:rFonts w:asciiTheme="majorBidi" w:hAnsiTheme="majorBidi" w:cstheme="majorBidi"/>
          <w:sz w:val="22"/>
          <w:szCs w:val="22"/>
        </w:rPr>
      </w:pPr>
      <w:r w:rsidRPr="00B6627E">
        <w:rPr>
          <w:rFonts w:asciiTheme="majorBidi" w:hAnsiTheme="majorBidi" w:cstheme="majorBidi"/>
          <w:sz w:val="22"/>
          <w:szCs w:val="22"/>
          <w:cs/>
        </w:rPr>
        <w:tab/>
      </w:r>
      <w:r w:rsidRPr="00B6627E">
        <w:rPr>
          <w:rFonts w:asciiTheme="majorBidi" w:hAnsiTheme="majorBidi" w:cstheme="majorBidi"/>
          <w:sz w:val="22"/>
          <w:szCs w:val="22"/>
        </w:rPr>
        <w:tab/>
      </w:r>
      <w:r w:rsidRPr="00B6627E">
        <w:rPr>
          <w:rFonts w:asciiTheme="majorBidi" w:hAnsiTheme="majorBidi" w:cstheme="majorBidi"/>
          <w:sz w:val="22"/>
          <w:szCs w:val="22"/>
          <w:cs/>
        </w:rPr>
        <w:t>**   หนี้สินไม่หมุนเวียนเวียนอื่น ประกอบด้วย  หุ้นกู้ หนี้สินตามสัญญาเช่าการเงิน หนี้สินภาษีเงินได้รอการตัดบัญชี ประมาณการหนี้สินไม่</w:t>
      </w:r>
    </w:p>
    <w:p w:rsidR="004F5E48" w:rsidRPr="00B6627E" w:rsidRDefault="004F5E48" w:rsidP="004F5E48">
      <w:pPr>
        <w:spacing w:line="228" w:lineRule="auto"/>
        <w:ind w:left="426" w:right="-777" w:hanging="1134"/>
        <w:rPr>
          <w:rFonts w:asciiTheme="majorBidi" w:hAnsiTheme="majorBidi" w:cstheme="majorBidi"/>
          <w:sz w:val="22"/>
          <w:szCs w:val="22"/>
        </w:rPr>
      </w:pPr>
      <w:r w:rsidRPr="00B6627E">
        <w:rPr>
          <w:rFonts w:asciiTheme="majorBidi" w:hAnsiTheme="majorBidi" w:cstheme="majorBidi"/>
          <w:sz w:val="22"/>
          <w:szCs w:val="22"/>
          <w:cs/>
        </w:rPr>
        <w:t xml:space="preserve">     </w:t>
      </w:r>
      <w:r w:rsidRPr="00B6627E">
        <w:rPr>
          <w:rFonts w:asciiTheme="majorBidi" w:hAnsiTheme="majorBidi" w:cstheme="majorBidi"/>
          <w:sz w:val="22"/>
          <w:szCs w:val="22"/>
          <w:cs/>
        </w:rPr>
        <w:tab/>
      </w:r>
      <w:r w:rsidRPr="00B6627E">
        <w:rPr>
          <w:rFonts w:asciiTheme="majorBidi" w:hAnsiTheme="majorBidi" w:cstheme="majorBidi"/>
          <w:sz w:val="22"/>
          <w:szCs w:val="22"/>
          <w:cs/>
        </w:rPr>
        <w:tab/>
        <w:t xml:space="preserve">        หมุนเวียน สำหรับผลประโยชน์พนักงาน และหนี้สินไม่หมุนเวียนอื่น</w:t>
      </w:r>
    </w:p>
    <w:p w:rsidR="004F5E48" w:rsidRPr="00B6627E" w:rsidRDefault="004F5E48" w:rsidP="004F5E48">
      <w:pPr>
        <w:spacing w:line="18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4F5E48" w:rsidRPr="00B6627E" w:rsidRDefault="004F5E48" w:rsidP="004F5E48">
      <w:pPr>
        <w:spacing w:line="18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4F5E48" w:rsidRPr="00B6627E" w:rsidRDefault="004F5E48" w:rsidP="004F5E48">
      <w:pPr>
        <w:spacing w:line="18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4F5E48" w:rsidRPr="00B6627E" w:rsidRDefault="004F5E48" w:rsidP="004F5E48">
      <w:pPr>
        <w:spacing w:line="18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4F5E48" w:rsidRPr="00B6627E" w:rsidRDefault="004F5E48" w:rsidP="004F5E48">
      <w:pPr>
        <w:spacing w:line="18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251BDF" w:rsidRPr="00B6627E" w:rsidRDefault="00251BDF" w:rsidP="004F5E48">
      <w:pPr>
        <w:spacing w:line="204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4F5E48" w:rsidRPr="00B6627E" w:rsidRDefault="004F5E48" w:rsidP="004F5E48">
      <w:pPr>
        <w:spacing w:line="204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B6627E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งบกำไรขาดทุน (งบการเงินรวม) </w:t>
      </w:r>
    </w:p>
    <w:tbl>
      <w:tblPr>
        <w:tblW w:w="93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134"/>
        <w:gridCol w:w="850"/>
        <w:gridCol w:w="1275"/>
        <w:gridCol w:w="798"/>
        <w:gridCol w:w="1140"/>
        <w:gridCol w:w="856"/>
      </w:tblGrid>
      <w:tr w:rsidR="004F5E48" w:rsidRPr="00B6627E" w:rsidTr="00251BDF">
        <w:trPr>
          <w:trHeight w:val="159"/>
        </w:trPr>
        <w:tc>
          <w:tcPr>
            <w:tcW w:w="3261" w:type="dxa"/>
            <w:vMerge w:val="restart"/>
            <w:shd w:val="clear" w:color="auto" w:fill="D9D9D9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งบกำไรขาดทุน</w:t>
            </w:r>
          </w:p>
        </w:tc>
        <w:tc>
          <w:tcPr>
            <w:tcW w:w="6053" w:type="dxa"/>
            <w:gridSpan w:val="6"/>
            <w:shd w:val="clear" w:color="auto" w:fill="D9D9D9"/>
          </w:tcPr>
          <w:p w:rsidR="004F5E48" w:rsidRPr="00B6627E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รอบปีบัญชีสิ้นสุด ณ วันที่ 31 ธันวาคม</w:t>
            </w:r>
          </w:p>
        </w:tc>
      </w:tr>
      <w:tr w:rsidR="004F5E48" w:rsidRPr="00B6627E" w:rsidTr="00251BDF">
        <w:trPr>
          <w:trHeight w:val="135"/>
        </w:trPr>
        <w:tc>
          <w:tcPr>
            <w:tcW w:w="3261" w:type="dxa"/>
            <w:vMerge/>
            <w:shd w:val="clear" w:color="auto" w:fill="D9D9D9"/>
            <w:vAlign w:val="bottom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D9D9D9"/>
          </w:tcPr>
          <w:p w:rsidR="004F5E48" w:rsidRPr="00B6627E" w:rsidRDefault="004F5E48" w:rsidP="007908CE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szCs w:val="24"/>
              </w:rPr>
              <w:t>2559</w:t>
            </w:r>
          </w:p>
        </w:tc>
        <w:tc>
          <w:tcPr>
            <w:tcW w:w="2073" w:type="dxa"/>
            <w:gridSpan w:val="2"/>
            <w:shd w:val="clear" w:color="auto" w:fill="D9D9D9"/>
          </w:tcPr>
          <w:p w:rsidR="004F5E48" w:rsidRPr="00B6627E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B6627E"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996" w:type="dxa"/>
            <w:gridSpan w:val="2"/>
            <w:shd w:val="clear" w:color="auto" w:fill="D9D9D9"/>
          </w:tcPr>
          <w:p w:rsidR="004F5E48" w:rsidRPr="00B6627E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4F5E48" w:rsidRPr="00B6627E" w:rsidTr="00251BDF">
        <w:trPr>
          <w:trHeight w:val="139"/>
        </w:trPr>
        <w:tc>
          <w:tcPr>
            <w:tcW w:w="3261" w:type="dxa"/>
            <w:vMerge/>
            <w:shd w:val="clear" w:color="auto" w:fill="D9D9D9"/>
            <w:vAlign w:val="bottom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134" w:type="dxa"/>
            <w:shd w:val="clear" w:color="auto" w:fill="D9D9D9"/>
            <w:vAlign w:val="bottom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50" w:type="dxa"/>
            <w:shd w:val="clear" w:color="auto" w:fill="D9D9D9"/>
            <w:vAlign w:val="bottom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75" w:type="dxa"/>
            <w:shd w:val="clear" w:color="auto" w:fill="D9D9D9"/>
            <w:vAlign w:val="bottom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98" w:type="dxa"/>
            <w:shd w:val="clear" w:color="auto" w:fill="D9D9D9"/>
            <w:vAlign w:val="bottom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140" w:type="dxa"/>
            <w:shd w:val="clear" w:color="auto" w:fill="D9D9D9"/>
            <w:vAlign w:val="bottom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56" w:type="dxa"/>
            <w:shd w:val="clear" w:color="auto" w:fill="D9D9D9"/>
            <w:vAlign w:val="bottom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ร้อยละ</w:t>
            </w:r>
          </w:p>
        </w:tc>
      </w:tr>
      <w:tr w:rsidR="004F5E48" w:rsidRPr="00B6627E" w:rsidTr="00251BDF">
        <w:trPr>
          <w:trHeight w:val="188"/>
        </w:trPr>
        <w:tc>
          <w:tcPr>
            <w:tcW w:w="3261" w:type="dxa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34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98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</w:tr>
      <w:tr w:rsidR="004F5E48" w:rsidRPr="00B6627E" w:rsidTr="00251BDF">
        <w:trPr>
          <w:trHeight w:val="197"/>
        </w:trPr>
        <w:tc>
          <w:tcPr>
            <w:tcW w:w="3261" w:type="dxa"/>
          </w:tcPr>
          <w:p w:rsidR="004F5E48" w:rsidRPr="00B6627E" w:rsidRDefault="004F5E48" w:rsidP="004F5E48">
            <w:pPr>
              <w:numPr>
                <w:ilvl w:val="0"/>
                <w:numId w:val="1"/>
              </w:numPr>
              <w:ind w:left="176" w:hanging="176"/>
              <w:contextualSpacing/>
              <w:rPr>
                <w:rFonts w:asciiTheme="majorBidi" w:eastAsia="Calibri" w:hAnsiTheme="majorBidi" w:cstheme="majorBidi"/>
                <w:szCs w:val="24"/>
              </w:rPr>
            </w:pPr>
            <w:r w:rsidRPr="00B6627E">
              <w:rPr>
                <w:rFonts w:asciiTheme="majorBidi" w:eastAsia="Calibri" w:hAnsiTheme="majorBidi" w:cstheme="majorBidi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29,128,215</w:t>
            </w:r>
          </w:p>
        </w:tc>
        <w:tc>
          <w:tcPr>
            <w:tcW w:w="85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100.00</w:t>
            </w:r>
          </w:p>
        </w:tc>
        <w:tc>
          <w:tcPr>
            <w:tcW w:w="1275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29,088,352</w:t>
            </w:r>
          </w:p>
        </w:tc>
        <w:tc>
          <w:tcPr>
            <w:tcW w:w="798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100.00</w:t>
            </w:r>
          </w:p>
        </w:tc>
        <w:tc>
          <w:tcPr>
            <w:tcW w:w="114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34,993,161</w:t>
            </w:r>
          </w:p>
        </w:tc>
        <w:tc>
          <w:tcPr>
            <w:tcW w:w="856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100.00</w:t>
            </w:r>
          </w:p>
        </w:tc>
      </w:tr>
      <w:tr w:rsidR="004F5E48" w:rsidRPr="00B6627E" w:rsidTr="00251BDF">
        <w:trPr>
          <w:trHeight w:val="269"/>
        </w:trPr>
        <w:tc>
          <w:tcPr>
            <w:tcW w:w="3261" w:type="dxa"/>
          </w:tcPr>
          <w:p w:rsidR="004F5E48" w:rsidRPr="00B6627E" w:rsidRDefault="004F5E48" w:rsidP="004F5E48">
            <w:pPr>
              <w:numPr>
                <w:ilvl w:val="0"/>
                <w:numId w:val="1"/>
              </w:numPr>
              <w:ind w:left="176" w:right="-108" w:hanging="176"/>
              <w:contextualSpacing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B6627E">
              <w:rPr>
                <w:rFonts w:asciiTheme="majorBidi" w:eastAsia="Calibri" w:hAnsiTheme="majorBidi" w:cstheme="majorBidi"/>
                <w:szCs w:val="24"/>
                <w:cs/>
              </w:rPr>
              <w:t>รายได้ค่าขนส่ง</w:t>
            </w:r>
          </w:p>
        </w:tc>
        <w:tc>
          <w:tcPr>
            <w:tcW w:w="1134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1,264,643</w:t>
            </w:r>
          </w:p>
        </w:tc>
        <w:tc>
          <w:tcPr>
            <w:tcW w:w="85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4.34</w:t>
            </w:r>
          </w:p>
        </w:tc>
        <w:tc>
          <w:tcPr>
            <w:tcW w:w="1275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1,254,582</w:t>
            </w:r>
          </w:p>
        </w:tc>
        <w:tc>
          <w:tcPr>
            <w:tcW w:w="798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4.31</w:t>
            </w:r>
          </w:p>
        </w:tc>
        <w:tc>
          <w:tcPr>
            <w:tcW w:w="114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1,284,354</w:t>
            </w:r>
          </w:p>
        </w:tc>
        <w:tc>
          <w:tcPr>
            <w:tcW w:w="856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3.67</w:t>
            </w:r>
          </w:p>
        </w:tc>
      </w:tr>
      <w:tr w:rsidR="004F5E48" w:rsidRPr="00B6627E" w:rsidTr="00251BDF">
        <w:trPr>
          <w:trHeight w:val="224"/>
        </w:trPr>
        <w:tc>
          <w:tcPr>
            <w:tcW w:w="3261" w:type="dxa"/>
            <w:vAlign w:val="center"/>
          </w:tcPr>
          <w:p w:rsidR="004F5E48" w:rsidRPr="00B6627E" w:rsidRDefault="004F5E48" w:rsidP="004F5E48">
            <w:pPr>
              <w:contextualSpacing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B6627E">
              <w:rPr>
                <w:rFonts w:asciiTheme="majorBidi" w:eastAsia="Calibri" w:hAnsiTheme="majorBidi" w:cstheme="majorBidi"/>
                <w:szCs w:val="24"/>
              </w:rPr>
              <w:t xml:space="preserve">-   </w:t>
            </w:r>
            <w:r w:rsidRPr="00B6627E">
              <w:rPr>
                <w:rFonts w:asciiTheme="majorBidi" w:eastAsia="Calibri" w:hAnsiTheme="majorBidi" w:cstheme="majorBidi"/>
                <w:szCs w:val="24"/>
                <w:cs/>
              </w:rPr>
              <w:t>กำไรจากการต่อรองราคาซื้อ</w:t>
            </w:r>
          </w:p>
        </w:tc>
        <w:tc>
          <w:tcPr>
            <w:tcW w:w="1134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434,990</w:t>
            </w:r>
          </w:p>
        </w:tc>
        <w:tc>
          <w:tcPr>
            <w:tcW w:w="85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1.49</w:t>
            </w:r>
          </w:p>
        </w:tc>
        <w:tc>
          <w:tcPr>
            <w:tcW w:w="1275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</w:t>
            </w:r>
          </w:p>
        </w:tc>
        <w:tc>
          <w:tcPr>
            <w:tcW w:w="798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0.00</w:t>
            </w:r>
          </w:p>
        </w:tc>
        <w:tc>
          <w:tcPr>
            <w:tcW w:w="114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</w:t>
            </w:r>
          </w:p>
        </w:tc>
        <w:tc>
          <w:tcPr>
            <w:tcW w:w="856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0.00</w:t>
            </w:r>
          </w:p>
        </w:tc>
      </w:tr>
      <w:tr w:rsidR="004F5E48" w:rsidRPr="00B6627E" w:rsidTr="00251BDF">
        <w:trPr>
          <w:trHeight w:val="224"/>
        </w:trPr>
        <w:tc>
          <w:tcPr>
            <w:tcW w:w="3261" w:type="dxa"/>
            <w:vAlign w:val="center"/>
          </w:tcPr>
          <w:p w:rsidR="004F5E48" w:rsidRPr="00B6627E" w:rsidRDefault="004F5E48" w:rsidP="004F5E48">
            <w:pPr>
              <w:numPr>
                <w:ilvl w:val="0"/>
                <w:numId w:val="1"/>
              </w:numPr>
              <w:ind w:left="176" w:hanging="176"/>
              <w:contextualSpacing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B6627E">
              <w:rPr>
                <w:rFonts w:asciiTheme="majorBidi" w:eastAsia="Calibri" w:hAnsiTheme="majorBidi" w:cstheme="majorBidi"/>
                <w:szCs w:val="24"/>
                <w:cs/>
              </w:rPr>
              <w:t>กำไรจากอัตราแลกเปลี่ยนสุทธิ</w:t>
            </w:r>
          </w:p>
        </w:tc>
        <w:tc>
          <w:tcPr>
            <w:tcW w:w="1134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287,989</w:t>
            </w:r>
          </w:p>
        </w:tc>
        <w:tc>
          <w:tcPr>
            <w:tcW w:w="85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0.99</w:t>
            </w:r>
          </w:p>
        </w:tc>
        <w:tc>
          <w:tcPr>
            <w:tcW w:w="1275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162,604</w:t>
            </w:r>
          </w:p>
        </w:tc>
        <w:tc>
          <w:tcPr>
            <w:tcW w:w="798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0.56</w:t>
            </w:r>
          </w:p>
        </w:tc>
        <w:tc>
          <w:tcPr>
            <w:tcW w:w="114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382,189</w:t>
            </w:r>
          </w:p>
        </w:tc>
        <w:tc>
          <w:tcPr>
            <w:tcW w:w="856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1.09</w:t>
            </w:r>
          </w:p>
        </w:tc>
      </w:tr>
      <w:tr w:rsidR="004F5E48" w:rsidRPr="00B6627E" w:rsidTr="00251BDF">
        <w:trPr>
          <w:trHeight w:val="221"/>
        </w:trPr>
        <w:tc>
          <w:tcPr>
            <w:tcW w:w="3261" w:type="dxa"/>
            <w:vAlign w:val="center"/>
          </w:tcPr>
          <w:p w:rsidR="004F5E48" w:rsidRPr="00B6627E" w:rsidRDefault="004F5E48" w:rsidP="004F5E48">
            <w:pPr>
              <w:numPr>
                <w:ilvl w:val="0"/>
                <w:numId w:val="1"/>
              </w:numPr>
              <w:ind w:left="176" w:hanging="176"/>
              <w:contextualSpacing/>
              <w:rPr>
                <w:rFonts w:asciiTheme="majorBidi" w:eastAsia="Calibri" w:hAnsiTheme="majorBidi" w:cstheme="majorBidi"/>
                <w:szCs w:val="24"/>
              </w:rPr>
            </w:pPr>
            <w:r w:rsidRPr="00B6627E">
              <w:rPr>
                <w:rFonts w:asciiTheme="majorBidi" w:eastAsia="Calibr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376,597</w:t>
            </w:r>
          </w:p>
        </w:tc>
        <w:tc>
          <w:tcPr>
            <w:tcW w:w="85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1.29</w:t>
            </w:r>
          </w:p>
        </w:tc>
        <w:tc>
          <w:tcPr>
            <w:tcW w:w="1275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490,186</w:t>
            </w:r>
          </w:p>
        </w:tc>
        <w:tc>
          <w:tcPr>
            <w:tcW w:w="798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1.69</w:t>
            </w:r>
          </w:p>
        </w:tc>
        <w:tc>
          <w:tcPr>
            <w:tcW w:w="114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654,936</w:t>
            </w:r>
          </w:p>
        </w:tc>
        <w:tc>
          <w:tcPr>
            <w:tcW w:w="856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1.87</w:t>
            </w:r>
          </w:p>
        </w:tc>
      </w:tr>
      <w:tr w:rsidR="004F5E48" w:rsidRPr="00B6627E" w:rsidTr="00251BDF">
        <w:trPr>
          <w:trHeight w:val="251"/>
        </w:trPr>
        <w:tc>
          <w:tcPr>
            <w:tcW w:w="3261" w:type="dxa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31,492,434</w:t>
            </w:r>
          </w:p>
        </w:tc>
        <w:tc>
          <w:tcPr>
            <w:tcW w:w="85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108.12</w:t>
            </w:r>
          </w:p>
        </w:tc>
        <w:tc>
          <w:tcPr>
            <w:tcW w:w="1275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30,995,724</w:t>
            </w:r>
          </w:p>
        </w:tc>
        <w:tc>
          <w:tcPr>
            <w:tcW w:w="798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106.56</w:t>
            </w:r>
          </w:p>
        </w:tc>
        <w:tc>
          <w:tcPr>
            <w:tcW w:w="114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37,314,640</w:t>
            </w:r>
          </w:p>
        </w:tc>
        <w:tc>
          <w:tcPr>
            <w:tcW w:w="856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106.63</w:t>
            </w:r>
          </w:p>
        </w:tc>
      </w:tr>
      <w:tr w:rsidR="004F5E48" w:rsidRPr="00B6627E" w:rsidTr="00251BDF">
        <w:trPr>
          <w:trHeight w:val="215"/>
        </w:trPr>
        <w:tc>
          <w:tcPr>
            <w:tcW w:w="3261" w:type="dxa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ค่าใช้จ่าย</w:t>
            </w:r>
          </w:p>
        </w:tc>
        <w:tc>
          <w:tcPr>
            <w:tcW w:w="1134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98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4F5E48" w:rsidRPr="00B6627E" w:rsidTr="00251BDF">
        <w:trPr>
          <w:trHeight w:val="201"/>
        </w:trPr>
        <w:tc>
          <w:tcPr>
            <w:tcW w:w="3261" w:type="dxa"/>
          </w:tcPr>
          <w:p w:rsidR="004F5E48" w:rsidRPr="00B6627E" w:rsidRDefault="004F5E48" w:rsidP="004F5E48">
            <w:pPr>
              <w:numPr>
                <w:ilvl w:val="0"/>
                <w:numId w:val="1"/>
              </w:numPr>
              <w:ind w:left="176" w:hanging="194"/>
              <w:contextualSpacing/>
              <w:rPr>
                <w:rFonts w:asciiTheme="majorBidi" w:eastAsia="Calibri" w:hAnsiTheme="majorBidi" w:cstheme="majorBidi"/>
                <w:szCs w:val="24"/>
              </w:rPr>
            </w:pPr>
            <w:r w:rsidRPr="00B6627E">
              <w:rPr>
                <w:rFonts w:asciiTheme="majorBidi" w:eastAsia="Calibri" w:hAnsiTheme="majorBidi" w:cstheme="majorBidi"/>
                <w:szCs w:val="24"/>
                <w:cs/>
              </w:rPr>
              <w:t>ต้นทุนขาย</w:t>
            </w:r>
          </w:p>
        </w:tc>
        <w:tc>
          <w:tcPr>
            <w:tcW w:w="1134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24,315,714</w:t>
            </w:r>
          </w:p>
        </w:tc>
        <w:tc>
          <w:tcPr>
            <w:tcW w:w="85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83.48</w:t>
            </w:r>
          </w:p>
        </w:tc>
        <w:tc>
          <w:tcPr>
            <w:tcW w:w="1275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24,495,256</w:t>
            </w:r>
          </w:p>
        </w:tc>
        <w:tc>
          <w:tcPr>
            <w:tcW w:w="798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84.21</w:t>
            </w:r>
          </w:p>
        </w:tc>
        <w:tc>
          <w:tcPr>
            <w:tcW w:w="114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28,018,397</w:t>
            </w:r>
          </w:p>
        </w:tc>
        <w:tc>
          <w:tcPr>
            <w:tcW w:w="856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80.07</w:t>
            </w:r>
          </w:p>
        </w:tc>
      </w:tr>
      <w:tr w:rsidR="004F5E48" w:rsidRPr="00B6627E" w:rsidTr="00251BDF">
        <w:trPr>
          <w:trHeight w:val="251"/>
        </w:trPr>
        <w:tc>
          <w:tcPr>
            <w:tcW w:w="3261" w:type="dxa"/>
          </w:tcPr>
          <w:p w:rsidR="004F5E48" w:rsidRPr="00B6627E" w:rsidRDefault="004F5E48" w:rsidP="004F5E48">
            <w:pPr>
              <w:numPr>
                <w:ilvl w:val="0"/>
                <w:numId w:val="1"/>
              </w:numPr>
              <w:ind w:left="176" w:hanging="194"/>
              <w:contextualSpacing/>
              <w:rPr>
                <w:rFonts w:asciiTheme="majorBidi" w:eastAsia="Calibri" w:hAnsiTheme="majorBidi" w:cstheme="majorBidi"/>
                <w:szCs w:val="24"/>
              </w:rPr>
            </w:pPr>
            <w:r w:rsidRPr="00B6627E">
              <w:rPr>
                <w:rFonts w:asciiTheme="majorBidi" w:eastAsia="Calibri" w:hAnsiTheme="majorBidi" w:cstheme="majorBidi"/>
                <w:szCs w:val="24"/>
                <w:cs/>
              </w:rPr>
              <w:t>ต้นทุนในการจัดจำหน่ายและขนส่ง</w:t>
            </w:r>
          </w:p>
        </w:tc>
        <w:tc>
          <w:tcPr>
            <w:tcW w:w="1134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3,691,808</w:t>
            </w:r>
          </w:p>
        </w:tc>
        <w:tc>
          <w:tcPr>
            <w:tcW w:w="85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12.67</w:t>
            </w:r>
          </w:p>
        </w:tc>
        <w:tc>
          <w:tcPr>
            <w:tcW w:w="1275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4,032,725</w:t>
            </w:r>
          </w:p>
        </w:tc>
        <w:tc>
          <w:tcPr>
            <w:tcW w:w="798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13.86</w:t>
            </w:r>
          </w:p>
        </w:tc>
        <w:tc>
          <w:tcPr>
            <w:tcW w:w="114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4,167,612</w:t>
            </w:r>
          </w:p>
        </w:tc>
        <w:tc>
          <w:tcPr>
            <w:tcW w:w="856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11.91</w:t>
            </w:r>
          </w:p>
        </w:tc>
      </w:tr>
      <w:tr w:rsidR="004F5E48" w:rsidRPr="00B6627E" w:rsidTr="00251BDF">
        <w:trPr>
          <w:trHeight w:val="251"/>
        </w:trPr>
        <w:tc>
          <w:tcPr>
            <w:tcW w:w="3261" w:type="dxa"/>
          </w:tcPr>
          <w:p w:rsidR="004F5E48" w:rsidRPr="00B6627E" w:rsidRDefault="004F5E48" w:rsidP="004F5E48">
            <w:pPr>
              <w:numPr>
                <w:ilvl w:val="0"/>
                <w:numId w:val="1"/>
              </w:numPr>
              <w:ind w:left="176" w:hanging="194"/>
              <w:contextualSpacing/>
              <w:rPr>
                <w:rFonts w:asciiTheme="majorBidi" w:eastAsia="Calibri" w:hAnsiTheme="majorBidi" w:cstheme="majorBidi"/>
                <w:szCs w:val="24"/>
              </w:rPr>
            </w:pPr>
            <w:r w:rsidRPr="00B6627E">
              <w:rPr>
                <w:rFonts w:asciiTheme="majorBidi" w:eastAsia="Calibr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1,671,869</w:t>
            </w:r>
          </w:p>
        </w:tc>
        <w:tc>
          <w:tcPr>
            <w:tcW w:w="85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5.74</w:t>
            </w:r>
          </w:p>
        </w:tc>
        <w:tc>
          <w:tcPr>
            <w:tcW w:w="1275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1,777,383</w:t>
            </w:r>
          </w:p>
        </w:tc>
        <w:tc>
          <w:tcPr>
            <w:tcW w:w="798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6.11</w:t>
            </w:r>
          </w:p>
        </w:tc>
        <w:tc>
          <w:tcPr>
            <w:tcW w:w="114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1,797,180</w:t>
            </w:r>
          </w:p>
        </w:tc>
        <w:tc>
          <w:tcPr>
            <w:tcW w:w="856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5.14</w:t>
            </w:r>
          </w:p>
        </w:tc>
      </w:tr>
      <w:tr w:rsidR="004F5E48" w:rsidRPr="00B6627E" w:rsidTr="00251BDF">
        <w:trPr>
          <w:trHeight w:val="224"/>
        </w:trPr>
        <w:tc>
          <w:tcPr>
            <w:tcW w:w="3261" w:type="dxa"/>
          </w:tcPr>
          <w:p w:rsidR="004F5E48" w:rsidRPr="00B6627E" w:rsidRDefault="004F5E48" w:rsidP="004F5E48">
            <w:pPr>
              <w:numPr>
                <w:ilvl w:val="0"/>
                <w:numId w:val="1"/>
              </w:numPr>
              <w:ind w:left="176" w:hanging="194"/>
              <w:contextualSpacing/>
              <w:rPr>
                <w:rFonts w:asciiTheme="majorBidi" w:eastAsia="Calibri" w:hAnsiTheme="majorBidi" w:cstheme="majorBidi"/>
                <w:szCs w:val="24"/>
              </w:rPr>
            </w:pPr>
            <w:r w:rsidRPr="00B6627E">
              <w:rPr>
                <w:rFonts w:asciiTheme="majorBidi" w:eastAsia="Calibr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1,649,248</w:t>
            </w:r>
          </w:p>
        </w:tc>
        <w:tc>
          <w:tcPr>
            <w:tcW w:w="85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5.66</w:t>
            </w:r>
          </w:p>
        </w:tc>
        <w:tc>
          <w:tcPr>
            <w:tcW w:w="1275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1,647,192</w:t>
            </w:r>
          </w:p>
        </w:tc>
        <w:tc>
          <w:tcPr>
            <w:tcW w:w="798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5.66</w:t>
            </w:r>
          </w:p>
        </w:tc>
        <w:tc>
          <w:tcPr>
            <w:tcW w:w="114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1,719,358</w:t>
            </w:r>
          </w:p>
        </w:tc>
        <w:tc>
          <w:tcPr>
            <w:tcW w:w="856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4.91</w:t>
            </w:r>
          </w:p>
        </w:tc>
      </w:tr>
      <w:tr w:rsidR="004F5E48" w:rsidRPr="00B6627E" w:rsidTr="00251BDF">
        <w:trPr>
          <w:trHeight w:val="257"/>
        </w:trPr>
        <w:tc>
          <w:tcPr>
            <w:tcW w:w="3261" w:type="dxa"/>
          </w:tcPr>
          <w:p w:rsidR="004F5E48" w:rsidRPr="00B6627E" w:rsidRDefault="004F5E48" w:rsidP="004F5E48">
            <w:pPr>
              <w:numPr>
                <w:ilvl w:val="0"/>
                <w:numId w:val="1"/>
              </w:numPr>
              <w:ind w:left="176" w:hanging="194"/>
              <w:contextualSpacing/>
              <w:rPr>
                <w:rFonts w:asciiTheme="majorBidi" w:eastAsia="Calibri" w:hAnsiTheme="majorBidi" w:cstheme="majorBidi"/>
                <w:szCs w:val="24"/>
              </w:rPr>
            </w:pPr>
            <w:r w:rsidRPr="00B6627E">
              <w:rPr>
                <w:rFonts w:asciiTheme="majorBidi" w:eastAsia="Calibri" w:hAnsiTheme="majorBidi" w:cstheme="majorBidi"/>
                <w:szCs w:val="24"/>
                <w:cs/>
              </w:rPr>
              <w:t>ขาดทุนจากอัตราแลกเปลี่ยนสุทธิ</w:t>
            </w:r>
          </w:p>
        </w:tc>
        <w:tc>
          <w:tcPr>
            <w:tcW w:w="1134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</w:t>
            </w: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.00</w:t>
            </w:r>
          </w:p>
        </w:tc>
        <w:tc>
          <w:tcPr>
            <w:tcW w:w="1275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</w:t>
            </w:r>
          </w:p>
        </w:tc>
        <w:tc>
          <w:tcPr>
            <w:tcW w:w="798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0.00</w:t>
            </w:r>
          </w:p>
        </w:tc>
        <w:tc>
          <w:tcPr>
            <w:tcW w:w="114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</w:t>
            </w:r>
          </w:p>
        </w:tc>
        <w:tc>
          <w:tcPr>
            <w:tcW w:w="856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0.00</w:t>
            </w:r>
          </w:p>
        </w:tc>
      </w:tr>
      <w:tr w:rsidR="004F5E48" w:rsidRPr="00B6627E" w:rsidTr="00251BDF">
        <w:trPr>
          <w:trHeight w:val="260"/>
        </w:trPr>
        <w:tc>
          <w:tcPr>
            <w:tcW w:w="3261" w:type="dxa"/>
            <w:tcBorders>
              <w:bottom w:val="single" w:sz="4" w:space="0" w:color="auto"/>
            </w:tcBorders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รวมค่าใช้จ่าย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31,328,639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107.55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31,952,556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109.85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35,702,547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102.03</w:t>
            </w:r>
          </w:p>
        </w:tc>
      </w:tr>
      <w:tr w:rsidR="004F5E48" w:rsidRPr="00B6627E" w:rsidTr="00251BDF">
        <w:trPr>
          <w:trHeight w:val="188"/>
        </w:trPr>
        <w:tc>
          <w:tcPr>
            <w:tcW w:w="3261" w:type="dxa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34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48,121</w:t>
            </w:r>
          </w:p>
        </w:tc>
        <w:tc>
          <w:tcPr>
            <w:tcW w:w="85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0.17</w:t>
            </w:r>
          </w:p>
        </w:tc>
        <w:tc>
          <w:tcPr>
            <w:tcW w:w="1275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19,742</w:t>
            </w:r>
          </w:p>
        </w:tc>
        <w:tc>
          <w:tcPr>
            <w:tcW w:w="798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0.07</w:t>
            </w:r>
          </w:p>
        </w:tc>
        <w:tc>
          <w:tcPr>
            <w:tcW w:w="114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31,090</w:t>
            </w:r>
          </w:p>
        </w:tc>
        <w:tc>
          <w:tcPr>
            <w:tcW w:w="856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0.09</w:t>
            </w:r>
          </w:p>
        </w:tc>
      </w:tr>
      <w:tr w:rsidR="004F5E48" w:rsidRPr="00B6627E" w:rsidTr="00251BDF">
        <w:trPr>
          <w:trHeight w:val="197"/>
        </w:trPr>
        <w:tc>
          <w:tcPr>
            <w:tcW w:w="3261" w:type="dxa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</w:t>
            </w:r>
            <w:r w:rsidRPr="00B6627E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B662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ขาดทุน</w:t>
            </w:r>
            <w:r w:rsidRPr="00B6627E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  <w:r w:rsidRPr="00B662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ก่อนภาษีเงินได้</w:t>
            </w:r>
          </w:p>
        </w:tc>
        <w:tc>
          <w:tcPr>
            <w:tcW w:w="1134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211,916</w:t>
            </w:r>
          </w:p>
        </w:tc>
        <w:tc>
          <w:tcPr>
            <w:tcW w:w="85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0.73</w:t>
            </w:r>
          </w:p>
        </w:tc>
        <w:tc>
          <w:tcPr>
            <w:tcW w:w="1275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(937,090)</w:t>
            </w:r>
          </w:p>
        </w:tc>
        <w:tc>
          <w:tcPr>
            <w:tcW w:w="798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(3.22)</w:t>
            </w:r>
          </w:p>
        </w:tc>
        <w:tc>
          <w:tcPr>
            <w:tcW w:w="114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1,643,183</w:t>
            </w:r>
          </w:p>
        </w:tc>
        <w:tc>
          <w:tcPr>
            <w:tcW w:w="856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4.70</w:t>
            </w:r>
          </w:p>
        </w:tc>
      </w:tr>
      <w:tr w:rsidR="004F5E48" w:rsidRPr="00B6627E" w:rsidTr="00251BDF">
        <w:trPr>
          <w:trHeight w:val="269"/>
        </w:trPr>
        <w:tc>
          <w:tcPr>
            <w:tcW w:w="3261" w:type="dxa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szCs w:val="24"/>
              </w:rPr>
            </w:pPr>
            <w:r w:rsidRPr="00B6627E">
              <w:rPr>
                <w:rFonts w:asciiTheme="majorBidi" w:hAnsiTheme="majorBidi" w:cstheme="majorBidi"/>
                <w:szCs w:val="24"/>
                <w:cs/>
                <w:lang w:val="en-GB"/>
              </w:rPr>
              <w:t>รายได้</w:t>
            </w:r>
            <w:r w:rsidR="007A2CCA" w:rsidRPr="00B6627E">
              <w:rPr>
                <w:rFonts w:asciiTheme="majorBidi" w:hAnsiTheme="majorBidi" w:cstheme="majorBidi" w:hint="cs"/>
                <w:szCs w:val="24"/>
                <w:cs/>
              </w:rPr>
              <w:t xml:space="preserve"> (ค่าใช้จ่าย) </w:t>
            </w:r>
            <w:r w:rsidRPr="00B6627E">
              <w:rPr>
                <w:rFonts w:asciiTheme="majorBidi" w:hAnsiTheme="majorBidi" w:cstheme="majorBidi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302,961</w:t>
            </w:r>
          </w:p>
        </w:tc>
        <w:tc>
          <w:tcPr>
            <w:tcW w:w="85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1.04</w:t>
            </w:r>
          </w:p>
        </w:tc>
        <w:tc>
          <w:tcPr>
            <w:tcW w:w="1275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240,723</w:t>
            </w:r>
          </w:p>
        </w:tc>
        <w:tc>
          <w:tcPr>
            <w:tcW w:w="798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0.83</w:t>
            </w:r>
          </w:p>
        </w:tc>
        <w:tc>
          <w:tcPr>
            <w:tcW w:w="114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(218,509)</w:t>
            </w:r>
          </w:p>
        </w:tc>
        <w:tc>
          <w:tcPr>
            <w:tcW w:w="856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(</w:t>
            </w: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0.62</w:t>
            </w:r>
            <w:r w:rsidRPr="00B6627E">
              <w:rPr>
                <w:rFonts w:asciiTheme="majorBidi" w:hAnsiTheme="majorBidi" w:cstheme="majorBidi"/>
                <w:color w:val="000000"/>
                <w:szCs w:val="24"/>
                <w:cs/>
              </w:rPr>
              <w:t>)</w:t>
            </w:r>
          </w:p>
        </w:tc>
      </w:tr>
      <w:tr w:rsidR="004F5E48" w:rsidRPr="00B6627E" w:rsidTr="00251BDF">
        <w:trPr>
          <w:trHeight w:val="206"/>
        </w:trPr>
        <w:tc>
          <w:tcPr>
            <w:tcW w:w="3261" w:type="dxa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</w:t>
            </w:r>
            <w:r w:rsidRPr="00B6627E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B662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ขาดทุน</w:t>
            </w:r>
            <w:r w:rsidRPr="00B6627E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  <w:r w:rsidRPr="00B662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สำหรับปี</w:t>
            </w:r>
          </w:p>
        </w:tc>
        <w:tc>
          <w:tcPr>
            <w:tcW w:w="1134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514,877</w:t>
            </w:r>
          </w:p>
        </w:tc>
        <w:tc>
          <w:tcPr>
            <w:tcW w:w="85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1.77</w:t>
            </w:r>
          </w:p>
        </w:tc>
        <w:tc>
          <w:tcPr>
            <w:tcW w:w="1275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(696,367)</w:t>
            </w:r>
          </w:p>
        </w:tc>
        <w:tc>
          <w:tcPr>
            <w:tcW w:w="798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(2.39)</w:t>
            </w:r>
          </w:p>
        </w:tc>
        <w:tc>
          <w:tcPr>
            <w:tcW w:w="114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1,424,674</w:t>
            </w:r>
          </w:p>
        </w:tc>
        <w:tc>
          <w:tcPr>
            <w:tcW w:w="856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4.07</w:t>
            </w:r>
          </w:p>
        </w:tc>
      </w:tr>
      <w:tr w:rsidR="004F5E48" w:rsidRPr="00B6627E" w:rsidTr="00251BDF">
        <w:trPr>
          <w:trHeight w:val="224"/>
        </w:trPr>
        <w:tc>
          <w:tcPr>
            <w:tcW w:w="3261" w:type="dxa"/>
          </w:tcPr>
          <w:p w:rsidR="004F5E48" w:rsidRPr="00B6627E" w:rsidRDefault="004F5E48" w:rsidP="004F5E48">
            <w:pPr>
              <w:ind w:right="-109"/>
              <w:rPr>
                <w:rFonts w:asciiTheme="majorBidi" w:hAnsiTheme="majorBidi" w:cstheme="majorBidi"/>
                <w:szCs w:val="24"/>
              </w:rPr>
            </w:pPr>
            <w:r w:rsidRPr="00B6627E">
              <w:rPr>
                <w:rFonts w:asciiTheme="majorBidi" w:hAnsiTheme="majorBidi" w:cstheme="majorBidi"/>
                <w:szCs w:val="24"/>
                <w:cs/>
              </w:rPr>
              <w:t>กำไร(ขาดทุน)เบ็ดเสร็จรวมสำหรับปี</w:t>
            </w:r>
          </w:p>
        </w:tc>
        <w:tc>
          <w:tcPr>
            <w:tcW w:w="1134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546,349</w:t>
            </w:r>
          </w:p>
        </w:tc>
        <w:tc>
          <w:tcPr>
            <w:tcW w:w="85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1.88</w:t>
            </w:r>
          </w:p>
        </w:tc>
        <w:tc>
          <w:tcPr>
            <w:tcW w:w="1275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(690,671)</w:t>
            </w:r>
          </w:p>
        </w:tc>
        <w:tc>
          <w:tcPr>
            <w:tcW w:w="798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(2.37)</w:t>
            </w:r>
          </w:p>
        </w:tc>
        <w:tc>
          <w:tcPr>
            <w:tcW w:w="114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1,387,519</w:t>
            </w:r>
          </w:p>
        </w:tc>
        <w:tc>
          <w:tcPr>
            <w:tcW w:w="856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3.97</w:t>
            </w:r>
          </w:p>
        </w:tc>
      </w:tr>
      <w:tr w:rsidR="004F5E48" w:rsidRPr="00B6627E" w:rsidTr="00251BDF">
        <w:trPr>
          <w:trHeight w:val="296"/>
        </w:trPr>
        <w:tc>
          <w:tcPr>
            <w:tcW w:w="3261" w:type="dxa"/>
          </w:tcPr>
          <w:p w:rsidR="004F5E48" w:rsidRPr="00B6627E" w:rsidRDefault="004F5E48" w:rsidP="007908C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szCs w:val="24"/>
                <w:cs/>
              </w:rPr>
              <w:t>กำไร(ขาดทุน)จากการดำเนินงาน *</w:t>
            </w:r>
          </w:p>
        </w:tc>
        <w:tc>
          <w:tcPr>
            <w:tcW w:w="1134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(511,063)</w:t>
            </w:r>
          </w:p>
        </w:tc>
        <w:tc>
          <w:tcPr>
            <w:tcW w:w="85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(1.75)</w:t>
            </w:r>
          </w:p>
        </w:tc>
        <w:tc>
          <w:tcPr>
            <w:tcW w:w="1275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(1,099,694)</w:t>
            </w:r>
          </w:p>
        </w:tc>
        <w:tc>
          <w:tcPr>
            <w:tcW w:w="798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(3.78)</w:t>
            </w:r>
          </w:p>
        </w:tc>
        <w:tc>
          <w:tcPr>
            <w:tcW w:w="1140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1,260,994</w:t>
            </w:r>
          </w:p>
        </w:tc>
        <w:tc>
          <w:tcPr>
            <w:tcW w:w="856" w:type="dxa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6627E">
              <w:rPr>
                <w:rFonts w:asciiTheme="majorBidi" w:hAnsiTheme="majorBidi" w:cstheme="majorBidi"/>
                <w:color w:val="000000"/>
                <w:szCs w:val="24"/>
              </w:rPr>
              <w:t>3.60</w:t>
            </w:r>
          </w:p>
        </w:tc>
      </w:tr>
    </w:tbl>
    <w:p w:rsidR="003757DF" w:rsidRPr="00B6627E" w:rsidRDefault="003757DF" w:rsidP="007908CE">
      <w:pPr>
        <w:spacing w:before="60" w:line="216" w:lineRule="auto"/>
        <w:rPr>
          <w:rFonts w:asciiTheme="majorBidi" w:hAnsiTheme="majorBidi" w:cstheme="majorBidi"/>
          <w:sz w:val="23"/>
          <w:szCs w:val="23"/>
        </w:rPr>
      </w:pPr>
      <w:r w:rsidRPr="00B6627E">
        <w:rPr>
          <w:rFonts w:asciiTheme="majorBidi" w:hAnsiTheme="majorBidi" w:cstheme="majorBidi"/>
          <w:sz w:val="23"/>
          <w:szCs w:val="23"/>
          <w:u w:val="single"/>
          <w:cs/>
        </w:rPr>
        <w:t>หมายเหตุ</w:t>
      </w:r>
      <w:r w:rsidRPr="00B6627E">
        <w:rPr>
          <w:rFonts w:asciiTheme="majorBidi" w:hAnsiTheme="majorBidi" w:cstheme="majorBidi"/>
          <w:sz w:val="23"/>
          <w:szCs w:val="23"/>
        </w:rPr>
        <w:t xml:space="preserve">  </w:t>
      </w:r>
      <w:r w:rsidRPr="00B6627E">
        <w:rPr>
          <w:rFonts w:asciiTheme="majorBidi" w:hAnsiTheme="majorBidi" w:cstheme="majorBidi"/>
          <w:sz w:val="23"/>
          <w:szCs w:val="23"/>
          <w:cs/>
        </w:rPr>
        <w:t xml:space="preserve">  </w:t>
      </w:r>
      <w:r w:rsidRPr="00B6627E">
        <w:rPr>
          <w:rFonts w:asciiTheme="majorBidi" w:hAnsiTheme="majorBidi" w:cstheme="majorBidi"/>
          <w:sz w:val="23"/>
          <w:szCs w:val="23"/>
        </w:rPr>
        <w:t xml:space="preserve">* </w:t>
      </w:r>
      <w:r w:rsidRPr="00B6627E">
        <w:rPr>
          <w:rFonts w:asciiTheme="majorBidi" w:hAnsiTheme="majorBidi" w:cstheme="majorBidi"/>
          <w:sz w:val="23"/>
          <w:szCs w:val="23"/>
          <w:cs/>
        </w:rPr>
        <w:t xml:space="preserve"> </w:t>
      </w:r>
      <w:r w:rsidRPr="00B6627E">
        <w:rPr>
          <w:rFonts w:asciiTheme="majorBidi" w:hAnsiTheme="majorBidi" w:cstheme="majorBidi"/>
          <w:color w:val="000000"/>
          <w:sz w:val="23"/>
          <w:szCs w:val="23"/>
          <w:cs/>
        </w:rPr>
        <w:t>กำไรจากการดำเนินงาน ไม่รวมกำไร/ขาดทุนจาก</w:t>
      </w:r>
      <w:r w:rsidRPr="00B6627E">
        <w:rPr>
          <w:rFonts w:asciiTheme="majorBidi" w:eastAsia="Calibri" w:hAnsiTheme="majorBidi" w:cstheme="majorBidi"/>
          <w:sz w:val="23"/>
          <w:szCs w:val="23"/>
          <w:cs/>
        </w:rPr>
        <w:t xml:space="preserve">การต่อรองราคาซื้อ </w:t>
      </w:r>
      <w:r w:rsidRPr="00B6627E">
        <w:rPr>
          <w:rFonts w:asciiTheme="majorBidi" w:hAnsiTheme="majorBidi" w:cstheme="majorBidi"/>
          <w:color w:val="000000"/>
          <w:sz w:val="23"/>
          <w:szCs w:val="23"/>
          <w:cs/>
        </w:rPr>
        <w:t>จากอัตราแลกเปลี่ยน และภาษีเงินได้นิติบุคคล</w:t>
      </w:r>
    </w:p>
    <w:p w:rsidR="004F5E48" w:rsidRPr="00B6627E" w:rsidRDefault="004F5E48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4F5E48" w:rsidRPr="00B6627E" w:rsidRDefault="004F5E48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4F5E48" w:rsidRPr="00B6627E" w:rsidRDefault="004F5E48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4F5E48" w:rsidRPr="00B6627E" w:rsidRDefault="004F5E48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4F5E48" w:rsidRPr="00B6627E" w:rsidRDefault="004F5E48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4F5E48" w:rsidRPr="00B6627E" w:rsidRDefault="004F5E48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4F5E48" w:rsidRPr="00B6627E" w:rsidRDefault="004F5E48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4F5E48" w:rsidRPr="00B6627E" w:rsidRDefault="004F5E48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4F5E48" w:rsidRPr="00B6627E" w:rsidRDefault="004F5E48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D75961" w:rsidRPr="00B6627E" w:rsidRDefault="00D75961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D75961" w:rsidRPr="00B6627E" w:rsidRDefault="00D75961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D75961" w:rsidRPr="00B6627E" w:rsidRDefault="00D75961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B04CB9" w:rsidRPr="00B6627E" w:rsidRDefault="00B04CB9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4F5E48" w:rsidRPr="00B6627E" w:rsidRDefault="004F5E48" w:rsidP="004F5E48">
      <w:pPr>
        <w:spacing w:before="240" w:after="240"/>
        <w:rPr>
          <w:rFonts w:asciiTheme="majorBidi" w:hAnsiTheme="majorBidi" w:cstheme="majorBidi"/>
          <w:b/>
          <w:bCs/>
          <w:sz w:val="26"/>
          <w:szCs w:val="26"/>
        </w:rPr>
      </w:pPr>
      <w:r w:rsidRPr="00B6627E">
        <w:rPr>
          <w:rFonts w:asciiTheme="majorBidi" w:hAnsiTheme="majorBidi" w:cstheme="majorBidi"/>
          <w:b/>
          <w:bCs/>
          <w:sz w:val="26"/>
          <w:szCs w:val="26"/>
          <w:cs/>
        </w:rPr>
        <w:t>รายได้จากการขายสินค้า - ลูกค้าภายนอก</w:t>
      </w:r>
    </w:p>
    <w:tbl>
      <w:tblPr>
        <w:tblW w:w="87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1275"/>
        <w:gridCol w:w="851"/>
        <w:gridCol w:w="1417"/>
        <w:gridCol w:w="993"/>
        <w:gridCol w:w="1134"/>
        <w:gridCol w:w="850"/>
      </w:tblGrid>
      <w:tr w:rsidR="004F5E48" w:rsidRPr="00B6627E" w:rsidTr="004F5E4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48" w:rsidRPr="00B6627E" w:rsidRDefault="004F5E48" w:rsidP="004F5E48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2559</w:t>
            </w:r>
          </w:p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%</w:t>
            </w:r>
          </w:p>
        </w:tc>
      </w:tr>
      <w:tr w:rsidR="004F5E48" w:rsidRPr="00B6627E" w:rsidTr="004F5E4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48" w:rsidRPr="00B6627E" w:rsidRDefault="004F5E48" w:rsidP="004F5E48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18,556,750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63.71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18,077,561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62.15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19,993,749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57.14</w:t>
            </w:r>
          </w:p>
        </w:tc>
      </w:tr>
      <w:tr w:rsidR="004F5E48" w:rsidRPr="00B6627E" w:rsidTr="004F5E4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48" w:rsidRPr="00B6627E" w:rsidRDefault="004F5E48" w:rsidP="004F5E48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ปิโตรเคมีและเคมีภัณฑ์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6,759,341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A96303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23.2</w:t>
            </w:r>
            <w:r w:rsidR="00A96303"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6,684,190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22.98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8,176,511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23.37</w:t>
            </w:r>
          </w:p>
        </w:tc>
      </w:tr>
      <w:tr w:rsidR="004F5E48" w:rsidRPr="00B6627E" w:rsidTr="004F5E4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48" w:rsidRPr="00B6627E" w:rsidRDefault="004F5E48" w:rsidP="004F5E48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พลังงานและสาธารณูปโภค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3,714,303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12.75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4,201,598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14.44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6,698,253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19.14</w:t>
            </w:r>
          </w:p>
        </w:tc>
      </w:tr>
      <w:tr w:rsidR="004F5E48" w:rsidRPr="00B6627E" w:rsidTr="004F5E4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48" w:rsidRPr="00B6627E" w:rsidRDefault="004F5E48" w:rsidP="004F5E48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97,821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125,003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0.43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124,648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A96303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0.3</w:t>
            </w:r>
            <w:r w:rsidR="00A96303"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4F5E48" w:rsidRPr="00B6627E" w:rsidTr="004F5E4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48" w:rsidRPr="00B6627E" w:rsidRDefault="004F5E48" w:rsidP="004F5E48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29,128,215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29,088,352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100.00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34,993,161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5E48" w:rsidRPr="00B6627E" w:rsidRDefault="004F5E48" w:rsidP="004F5E4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100.00</w:t>
            </w:r>
          </w:p>
        </w:tc>
      </w:tr>
    </w:tbl>
    <w:p w:rsidR="004F5E48" w:rsidRPr="00B6627E" w:rsidRDefault="004F5E48" w:rsidP="004F5E48">
      <w:pPr>
        <w:spacing w:after="240"/>
        <w:rPr>
          <w:rFonts w:asciiTheme="majorBidi" w:hAnsiTheme="majorBidi" w:cstheme="majorBidi"/>
          <w:b/>
          <w:bCs/>
          <w:sz w:val="26"/>
          <w:szCs w:val="26"/>
        </w:rPr>
      </w:pPr>
    </w:p>
    <w:p w:rsidR="004F5E48" w:rsidRPr="00B6627E" w:rsidRDefault="004F5E48" w:rsidP="004F5E48">
      <w:pPr>
        <w:spacing w:after="240"/>
        <w:rPr>
          <w:rFonts w:asciiTheme="majorBidi" w:hAnsiTheme="majorBidi" w:cstheme="majorBidi"/>
          <w:b/>
          <w:bCs/>
          <w:sz w:val="26"/>
          <w:szCs w:val="26"/>
        </w:rPr>
      </w:pPr>
      <w:r w:rsidRPr="00B6627E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งบกระแสเงินสด (งบการเงินรวม) </w:t>
      </w:r>
    </w:p>
    <w:tbl>
      <w:tblPr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1364"/>
        <w:gridCol w:w="1657"/>
        <w:gridCol w:w="1657"/>
      </w:tblGrid>
      <w:tr w:rsidR="004F5E48" w:rsidRPr="00B6627E" w:rsidTr="004F5E48">
        <w:trPr>
          <w:tblHeader/>
        </w:trPr>
        <w:tc>
          <w:tcPr>
            <w:tcW w:w="4111" w:type="dxa"/>
            <w:vMerge w:val="restart"/>
            <w:shd w:val="clear" w:color="auto" w:fill="D9D9D9"/>
            <w:vAlign w:val="center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78" w:type="dxa"/>
            <w:gridSpan w:val="3"/>
            <w:shd w:val="clear" w:color="auto" w:fill="D9D9D9"/>
            <w:vAlign w:val="bottom"/>
          </w:tcPr>
          <w:p w:rsidR="004F5E48" w:rsidRPr="00B6627E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รอบปีบัญชีสิ้นสุด ณ วันที่ 31 ธันวาคม </w:t>
            </w:r>
          </w:p>
        </w:tc>
      </w:tr>
      <w:tr w:rsidR="004F5E48" w:rsidRPr="00B6627E" w:rsidTr="004F5E48">
        <w:trPr>
          <w:tblHeader/>
        </w:trPr>
        <w:tc>
          <w:tcPr>
            <w:tcW w:w="4111" w:type="dxa"/>
            <w:vMerge/>
            <w:shd w:val="clear" w:color="auto" w:fill="D9D9D9"/>
            <w:vAlign w:val="bottom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4" w:type="dxa"/>
            <w:shd w:val="clear" w:color="auto" w:fill="D9D9D9"/>
          </w:tcPr>
          <w:p w:rsidR="004F5E48" w:rsidRPr="00B6627E" w:rsidRDefault="004F5E48" w:rsidP="00005F95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2559</w:t>
            </w: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(พันบาท)</w:t>
            </w:r>
          </w:p>
        </w:tc>
        <w:tc>
          <w:tcPr>
            <w:tcW w:w="1657" w:type="dxa"/>
            <w:shd w:val="clear" w:color="auto" w:fill="D9D9D9"/>
          </w:tcPr>
          <w:p w:rsidR="004F5E48" w:rsidRPr="00B6627E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(พันบาท)</w:t>
            </w:r>
          </w:p>
        </w:tc>
        <w:tc>
          <w:tcPr>
            <w:tcW w:w="1657" w:type="dxa"/>
            <w:shd w:val="clear" w:color="auto" w:fill="D9D9D9"/>
          </w:tcPr>
          <w:p w:rsidR="004F5E48" w:rsidRPr="00B6627E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2561 </w:t>
            </w: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(พันบาท)</w:t>
            </w:r>
          </w:p>
        </w:tc>
      </w:tr>
      <w:tr w:rsidR="004F5E48" w:rsidRPr="00B6627E" w:rsidTr="004F5E48">
        <w:tc>
          <w:tcPr>
            <w:tcW w:w="4111" w:type="dxa"/>
            <w:vAlign w:val="bottom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364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1,932,197</w:t>
            </w:r>
          </w:p>
        </w:tc>
        <w:tc>
          <w:tcPr>
            <w:tcW w:w="1657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1,955,085</w:t>
            </w:r>
          </w:p>
        </w:tc>
        <w:tc>
          <w:tcPr>
            <w:tcW w:w="1657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3,761,907</w:t>
            </w:r>
          </w:p>
        </w:tc>
      </w:tr>
      <w:tr w:rsidR="004F5E48" w:rsidRPr="00B6627E" w:rsidTr="004F5E48">
        <w:tc>
          <w:tcPr>
            <w:tcW w:w="4111" w:type="dxa"/>
            <w:vAlign w:val="bottom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364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(7,961,662)</w:t>
            </w:r>
          </w:p>
        </w:tc>
        <w:tc>
          <w:tcPr>
            <w:tcW w:w="1657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(11,055,289)</w:t>
            </w:r>
          </w:p>
        </w:tc>
        <w:tc>
          <w:tcPr>
            <w:tcW w:w="1657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7,369,208</w:t>
            </w: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4F5E48" w:rsidRPr="00B6627E" w:rsidTr="004F5E48">
        <w:tc>
          <w:tcPr>
            <w:tcW w:w="4111" w:type="dxa"/>
            <w:vAlign w:val="bottom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364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7,058,570</w:t>
            </w:r>
          </w:p>
        </w:tc>
        <w:tc>
          <w:tcPr>
            <w:tcW w:w="1657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8,532,808</w:t>
            </w:r>
          </w:p>
        </w:tc>
        <w:tc>
          <w:tcPr>
            <w:tcW w:w="1657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5,046,791</w:t>
            </w:r>
          </w:p>
        </w:tc>
      </w:tr>
      <w:tr w:rsidR="004F5E48" w:rsidRPr="00B6627E" w:rsidTr="004F5E48">
        <w:tc>
          <w:tcPr>
            <w:tcW w:w="4111" w:type="dxa"/>
            <w:vAlign w:val="bottom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เพิ่มขึ้น(ลดลง)สุทธิก่อนผลกระทบของอัตราแลกเปลี่ยนและการเปลี่ยนแปลงเงินลงทุนในบริษัทย่อย</w:t>
            </w:r>
          </w:p>
        </w:tc>
        <w:tc>
          <w:tcPr>
            <w:tcW w:w="1364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1,029,105</w:t>
            </w:r>
          </w:p>
        </w:tc>
        <w:tc>
          <w:tcPr>
            <w:tcW w:w="1657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(567,396)</w:t>
            </w:r>
          </w:p>
        </w:tc>
        <w:tc>
          <w:tcPr>
            <w:tcW w:w="1657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1,439,490</w:t>
            </w:r>
          </w:p>
        </w:tc>
      </w:tr>
      <w:tr w:rsidR="004F5E48" w:rsidRPr="00B6627E" w:rsidTr="004F5E48">
        <w:tc>
          <w:tcPr>
            <w:tcW w:w="4111" w:type="dxa"/>
            <w:vAlign w:val="bottom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szCs w:val="24"/>
              </w:rPr>
            </w:pPr>
            <w:r w:rsidRPr="00B6627E">
              <w:rPr>
                <w:rFonts w:asciiTheme="majorBidi" w:hAnsiTheme="majorBidi" w:cstheme="majorBidi"/>
                <w:szCs w:val="24"/>
                <w:cs/>
              </w:rPr>
              <w:t>ผลกระทบจากอัตราแลกเปลี่ยนที่มีต่อเงินสดและรายการเทียบเท่าเงินสด</w:t>
            </w:r>
          </w:p>
        </w:tc>
        <w:tc>
          <w:tcPr>
            <w:tcW w:w="1364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(13,129)</w:t>
            </w:r>
          </w:p>
        </w:tc>
        <w:tc>
          <w:tcPr>
            <w:tcW w:w="1657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20,781</w:t>
            </w:r>
          </w:p>
        </w:tc>
        <w:tc>
          <w:tcPr>
            <w:tcW w:w="1657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8,090</w:t>
            </w:r>
          </w:p>
        </w:tc>
      </w:tr>
      <w:tr w:rsidR="004F5E48" w:rsidRPr="00B6627E" w:rsidTr="004F5E48">
        <w:tc>
          <w:tcPr>
            <w:tcW w:w="4111" w:type="dxa"/>
            <w:vAlign w:val="bottom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เงินสดและรายการเทียบเท่าเงินสดจากการเปลี่ยนแปลงในเงินลงทุนในบริษัทย่อย</w:t>
            </w:r>
          </w:p>
        </w:tc>
        <w:tc>
          <w:tcPr>
            <w:tcW w:w="1364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754,441</w:t>
            </w:r>
          </w:p>
        </w:tc>
        <w:tc>
          <w:tcPr>
            <w:tcW w:w="1657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657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4F5E48" w:rsidRPr="00B6627E" w:rsidTr="004F5E48">
        <w:tc>
          <w:tcPr>
            <w:tcW w:w="4111" w:type="dxa"/>
            <w:vAlign w:val="bottom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364" w:type="dxa"/>
            <w:vAlign w:val="bottom"/>
          </w:tcPr>
          <w:p w:rsidR="004F5E48" w:rsidRPr="00B6627E" w:rsidRDefault="004F5E48" w:rsidP="00A7550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5A2A15"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</w:t>
            </w: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0,</w:t>
            </w:r>
            <w:r w:rsidR="00A7550C"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A7550C"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657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(5</w:t>
            </w: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</w:t>
            </w: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615</w:t>
            </w: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7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1,447,580</w:t>
            </w:r>
          </w:p>
        </w:tc>
      </w:tr>
      <w:tr w:rsidR="004F5E48" w:rsidRPr="00B6627E" w:rsidTr="004F5E48">
        <w:tc>
          <w:tcPr>
            <w:tcW w:w="4111" w:type="dxa"/>
            <w:vAlign w:val="bottom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เงินสดและรายการเทียบเท่าเงินสด ณ วันที่ </w:t>
            </w:r>
            <w:r w:rsidRPr="00B662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6627E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4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1,695,178</w:t>
            </w:r>
          </w:p>
        </w:tc>
        <w:tc>
          <w:tcPr>
            <w:tcW w:w="1657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3,465,595</w:t>
            </w:r>
          </w:p>
        </w:tc>
        <w:tc>
          <w:tcPr>
            <w:tcW w:w="1657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sz w:val="26"/>
                <w:szCs w:val="26"/>
              </w:rPr>
              <w:t>2,918,980</w:t>
            </w:r>
          </w:p>
        </w:tc>
      </w:tr>
      <w:tr w:rsidR="004F5E48" w:rsidRPr="00B6627E" w:rsidTr="004F5E48">
        <w:tc>
          <w:tcPr>
            <w:tcW w:w="4111" w:type="dxa"/>
            <w:vAlign w:val="bottom"/>
          </w:tcPr>
          <w:p w:rsidR="004F5E48" w:rsidRPr="00B6627E" w:rsidRDefault="004F5E48" w:rsidP="004F5E4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เงินสดและรายการเทียบเท่าเงินสด ณ วันที่ </w:t>
            </w: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4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3,465,595</w:t>
            </w:r>
          </w:p>
        </w:tc>
        <w:tc>
          <w:tcPr>
            <w:tcW w:w="1657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2,918,980</w:t>
            </w:r>
          </w:p>
        </w:tc>
        <w:tc>
          <w:tcPr>
            <w:tcW w:w="1657" w:type="dxa"/>
            <w:vAlign w:val="bottom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4,366,560</w:t>
            </w:r>
          </w:p>
        </w:tc>
      </w:tr>
    </w:tbl>
    <w:p w:rsidR="004F5E48" w:rsidRPr="00B6627E" w:rsidRDefault="004F5E48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DC4B07" w:rsidRPr="00B6627E" w:rsidRDefault="00DC4B07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4F5E48" w:rsidRPr="00B6627E" w:rsidRDefault="004F5E48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4F5E48" w:rsidRPr="00B6627E" w:rsidRDefault="004F5E48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4F5E48" w:rsidRPr="00B6627E" w:rsidRDefault="004F5E48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4F5E48" w:rsidRPr="00B6627E" w:rsidRDefault="004F5E48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4F5E48" w:rsidRPr="00B6627E" w:rsidRDefault="004F5E48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4F5E48" w:rsidRPr="00B6627E" w:rsidRDefault="004F5E48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4F5E48" w:rsidRPr="00B6627E" w:rsidRDefault="004F5E48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667A42" w:rsidRPr="00B6627E" w:rsidRDefault="00667A42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4F5E48" w:rsidRPr="00B6627E" w:rsidRDefault="004F5E48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4F5E48" w:rsidRPr="00B6627E" w:rsidRDefault="004F5E48" w:rsidP="004F5E48">
      <w:pPr>
        <w:rPr>
          <w:rFonts w:asciiTheme="majorBidi" w:hAnsiTheme="majorBidi" w:cstheme="majorBidi"/>
          <w:b/>
          <w:bCs/>
          <w:sz w:val="27"/>
          <w:szCs w:val="27"/>
          <w:cs/>
        </w:rPr>
      </w:pPr>
      <w:r w:rsidRPr="00B6627E">
        <w:rPr>
          <w:rFonts w:asciiTheme="majorBidi" w:hAnsiTheme="majorBidi" w:cstheme="majorBidi"/>
          <w:b/>
          <w:bCs/>
          <w:sz w:val="27"/>
          <w:szCs w:val="27"/>
          <w:cs/>
        </w:rPr>
        <w:t>ตารางแสดงอัตราส่วนทางการเงินที่สำคัญ</w:t>
      </w:r>
    </w:p>
    <w:tbl>
      <w:tblPr>
        <w:tblW w:w="8557" w:type="dxa"/>
        <w:jc w:val="center"/>
        <w:tblInd w:w="1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02"/>
        <w:gridCol w:w="1005"/>
        <w:gridCol w:w="1170"/>
        <w:gridCol w:w="1080"/>
      </w:tblGrid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vMerge w:val="restart"/>
            <w:shd w:val="clear" w:color="auto" w:fill="D9D9D9"/>
            <w:vAlign w:val="center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อัตราส่วนทางการเงินที่สำคัญ</w:t>
            </w:r>
          </w:p>
        </w:tc>
        <w:tc>
          <w:tcPr>
            <w:tcW w:w="3255" w:type="dxa"/>
            <w:gridSpan w:val="3"/>
            <w:shd w:val="clear" w:color="auto" w:fill="D9D9D9"/>
          </w:tcPr>
          <w:p w:rsidR="004F5E48" w:rsidRPr="00B6627E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รอบปีบัญชีสิ้นสุด ณ วันที่ </w:t>
            </w:r>
            <w:r w:rsidRPr="00B662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662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</w:tc>
      </w:tr>
      <w:tr w:rsidR="004F5E48" w:rsidRPr="00B6627E" w:rsidTr="00667A42">
        <w:trPr>
          <w:trHeight w:hRule="exact" w:val="318"/>
          <w:jc w:val="center"/>
        </w:trPr>
        <w:tc>
          <w:tcPr>
            <w:tcW w:w="5302" w:type="dxa"/>
            <w:vMerge/>
            <w:shd w:val="clear" w:color="auto" w:fill="D9D9D9"/>
          </w:tcPr>
          <w:p w:rsidR="004F5E48" w:rsidRPr="00B6627E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5" w:type="dxa"/>
            <w:shd w:val="clear" w:color="auto" w:fill="D9D9D9"/>
          </w:tcPr>
          <w:p w:rsidR="004F5E48" w:rsidRPr="00B6627E" w:rsidRDefault="004F5E48" w:rsidP="003654E6">
            <w:pPr>
              <w:ind w:right="6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ปี </w:t>
            </w: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170" w:type="dxa"/>
            <w:shd w:val="clear" w:color="auto" w:fill="D9D9D9"/>
          </w:tcPr>
          <w:p w:rsidR="004F5E48" w:rsidRPr="00B6627E" w:rsidRDefault="004F5E48" w:rsidP="004F5E48">
            <w:pPr>
              <w:ind w:right="6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ปี </w:t>
            </w: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080" w:type="dxa"/>
            <w:shd w:val="clear" w:color="auto" w:fill="D9D9D9"/>
          </w:tcPr>
          <w:p w:rsidR="004F5E48" w:rsidRPr="00B6627E" w:rsidRDefault="004F5E48" w:rsidP="004F5E48">
            <w:pPr>
              <w:ind w:right="6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ปี </w:t>
            </w:r>
            <w:r w:rsidRPr="00B66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</w:tcPr>
          <w:p w:rsidR="004F5E48" w:rsidRPr="00B6627E" w:rsidRDefault="004F5E48" w:rsidP="004F5E48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อัตราส่วนสภาพคล่อง (Liquidity Ratio)</w:t>
            </w:r>
          </w:p>
        </w:tc>
        <w:tc>
          <w:tcPr>
            <w:tcW w:w="1005" w:type="dxa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.อัตราส่วนสภาพคล่อง (เท่า)</w:t>
            </w:r>
          </w:p>
        </w:tc>
        <w:tc>
          <w:tcPr>
            <w:tcW w:w="1005" w:type="dxa"/>
            <w:tcBorders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1.15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1.49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1.48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.อัตราส่วนสภาพคล่องหมุนเร็ว (เท่า)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0.38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0.60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0.67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.อัตราส่วนสภาพคล่องกระแสเงินสด (เท่า)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0.13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0.12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0.21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.อัตราส่วนหมุนเวียนลูกหนี้การค้า (เท่า)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10.08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9.17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9.21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.ระยะเวลาเก็บหนี้เฉลี่ย (วัน)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35.72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39.24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39.07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.อัตราส่วนหมุนเวียนสินค้าคงเหลือ (เท่า)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2.14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1.97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2.04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.ระยะเวลาขายสินค้าเฉลี่ย (วัน)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167.99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182.66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176.46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.อัตราส่วนหมุนเวียนเจ้าหนี้ (เท่า)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10.26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9.73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9.63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.ระยะเวลาชำระหนี้ (วัน)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35.08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36.98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37.39</w:t>
            </w:r>
          </w:p>
        </w:tc>
      </w:tr>
      <w:tr w:rsidR="004F5E48" w:rsidRPr="00B6627E" w:rsidTr="004F5E48">
        <w:trPr>
          <w:trHeight w:hRule="exact" w:val="315"/>
          <w:jc w:val="center"/>
        </w:trPr>
        <w:tc>
          <w:tcPr>
            <w:tcW w:w="5302" w:type="dxa"/>
            <w:tcBorders>
              <w:top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10.Cash Cycle (วัน)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168.64</w:t>
            </w:r>
          </w:p>
        </w:tc>
        <w:tc>
          <w:tcPr>
            <w:tcW w:w="1170" w:type="dxa"/>
            <w:tcBorders>
              <w:top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184.92</w:t>
            </w:r>
          </w:p>
        </w:tc>
        <w:tc>
          <w:tcPr>
            <w:tcW w:w="1080" w:type="dxa"/>
            <w:tcBorders>
              <w:top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178.14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</w:tcPr>
          <w:p w:rsidR="004F5E48" w:rsidRPr="00B6627E" w:rsidRDefault="004F5E48" w:rsidP="004F5E48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อัตราส่วนแสดงความสามารถในการหากำไร (Profitability Ratio)</w:t>
            </w:r>
          </w:p>
        </w:tc>
        <w:tc>
          <w:tcPr>
            <w:tcW w:w="1005" w:type="dxa"/>
            <w:vAlign w:val="bottom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.อัตรากำไรขั้นต้น (%)</w:t>
            </w:r>
          </w:p>
        </w:tc>
        <w:tc>
          <w:tcPr>
            <w:tcW w:w="1005" w:type="dxa"/>
            <w:tcBorders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16.52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15.79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19.93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.อัตรากำไรจากการดำเนินงาน (%)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3.62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1.45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8.20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13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.อัตรากำไรอื่น (%)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(2.83)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(4.44)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3.37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14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.อัตราส่วนเงินสดต่อการทำกำไร (เท่า)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1.83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4.65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1.31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.อัตรากำไรสุทธิ (%)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1.63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(2.25)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3.82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.อัตราผลตอบแทนผู้ถือหุ้น (%)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1.11</w:t>
            </w:r>
          </w:p>
        </w:tc>
        <w:tc>
          <w:tcPr>
            <w:tcW w:w="1170" w:type="dxa"/>
            <w:tcBorders>
              <w:top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(1.57)</w:t>
            </w:r>
          </w:p>
        </w:tc>
        <w:tc>
          <w:tcPr>
            <w:tcW w:w="1080" w:type="dxa"/>
            <w:tcBorders>
              <w:top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2.77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</w:tcPr>
          <w:p w:rsidR="004F5E48" w:rsidRPr="00B6627E" w:rsidRDefault="004F5E48" w:rsidP="004F5E48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อัตราส่วนแสดงประสิทธิภาพในการดำเนินงาน (Efficiency Ratio)</w:t>
            </w:r>
          </w:p>
        </w:tc>
        <w:tc>
          <w:tcPr>
            <w:tcW w:w="1005" w:type="dxa"/>
            <w:vAlign w:val="bottom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.อัตราผลตอบแทนจากสินทรัพย์ (%)</w:t>
            </w:r>
          </w:p>
        </w:tc>
        <w:tc>
          <w:tcPr>
            <w:tcW w:w="1005" w:type="dxa"/>
            <w:tcBorders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0.51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(0.71)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1.33</w:t>
            </w:r>
          </w:p>
        </w:tc>
      </w:tr>
      <w:tr w:rsidR="004F5E48" w:rsidRPr="00B6627E" w:rsidTr="004F5E48">
        <w:trPr>
          <w:trHeight w:hRule="exact" w:val="317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18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.อัตราผลตอบแทนจากสินทรัพย์ถาวร (%)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3.84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2.63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5.40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19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.อัตราการหมุนของสินทรัพย์ (เท่า)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0.31</w:t>
            </w:r>
          </w:p>
        </w:tc>
        <w:tc>
          <w:tcPr>
            <w:tcW w:w="1170" w:type="dxa"/>
            <w:tcBorders>
              <w:top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0.32</w:t>
            </w:r>
          </w:p>
        </w:tc>
        <w:tc>
          <w:tcPr>
            <w:tcW w:w="1080" w:type="dxa"/>
            <w:tcBorders>
              <w:top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0.35</w:t>
            </w:r>
          </w:p>
        </w:tc>
      </w:tr>
      <w:tr w:rsidR="004F5E48" w:rsidRPr="00B6627E" w:rsidTr="004F5E48">
        <w:trPr>
          <w:trHeight w:hRule="exact" w:val="265"/>
          <w:jc w:val="center"/>
        </w:trPr>
        <w:tc>
          <w:tcPr>
            <w:tcW w:w="5302" w:type="dxa"/>
          </w:tcPr>
          <w:p w:rsidR="004F5E48" w:rsidRPr="00B6627E" w:rsidRDefault="004F5E48" w:rsidP="004F5E48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อัตราส่วนวิเคราะห์นโยบายทางการเงิน (Financial Policy Ratio)</w:t>
            </w:r>
          </w:p>
        </w:tc>
        <w:tc>
          <w:tcPr>
            <w:tcW w:w="1005" w:type="dxa"/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.อัตราส่วนหนี้สินต่อส่วนของผู้ถือหุ้น (เท่า)</w:t>
            </w:r>
          </w:p>
        </w:tc>
        <w:tc>
          <w:tcPr>
            <w:tcW w:w="1005" w:type="dxa"/>
            <w:tcBorders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1.52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0.98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1.17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3654E6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21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.อัตราส่วนหนี้สิน (สุทธิ) ต่อส่วนของผู้ถือหุ้น (เท่า)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vertAlign w:val="superscript"/>
                <w:lang w:eastAsia="th-TH"/>
              </w:rPr>
              <w:t xml:space="preserve"> </w:t>
            </w:r>
            <w:r w:rsidR="003654E6" w:rsidRPr="00B6627E">
              <w:rPr>
                <w:rFonts w:asciiTheme="majorBidi" w:hAnsiTheme="majorBidi" w:cstheme="majorBidi"/>
                <w:snapToGrid w:val="0"/>
                <w:sz w:val="26"/>
                <w:szCs w:val="26"/>
                <w:vertAlign w:val="superscript"/>
                <w:lang w:eastAsia="th-TH"/>
              </w:rPr>
              <w:t>2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1.42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0.85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1.00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22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.อัตราส่วนหนี้สินซึ่งมีภาระดอกเบี้ยต่อส่วนของผู้ถือหุ้น (เท่า) 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1.27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0.79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0.99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3654E6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23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.อัตราส่วนหนี้สินซึ่งมีภาระดอกเบี้ย (สุทธิ) ต่อส่วนของผู้ถือหุ้น (เท่า) </w:t>
            </w:r>
            <w:r w:rsidR="003654E6" w:rsidRPr="00B6627E">
              <w:rPr>
                <w:rFonts w:asciiTheme="majorBidi" w:hAnsiTheme="majorBidi" w:cstheme="majorBidi" w:hint="cs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2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1.17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0.66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0.82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24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.อัตราส่วนความสามารถชำระดอกเบี้ย (เท่า)</w:t>
            </w:r>
            <w:r w:rsidR="003654E6" w:rsidRPr="00B6627E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F4B37" w:rsidRPr="00B6627E">
              <w:rPr>
                <w:rFonts w:asciiTheme="majorBidi" w:hAnsiTheme="majorBidi" w:cstheme="majorBidi"/>
                <w:snapToGrid w:val="0"/>
                <w:sz w:val="26"/>
                <w:szCs w:val="26"/>
                <w:vertAlign w:val="superscript"/>
                <w:lang w:eastAsia="th-TH"/>
              </w:rPr>
              <w:t>3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2.31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1.94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3.39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.อัตราส่วนความสามารถชำระภาระผูกพัน (เท่า)</w:t>
            </w:r>
            <w:r w:rsidR="007F4B37" w:rsidRPr="00B6627E">
              <w:rPr>
                <w:rFonts w:asciiTheme="majorBidi" w:hAnsiTheme="majorBidi" w:cstheme="majorBidi"/>
                <w:snapToGrid w:val="0"/>
                <w:sz w:val="26"/>
                <w:szCs w:val="26"/>
                <w:vertAlign w:val="superscript"/>
                <w:lang w:eastAsia="th-TH"/>
              </w:rPr>
              <w:t xml:space="preserve"> 3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1.68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1.31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2.37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26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.อัตราการจ่ายเงินปันผล (%)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vertAlign w:val="superscript"/>
                <w:cs/>
                <w:lang w:eastAsia="th-TH"/>
              </w:rPr>
              <w:t xml:space="preserve"> 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vertAlign w:val="superscript"/>
                <w:lang w:eastAsia="th-TH"/>
              </w:rPr>
              <w:t>1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29.85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N/A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153.85</w:t>
            </w:r>
          </w:p>
        </w:tc>
      </w:tr>
      <w:tr w:rsidR="004F5E48" w:rsidRPr="00B6627E" w:rsidTr="004F5E48">
        <w:trPr>
          <w:trHeight w:hRule="exact" w:val="555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357" w:hanging="198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27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.อัตราส่วนหนี้สินสุทธิต่อกำไรก่อนดอกเบี้ยจ่าย ภาษีเงินได้ ค่าเสื่อม ราคา และค่าตัดจำหน่าย</w:t>
            </w:r>
            <w:r w:rsidR="00667A42" w:rsidRPr="00B6627E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667A42"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(เท่า)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12.19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11.27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7.40</w:t>
            </w:r>
          </w:p>
        </w:tc>
      </w:tr>
      <w:tr w:rsidR="004F5E48" w:rsidRPr="00B6627E" w:rsidTr="004F5E48">
        <w:trPr>
          <w:trHeight w:hRule="exact" w:val="421"/>
          <w:jc w:val="center"/>
        </w:trPr>
        <w:tc>
          <w:tcPr>
            <w:tcW w:w="5302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28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.อัตราส่วนตั๋วเงินจ่ายต่อหนี้สินที่มีภาระดอกเบี้ย</w:t>
            </w:r>
            <w:r w:rsidR="00667A42"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7A42"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(เท่า)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0.10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0.03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0.02</w:t>
            </w:r>
          </w:p>
        </w:tc>
      </w:tr>
      <w:tr w:rsidR="004F5E48" w:rsidRPr="00B6627E" w:rsidTr="004F5E48">
        <w:trPr>
          <w:trHeight w:hRule="exact" w:val="667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667A42">
            <w:pPr>
              <w:spacing w:line="216" w:lineRule="auto"/>
              <w:ind w:left="357" w:hanging="201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29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.อัตราส่วนหนี้สินที่มีภาระดอกเบี้ยที่ครบกำหนดภายใน 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ปีต่อหนี้สิน</w:t>
            </w:r>
            <w:r w:rsidR="00667A42" w:rsidRPr="00B6627E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ที่มีภาระดอกเบี้ยทั้งหมด</w:t>
            </w:r>
            <w:r w:rsidR="00667A42" w:rsidRPr="00B6627E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667A42"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(เท่า)</w:t>
            </w:r>
          </w:p>
        </w:tc>
        <w:tc>
          <w:tcPr>
            <w:tcW w:w="1005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0.21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0.19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0.24</w:t>
            </w:r>
          </w:p>
        </w:tc>
      </w:tr>
      <w:tr w:rsidR="004F5E48" w:rsidRPr="00B6627E" w:rsidTr="00667A42">
        <w:trPr>
          <w:trHeight w:hRule="exact" w:val="329"/>
          <w:jc w:val="center"/>
        </w:trPr>
        <w:tc>
          <w:tcPr>
            <w:tcW w:w="5302" w:type="dxa"/>
            <w:tcBorders>
              <w:top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30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.อัตราส่วนเงินกู้ยืมจากสถาบันการเงินต่อหนี้สินรวม</w:t>
            </w:r>
            <w:r w:rsidR="00667A42" w:rsidRPr="00B6627E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667A42"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(เท่า)</w:t>
            </w:r>
          </w:p>
        </w:tc>
        <w:tc>
          <w:tcPr>
            <w:tcW w:w="1005" w:type="dxa"/>
            <w:tcBorders>
              <w:top w:val="nil"/>
            </w:tcBorders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0.26</w:t>
            </w:r>
          </w:p>
        </w:tc>
        <w:tc>
          <w:tcPr>
            <w:tcW w:w="1170" w:type="dxa"/>
            <w:tcBorders>
              <w:top w:val="nil"/>
            </w:tcBorders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0.16</w:t>
            </w:r>
          </w:p>
        </w:tc>
        <w:tc>
          <w:tcPr>
            <w:tcW w:w="1080" w:type="dxa"/>
            <w:tcBorders>
              <w:top w:val="nil"/>
            </w:tcBorders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0.18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</w:tcPr>
          <w:p w:rsidR="004F5E48" w:rsidRPr="00B6627E" w:rsidRDefault="004F5E48" w:rsidP="004F5E48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ข้อมูลต่อหุ้น </w:t>
            </w:r>
          </w:p>
        </w:tc>
        <w:tc>
          <w:tcPr>
            <w:tcW w:w="1005" w:type="dxa"/>
            <w:vAlign w:val="bottom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4F5E48" w:rsidRPr="00B6627E" w:rsidRDefault="004F5E48" w:rsidP="004F5E48">
            <w:pPr>
              <w:spacing w:line="204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.มูลค่าตามบัญชีต่อหุ้น (บาท) </w:t>
            </w:r>
          </w:p>
        </w:tc>
        <w:tc>
          <w:tcPr>
            <w:tcW w:w="1005" w:type="dxa"/>
            <w:tcBorders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04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1.84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04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2.61</w:t>
            </w:r>
            <w:r w:rsidR="007F4B37" w:rsidRPr="00B6627E">
              <w:rPr>
                <w:rFonts w:asciiTheme="majorBidi" w:hAnsiTheme="majorBidi" w:cstheme="majorBidi"/>
                <w:snapToGrid w:val="0"/>
                <w:sz w:val="26"/>
                <w:szCs w:val="26"/>
                <w:vertAlign w:val="superscript"/>
                <w:lang w:eastAsia="th-TH"/>
              </w:rPr>
              <w:t>4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4F5E48" w:rsidRPr="00B6627E" w:rsidRDefault="00667A42" w:rsidP="004F5E48">
            <w:pPr>
              <w:spacing w:line="204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F5E48"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2.63</w:t>
            </w:r>
            <w:r w:rsidR="007F4B37" w:rsidRPr="00B6627E">
              <w:rPr>
                <w:rFonts w:asciiTheme="majorBidi" w:hAnsiTheme="majorBidi" w:cstheme="majorBidi"/>
                <w:snapToGrid w:val="0"/>
                <w:sz w:val="26"/>
                <w:szCs w:val="26"/>
                <w:vertAlign w:val="superscript"/>
                <w:lang w:eastAsia="th-TH"/>
              </w:rPr>
              <w:t>4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04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32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.กำไรสุทธิต่อหุ้น (บาท) 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04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0.026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04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(0.063)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667A42">
            <w:pPr>
              <w:spacing w:line="204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0.016</w:t>
            </w:r>
          </w:p>
        </w:tc>
      </w:tr>
      <w:tr w:rsidR="004F5E48" w:rsidRPr="00B6627E" w:rsidTr="004F5E48">
        <w:trPr>
          <w:trHeight w:hRule="exact" w:val="412"/>
          <w:jc w:val="center"/>
        </w:trPr>
        <w:tc>
          <w:tcPr>
            <w:tcW w:w="5302" w:type="dxa"/>
            <w:tcBorders>
              <w:top w:val="nil"/>
            </w:tcBorders>
          </w:tcPr>
          <w:p w:rsidR="004F5E48" w:rsidRPr="00B6627E" w:rsidRDefault="004F5E48" w:rsidP="004F5E48">
            <w:pPr>
              <w:spacing w:line="204" w:lineRule="auto"/>
              <w:ind w:left="15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33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.เงินปันผลต่อหุ้น (บาท) </w:t>
            </w:r>
          </w:p>
          <w:p w:rsidR="004F5E48" w:rsidRPr="00B6627E" w:rsidRDefault="004F5E48" w:rsidP="004F5E48">
            <w:pPr>
              <w:spacing w:line="204" w:lineRule="auto"/>
              <w:ind w:left="15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:rsidR="004F5E48" w:rsidRPr="00B6627E" w:rsidRDefault="004F5E48" w:rsidP="004F5E48">
            <w:pPr>
              <w:spacing w:line="204" w:lineRule="auto"/>
              <w:ind w:left="15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:rsidR="004F5E48" w:rsidRPr="00B6627E" w:rsidRDefault="004F5E48" w:rsidP="004F5E48">
            <w:pPr>
              <w:spacing w:line="204" w:lineRule="auto"/>
              <w:ind w:left="15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:rsidR="004F5E48" w:rsidRPr="00B6627E" w:rsidRDefault="004F5E48" w:rsidP="004F5E48">
            <w:pPr>
              <w:spacing w:line="204" w:lineRule="auto"/>
              <w:ind w:left="15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:rsidR="004F5E48" w:rsidRPr="00B6627E" w:rsidRDefault="004F5E48" w:rsidP="004F5E48">
            <w:pPr>
              <w:spacing w:line="204" w:lineRule="auto"/>
              <w:ind w:left="15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:rsidR="004F5E48" w:rsidRPr="00B6627E" w:rsidRDefault="004F5E48" w:rsidP="004F5E48">
            <w:pPr>
              <w:spacing w:line="204" w:lineRule="auto"/>
              <w:ind w:left="15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:rsidR="004F5E48" w:rsidRPr="00B6627E" w:rsidRDefault="004F5E48" w:rsidP="004F5E48">
            <w:pPr>
              <w:spacing w:line="204" w:lineRule="auto"/>
              <w:ind w:left="15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:rsidR="004F5E48" w:rsidRPr="00B6627E" w:rsidRDefault="004F5E48" w:rsidP="004F5E48">
            <w:pPr>
              <w:spacing w:line="204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</w:tcBorders>
            <w:vAlign w:val="center"/>
          </w:tcPr>
          <w:p w:rsidR="004F5E48" w:rsidRPr="00B6627E" w:rsidRDefault="004F5E48" w:rsidP="004F5E48">
            <w:pPr>
              <w:spacing w:line="204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0.020</w:t>
            </w:r>
          </w:p>
        </w:tc>
        <w:tc>
          <w:tcPr>
            <w:tcW w:w="1170" w:type="dxa"/>
            <w:tcBorders>
              <w:top w:val="nil"/>
            </w:tcBorders>
            <w:vAlign w:val="center"/>
          </w:tcPr>
          <w:p w:rsidR="004F5E48" w:rsidRPr="00B6627E" w:rsidRDefault="004F5E48" w:rsidP="004F5E48">
            <w:pPr>
              <w:spacing w:line="204" w:lineRule="auto"/>
              <w:ind w:right="6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0.020</w:t>
            </w:r>
          </w:p>
          <w:p w:rsidR="004F5E48" w:rsidRPr="00B6627E" w:rsidRDefault="004F5E48" w:rsidP="004F5E48">
            <w:pPr>
              <w:spacing w:line="204" w:lineRule="auto"/>
              <w:ind w:right="6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:rsidR="004F5E48" w:rsidRPr="00B6627E" w:rsidRDefault="004F5E48" w:rsidP="004F5E48">
            <w:pPr>
              <w:spacing w:line="204" w:lineRule="auto"/>
              <w:ind w:right="6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nil"/>
            </w:tcBorders>
            <w:vAlign w:val="center"/>
          </w:tcPr>
          <w:p w:rsidR="004F5E48" w:rsidRPr="00B6627E" w:rsidRDefault="004F5E48" w:rsidP="004F5E48">
            <w:pPr>
              <w:spacing w:line="204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0.020</w:t>
            </w:r>
          </w:p>
        </w:tc>
      </w:tr>
      <w:tr w:rsidR="004F5E48" w:rsidRPr="00B6627E" w:rsidTr="004F5E48">
        <w:trPr>
          <w:trHeight w:hRule="exact" w:val="436"/>
          <w:jc w:val="center"/>
        </w:trPr>
        <w:tc>
          <w:tcPr>
            <w:tcW w:w="5302" w:type="dxa"/>
          </w:tcPr>
          <w:p w:rsidR="004F5E48" w:rsidRPr="00B6627E" w:rsidRDefault="004F5E48" w:rsidP="004F5E48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อัตราการเติบโต</w:t>
            </w:r>
          </w:p>
        </w:tc>
        <w:tc>
          <w:tcPr>
            <w:tcW w:w="1005" w:type="dxa"/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34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.สินทรัพย์รวม (%)</w:t>
            </w:r>
          </w:p>
        </w:tc>
        <w:tc>
          <w:tcPr>
            <w:tcW w:w="1005" w:type="dxa"/>
            <w:tcBorders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(13.96)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11.40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7.09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35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.หนี้สินรวม (%)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8.10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(8.54)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16.56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36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.รายได้จากการขาย (%)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7.34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(0.14)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20.30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37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.ค่าใช้จ่ายดำเนินงาน (%)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5.57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8.32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2.66</w:t>
            </w:r>
          </w:p>
        </w:tc>
      </w:tr>
      <w:tr w:rsidR="004F5E48" w:rsidRPr="00B6627E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</w:tcBorders>
          </w:tcPr>
          <w:p w:rsidR="004F5E48" w:rsidRPr="00B6627E" w:rsidRDefault="004F5E48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38</w:t>
            </w: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.กำไรสุทธิ (%)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  41.51 </w:t>
            </w:r>
          </w:p>
        </w:tc>
        <w:tc>
          <w:tcPr>
            <w:tcW w:w="1170" w:type="dxa"/>
            <w:tcBorders>
              <w:top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    (235.25)</w:t>
            </w:r>
          </w:p>
        </w:tc>
        <w:tc>
          <w:tcPr>
            <w:tcW w:w="1080" w:type="dxa"/>
            <w:tcBorders>
              <w:top w:val="nil"/>
            </w:tcBorders>
            <w:vAlign w:val="center"/>
          </w:tcPr>
          <w:p w:rsidR="004F5E48" w:rsidRPr="00B6627E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627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304.59</w:t>
            </w:r>
          </w:p>
        </w:tc>
      </w:tr>
    </w:tbl>
    <w:p w:rsidR="004F5E48" w:rsidRPr="00B6627E" w:rsidRDefault="004F5E48" w:rsidP="004F5E48">
      <w:pPr>
        <w:spacing w:line="228" w:lineRule="auto"/>
        <w:jc w:val="thaiDistribute"/>
        <w:rPr>
          <w:rFonts w:asciiTheme="majorBidi" w:hAnsiTheme="majorBidi" w:cstheme="majorBidi"/>
          <w:sz w:val="23"/>
          <w:szCs w:val="23"/>
          <w:u w:val="single"/>
          <w:lang w:val="x-none" w:eastAsia="x-none"/>
        </w:rPr>
      </w:pPr>
    </w:p>
    <w:p w:rsidR="004F5E48" w:rsidRPr="00B6627E" w:rsidRDefault="004F5E48" w:rsidP="004F5E48">
      <w:pPr>
        <w:spacing w:line="228" w:lineRule="auto"/>
        <w:jc w:val="thaiDistribute"/>
        <w:rPr>
          <w:rFonts w:asciiTheme="majorBidi" w:hAnsiTheme="majorBidi" w:cstheme="majorBidi"/>
          <w:sz w:val="23"/>
          <w:szCs w:val="23"/>
          <w:lang w:val="x-none" w:eastAsia="x-none"/>
        </w:rPr>
      </w:pPr>
      <w:r w:rsidRPr="00B6627E">
        <w:rPr>
          <w:rFonts w:asciiTheme="majorBidi" w:hAnsiTheme="majorBidi" w:cstheme="majorBidi"/>
          <w:sz w:val="23"/>
          <w:szCs w:val="23"/>
          <w:u w:val="single"/>
          <w:cs/>
          <w:lang w:val="x-none" w:eastAsia="x-none"/>
        </w:rPr>
        <w:t>หมายเหตุ</w:t>
      </w:r>
      <w:r w:rsidRPr="00B6627E">
        <w:rPr>
          <w:rFonts w:asciiTheme="majorBidi" w:hAnsiTheme="majorBidi" w:cstheme="majorBidi"/>
          <w:sz w:val="23"/>
          <w:szCs w:val="23"/>
          <w:cs/>
          <w:lang w:val="x-none" w:eastAsia="x-none"/>
        </w:rPr>
        <w:tab/>
        <w:t xml:space="preserve"> 1.   คำนวณโดยใช้งบการเงินเฉพาะกิจการ</w:t>
      </w:r>
    </w:p>
    <w:p w:rsidR="004F5E48" w:rsidRPr="00B6627E" w:rsidRDefault="004F5E48" w:rsidP="007F4B37">
      <w:pPr>
        <w:spacing w:line="228" w:lineRule="auto"/>
        <w:ind w:left="720"/>
        <w:jc w:val="thaiDistribute"/>
        <w:rPr>
          <w:rFonts w:asciiTheme="majorBidi" w:hAnsiTheme="majorBidi" w:cstheme="majorBidi"/>
          <w:sz w:val="23"/>
          <w:szCs w:val="23"/>
          <w:lang w:val="x-none" w:eastAsia="x-none"/>
        </w:rPr>
      </w:pPr>
      <w:r w:rsidRPr="00B6627E">
        <w:rPr>
          <w:rFonts w:asciiTheme="majorBidi" w:hAnsiTheme="majorBidi" w:cstheme="majorBidi"/>
          <w:sz w:val="23"/>
          <w:szCs w:val="23"/>
          <w:cs/>
          <w:lang w:val="x-none" w:eastAsia="x-none"/>
        </w:rPr>
        <w:t xml:space="preserve"> </w:t>
      </w:r>
      <w:r w:rsidR="007F4B37" w:rsidRPr="00B6627E">
        <w:rPr>
          <w:rFonts w:asciiTheme="majorBidi" w:hAnsiTheme="majorBidi" w:cstheme="majorBidi" w:hint="cs"/>
          <w:sz w:val="23"/>
          <w:szCs w:val="23"/>
          <w:cs/>
          <w:lang w:val="x-none" w:eastAsia="x-none"/>
        </w:rPr>
        <w:t>2</w:t>
      </w:r>
      <w:r w:rsidRPr="00B6627E">
        <w:rPr>
          <w:rFonts w:asciiTheme="majorBidi" w:hAnsiTheme="majorBidi" w:cstheme="majorBidi"/>
          <w:sz w:val="23"/>
          <w:szCs w:val="23"/>
          <w:cs/>
          <w:lang w:val="x-none" w:eastAsia="x-none"/>
        </w:rPr>
        <w:t>.</w:t>
      </w:r>
      <w:r w:rsidRPr="00B6627E">
        <w:rPr>
          <w:rFonts w:asciiTheme="majorBidi" w:hAnsiTheme="majorBidi" w:cstheme="majorBidi"/>
          <w:sz w:val="23"/>
          <w:szCs w:val="23"/>
          <w:lang w:val="x-none" w:eastAsia="x-none"/>
        </w:rPr>
        <w:t xml:space="preserve">   </w:t>
      </w:r>
      <w:r w:rsidRPr="00B6627E">
        <w:rPr>
          <w:rFonts w:asciiTheme="majorBidi" w:hAnsiTheme="majorBidi" w:cstheme="majorBidi"/>
          <w:sz w:val="23"/>
          <w:szCs w:val="23"/>
          <w:cs/>
          <w:lang w:val="x-none" w:eastAsia="x-none"/>
        </w:rPr>
        <w:t xml:space="preserve"> หักเงินสดและรายการเทียบเท่าเงินสดและเงินลงทุนชั่วคราว  </w:t>
      </w:r>
    </w:p>
    <w:p w:rsidR="004F5E48" w:rsidRPr="00B6627E" w:rsidRDefault="004F5E48" w:rsidP="004F5E48">
      <w:pPr>
        <w:spacing w:line="228" w:lineRule="auto"/>
        <w:rPr>
          <w:rFonts w:asciiTheme="majorBidi" w:hAnsiTheme="majorBidi" w:cstheme="majorBidi"/>
          <w:sz w:val="23"/>
          <w:szCs w:val="23"/>
        </w:rPr>
      </w:pPr>
      <w:r w:rsidRPr="00B6627E">
        <w:rPr>
          <w:rFonts w:asciiTheme="majorBidi" w:hAnsiTheme="majorBidi" w:cstheme="majorBidi"/>
          <w:sz w:val="23"/>
          <w:szCs w:val="23"/>
        </w:rPr>
        <w:t xml:space="preserve">                    </w:t>
      </w:r>
      <w:r w:rsidR="007F4B37" w:rsidRPr="00B6627E">
        <w:rPr>
          <w:rFonts w:asciiTheme="majorBidi" w:hAnsiTheme="majorBidi" w:cstheme="majorBidi"/>
          <w:sz w:val="23"/>
          <w:szCs w:val="23"/>
        </w:rPr>
        <w:t>3</w:t>
      </w:r>
      <w:r w:rsidRPr="00B6627E">
        <w:rPr>
          <w:rFonts w:asciiTheme="majorBidi" w:hAnsiTheme="majorBidi" w:cstheme="majorBidi"/>
          <w:sz w:val="23"/>
          <w:szCs w:val="23"/>
        </w:rPr>
        <w:t xml:space="preserve">.    </w:t>
      </w:r>
      <w:r w:rsidRPr="00B6627E">
        <w:rPr>
          <w:rFonts w:asciiTheme="majorBidi" w:hAnsiTheme="majorBidi" w:cstheme="majorBidi"/>
          <w:sz w:val="23"/>
          <w:szCs w:val="23"/>
          <w:cs/>
        </w:rPr>
        <w:t>ตามเกณฑ์เงินสด</w:t>
      </w:r>
    </w:p>
    <w:p w:rsidR="004F5E48" w:rsidRPr="00B6627E" w:rsidRDefault="004F5E48" w:rsidP="004F5E48">
      <w:pPr>
        <w:spacing w:line="228" w:lineRule="auto"/>
        <w:ind w:left="993"/>
        <w:rPr>
          <w:rFonts w:asciiTheme="majorBidi" w:hAnsiTheme="majorBidi" w:cstheme="majorBidi"/>
          <w:sz w:val="23"/>
          <w:szCs w:val="23"/>
        </w:rPr>
      </w:pPr>
      <w:r w:rsidRPr="00B6627E">
        <w:rPr>
          <w:rFonts w:asciiTheme="majorBidi" w:hAnsiTheme="majorBidi" w:cstheme="majorBidi"/>
          <w:sz w:val="23"/>
          <w:szCs w:val="23"/>
          <w:u w:val="single"/>
          <w:cs/>
        </w:rPr>
        <w:t>อัตราส่วนความสามารถชำระดอกเบี้ย</w:t>
      </w:r>
      <w:r w:rsidRPr="00B6627E">
        <w:rPr>
          <w:rFonts w:asciiTheme="majorBidi" w:hAnsiTheme="majorBidi" w:cstheme="majorBidi"/>
          <w:sz w:val="23"/>
          <w:szCs w:val="23"/>
          <w:cs/>
        </w:rPr>
        <w:t xml:space="preserve"> </w:t>
      </w:r>
      <w:r w:rsidRPr="00B6627E">
        <w:rPr>
          <w:rFonts w:asciiTheme="majorBidi" w:hAnsiTheme="majorBidi" w:cstheme="majorBidi"/>
          <w:sz w:val="23"/>
          <w:szCs w:val="23"/>
        </w:rPr>
        <w:t xml:space="preserve">= </w:t>
      </w:r>
      <w:r w:rsidRPr="00B6627E">
        <w:rPr>
          <w:rFonts w:asciiTheme="majorBidi" w:hAnsiTheme="majorBidi" w:cstheme="majorBidi"/>
          <w:sz w:val="23"/>
          <w:szCs w:val="23"/>
          <w:cs/>
        </w:rPr>
        <w:t>กระแสเงินสดจากการดำเนินงาน (ก่อนการเปลี่ยนแปลงในสินทรัพย์และหนี้สินดำเนินงาน) หารด้วย การชำระต้นทุนทางการเงินในกระแสเงินสดจากกิจกรรมจัดหาเงิน</w:t>
      </w:r>
    </w:p>
    <w:p w:rsidR="004F5E48" w:rsidRPr="00B6627E" w:rsidRDefault="004F5E48" w:rsidP="004F5E48">
      <w:pPr>
        <w:spacing w:line="228" w:lineRule="auto"/>
        <w:ind w:left="993"/>
        <w:rPr>
          <w:rFonts w:asciiTheme="majorBidi" w:hAnsiTheme="majorBidi" w:cstheme="majorBidi"/>
          <w:sz w:val="23"/>
          <w:szCs w:val="23"/>
          <w:cs/>
        </w:rPr>
      </w:pPr>
      <w:r w:rsidRPr="00B6627E">
        <w:rPr>
          <w:rFonts w:asciiTheme="majorBidi" w:hAnsiTheme="majorBidi" w:cstheme="majorBidi"/>
          <w:sz w:val="23"/>
          <w:szCs w:val="23"/>
          <w:u w:val="single"/>
          <w:cs/>
        </w:rPr>
        <w:t>อัตราส่วนความสามารถชำระภาระผูกพัน</w:t>
      </w:r>
      <w:r w:rsidRPr="00B6627E">
        <w:rPr>
          <w:rFonts w:asciiTheme="majorBidi" w:hAnsiTheme="majorBidi" w:cstheme="majorBidi"/>
          <w:sz w:val="23"/>
          <w:szCs w:val="23"/>
          <w:cs/>
        </w:rPr>
        <w:t xml:space="preserve"> </w:t>
      </w:r>
      <w:r w:rsidRPr="00B6627E">
        <w:rPr>
          <w:rFonts w:asciiTheme="majorBidi" w:hAnsiTheme="majorBidi" w:cstheme="majorBidi"/>
          <w:sz w:val="23"/>
          <w:szCs w:val="23"/>
        </w:rPr>
        <w:t xml:space="preserve">= </w:t>
      </w:r>
      <w:r w:rsidRPr="00B6627E">
        <w:rPr>
          <w:rFonts w:asciiTheme="majorBidi" w:hAnsiTheme="majorBidi" w:cstheme="majorBidi"/>
          <w:sz w:val="23"/>
          <w:szCs w:val="23"/>
          <w:cs/>
        </w:rPr>
        <w:t xml:space="preserve">คำนวณตามสูตรใน </w:t>
      </w:r>
      <w:r w:rsidRPr="00B6627E">
        <w:rPr>
          <w:rFonts w:asciiTheme="majorBidi" w:hAnsiTheme="majorBidi" w:cstheme="majorBidi"/>
          <w:sz w:val="23"/>
          <w:szCs w:val="23"/>
        </w:rPr>
        <w:t xml:space="preserve">Financial Covenant </w:t>
      </w:r>
      <w:r w:rsidRPr="00B6627E">
        <w:rPr>
          <w:rFonts w:asciiTheme="majorBidi" w:hAnsiTheme="majorBidi" w:cstheme="majorBidi"/>
          <w:sz w:val="23"/>
          <w:szCs w:val="23"/>
          <w:cs/>
        </w:rPr>
        <w:t>ในสัญญากู้ยืมเงินของบริษัทที่มีกับธนาคารเจ้าหนี้ ซึ่งคำนวณจากกระแสเงินสดจากกิจกรรมดำเนินงาน (ก่อนการเปลี่ยนแปลงในสินทรัพย์และหนี้สินดำเนินงาน) หารด้วย การชำระคืนเงินกู้ยืมระยะยาวจากสถาบันการเงิน หนี้สินตามสัญญาเช่าการเงิน และต้นทุนทางการเงิน ในกระแสเงินสดจากกิจกรรมจัดหาเงิน</w:t>
      </w:r>
    </w:p>
    <w:p w:rsidR="004F5E48" w:rsidRPr="00B6627E" w:rsidRDefault="007F4B37" w:rsidP="004F5E48">
      <w:pPr>
        <w:spacing w:line="228" w:lineRule="auto"/>
        <w:ind w:left="993" w:hanging="284"/>
        <w:rPr>
          <w:rFonts w:asciiTheme="majorBidi" w:hAnsiTheme="majorBidi" w:cstheme="majorBidi"/>
          <w:sz w:val="22"/>
          <w:szCs w:val="22"/>
        </w:rPr>
      </w:pPr>
      <w:r w:rsidRPr="00B6627E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B6627E">
        <w:rPr>
          <w:rFonts w:asciiTheme="majorBidi" w:hAnsiTheme="majorBidi" w:cstheme="majorBidi" w:hint="cs"/>
          <w:sz w:val="22"/>
          <w:szCs w:val="22"/>
          <w:cs/>
        </w:rPr>
        <w:t>4</w:t>
      </w:r>
      <w:r w:rsidR="004F5E48" w:rsidRPr="00B6627E">
        <w:rPr>
          <w:rFonts w:asciiTheme="majorBidi" w:hAnsiTheme="majorBidi" w:cstheme="majorBidi"/>
          <w:sz w:val="22"/>
          <w:szCs w:val="22"/>
          <w:cs/>
        </w:rPr>
        <w:t>.    บริษัทไม่ได้บันทึกบัญชีเงินลงทุนในหุ้น</w:t>
      </w:r>
      <w:r w:rsidR="004F5E48" w:rsidRPr="00B6627E">
        <w:rPr>
          <w:rFonts w:asciiTheme="majorBidi" w:hAnsiTheme="majorBidi" w:cstheme="majorBidi"/>
          <w:sz w:val="22"/>
          <w:szCs w:val="22"/>
        </w:rPr>
        <w:t xml:space="preserve"> TPIPP </w:t>
      </w:r>
      <w:r w:rsidR="004F5E48" w:rsidRPr="00B6627E">
        <w:rPr>
          <w:rFonts w:asciiTheme="majorBidi" w:hAnsiTheme="majorBidi" w:cstheme="majorBidi"/>
          <w:sz w:val="22"/>
          <w:szCs w:val="22"/>
          <w:cs/>
        </w:rPr>
        <w:t xml:space="preserve">ที่บริษัทถืออยู่จำนวน </w:t>
      </w:r>
      <w:r w:rsidR="004F5E48" w:rsidRPr="00B6627E">
        <w:rPr>
          <w:rFonts w:asciiTheme="majorBidi" w:hAnsiTheme="majorBidi" w:cstheme="majorBidi"/>
          <w:sz w:val="22"/>
          <w:szCs w:val="22"/>
        </w:rPr>
        <w:t xml:space="preserve">5,899,999,300 </w:t>
      </w:r>
      <w:r w:rsidR="004F5E48" w:rsidRPr="00B6627E">
        <w:rPr>
          <w:rFonts w:asciiTheme="majorBidi" w:hAnsiTheme="majorBidi" w:cstheme="majorBidi"/>
          <w:sz w:val="22"/>
          <w:szCs w:val="22"/>
          <w:cs/>
        </w:rPr>
        <w:t>หุ้น</w:t>
      </w:r>
      <w:r w:rsidR="004F5E48" w:rsidRPr="00B6627E">
        <w:rPr>
          <w:rFonts w:asciiTheme="majorBidi" w:hAnsiTheme="majorBidi" w:cstheme="majorBidi"/>
          <w:sz w:val="22"/>
          <w:szCs w:val="22"/>
        </w:rPr>
        <w:t xml:space="preserve"> </w:t>
      </w:r>
      <w:r w:rsidR="004F5E48" w:rsidRPr="00B6627E">
        <w:rPr>
          <w:rFonts w:asciiTheme="majorBidi" w:hAnsiTheme="majorBidi" w:cstheme="majorBidi"/>
          <w:sz w:val="22"/>
          <w:szCs w:val="22"/>
          <w:cs/>
        </w:rPr>
        <w:t xml:space="preserve">ในราคาตลาดในงบการเงินของบริษัท  โดยได้บันทึกบัญชีหุ้นดังกล่าวในราคาทุนหุ้นละ </w:t>
      </w:r>
      <w:r w:rsidR="004F5E48" w:rsidRPr="00B6627E">
        <w:rPr>
          <w:rFonts w:asciiTheme="majorBidi" w:hAnsiTheme="majorBidi" w:cstheme="majorBidi"/>
          <w:sz w:val="22"/>
          <w:szCs w:val="22"/>
        </w:rPr>
        <w:t>1</w:t>
      </w:r>
      <w:r w:rsidR="004F5E48" w:rsidRPr="00B6627E">
        <w:rPr>
          <w:rFonts w:asciiTheme="majorBidi" w:hAnsiTheme="majorBidi" w:cstheme="majorBidi"/>
          <w:sz w:val="22"/>
          <w:szCs w:val="22"/>
          <w:cs/>
        </w:rPr>
        <w:t xml:space="preserve"> บาท (ตามมูลค่าที่ตราไว้) </w:t>
      </w:r>
    </w:p>
    <w:p w:rsidR="005F387F" w:rsidRPr="00B6627E" w:rsidRDefault="005F387F" w:rsidP="005E7B79">
      <w:pPr>
        <w:spacing w:line="228" w:lineRule="auto"/>
        <w:ind w:left="993" w:hanging="284"/>
        <w:rPr>
          <w:rFonts w:asciiTheme="majorBidi" w:hAnsiTheme="majorBidi" w:cstheme="majorBidi"/>
          <w:sz w:val="22"/>
          <w:szCs w:val="22"/>
        </w:rPr>
      </w:pPr>
    </w:p>
    <w:p w:rsidR="003E59E5" w:rsidRPr="00B6627E" w:rsidRDefault="003E59E5" w:rsidP="001E4DE8">
      <w:pPr>
        <w:spacing w:line="204" w:lineRule="auto"/>
        <w:rPr>
          <w:rFonts w:ascii="Angsana New" w:hAnsi="Angsana New" w:cs="Angsana New"/>
          <w:b/>
          <w:bCs/>
          <w:sz w:val="26"/>
          <w:szCs w:val="26"/>
        </w:rPr>
      </w:pPr>
    </w:p>
    <w:p w:rsidR="00251BDF" w:rsidRPr="00B6627E" w:rsidRDefault="00251BDF" w:rsidP="00251BDF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eastAsia="x-none"/>
        </w:rPr>
        <w:t>รายงานของผู้สอบบัญชี สำหรับงบการเงินรวมและงบการเงินเฉพาะกิจการ</w:t>
      </w: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x-none" w:eastAsia="x-none"/>
        </w:rPr>
        <w:t xml:space="preserve">ของบริษัทและบริษัทย่อย ประจำปี </w:t>
      </w:r>
      <w:r w:rsidRPr="00B6627E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x-none"/>
        </w:rPr>
        <w:t>2561</w:t>
      </w:r>
    </w:p>
    <w:p w:rsidR="00251BDF" w:rsidRPr="00B6627E" w:rsidRDefault="00251BDF" w:rsidP="00251BD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color w:val="000000" w:themeColor="text1"/>
          <w:sz w:val="10"/>
          <w:szCs w:val="10"/>
          <w:lang w:val="x-none" w:eastAsia="x-none"/>
        </w:rPr>
      </w:pPr>
    </w:p>
    <w:p w:rsidR="00251BDF" w:rsidRPr="00B6627E" w:rsidRDefault="00251BDF" w:rsidP="00251BDF">
      <w:pPr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บริษัท เคพีเอ็มจี ภูมิไชย สอบบัญชี จำกัด (ผู้สอบบัญชีรับอนุญาตของบริษัทและบริษัทย่อย) ได้แสดงความเห็น</w:t>
      </w:r>
      <w:r w:rsidR="00793EC2" w:rsidRPr="00B6627E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eastAsia="x-none"/>
        </w:rPr>
        <w:t xml:space="preserve">ว่างบการเงินถูกต้องตามที่ควรในสาระสำคัญตามมาตรฐานการรายงานทางการเงิน 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อย่างไม่มีเงื่อนไขในรายงานของผู้สอบบัญชี สำหรับงบการเงินรวมและงบการเงินเฉพาะกิจการ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ของบริษัทและบริษัทย่อย ประจำปี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2561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="00793EC2" w:rsidRPr="00B6627E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โดยมีเรื่องสำคัญในการตรวจสอบสำหรับผลการดำเนินงานที่ขาดทุนต่อเนื่องของบริษัทย่อยสองแห่งคือ บริษัท ทีพีไอ โพลีน ชีวะอินทรีย์ จำกัด และ บริษัท ทีพีไอ ออล ซีซั่นส์ จำกัด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โดยมีข้อบ่งชี้ว่า ที่ดิน อาคารและอุปกรณ์ และเงินให้กู้ยืมและเงินลงทุนในบริษัทย่อยดังกล่าว อาจเกิดการด้อยค่า </w:t>
      </w:r>
    </w:p>
    <w:p w:rsidR="00251BDF" w:rsidRPr="00B6627E" w:rsidRDefault="00251BDF" w:rsidP="00251BDF">
      <w:pPr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x-none" w:eastAsia="x-none"/>
        </w:rPr>
      </w:pPr>
    </w:p>
    <w:p w:rsidR="00251BDF" w:rsidRPr="00B6627E" w:rsidRDefault="00251BDF" w:rsidP="00251BDF">
      <w:pPr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เนื่องจากการพิจารณาเกี่ยวกับการด้อยค่าของสินทรัพย์ขึ้นอยู่กับดุลยพินิจและข้อสมมติที่สำคัญของผู้บริหารเกี่ยวกับการคาดการณ์ผลการดำเนินงานในอนาคต อัตราคิดลดและข้อสมมติหลักที่ใช้ในการประมาณมูลค่าที่คาดว่าจะได้รับคืนของธุรกิจประเภทดังกล่าวข้างต้น โดยผู้สอบบัญชีรับอนุญาตเห็นว่าเรื่องดังกล่าวเป็นเรื่องสำคัญในการตรวจสอบ </w:t>
      </w:r>
    </w:p>
    <w:p w:rsidR="00251BDF" w:rsidRPr="00B6627E" w:rsidRDefault="00251BDF" w:rsidP="00251BDF">
      <w:pPr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x-none" w:eastAsia="x-none"/>
        </w:rPr>
      </w:pPr>
    </w:p>
    <w:p w:rsidR="00251BDF" w:rsidRPr="00B6627E" w:rsidRDefault="00251BDF" w:rsidP="00251BDF">
      <w:pPr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ทั้งนี้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ผู้สอบบัญชีรับอนุญาต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ได้แสดงวิธีตรวจสอบในเรื่องดังกล่าว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 xml:space="preserve">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ซึ่งรวมถึง</w:t>
      </w:r>
    </w:p>
    <w:p w:rsidR="00251BDF" w:rsidRPr="00B6627E" w:rsidRDefault="00251BDF" w:rsidP="00593C20">
      <w:pPr>
        <w:numPr>
          <w:ilvl w:val="0"/>
          <w:numId w:val="5"/>
        </w:num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ทำความเข้าใจกระบวนการในการระบุข้อบ่งชี้ของการด้อยค่า และกระบวนการทดสอบการด้อยค่าและการประมาณมูลค่าที่คาดว่าจะได้รับของผู้บริหาร</w:t>
      </w:r>
    </w:p>
    <w:p w:rsidR="00251BDF" w:rsidRPr="00B6627E" w:rsidRDefault="00251BDF" w:rsidP="00593C20">
      <w:pPr>
        <w:numPr>
          <w:ilvl w:val="0"/>
          <w:numId w:val="5"/>
        </w:num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ประเมินข้อสมมติหลักที่ใช้ในการประมาณการกระแสเงินสดคิดลด เช่น อัตราการเติบโต ประมาณการรายได้และพิจารณาความสมเหตุสมผลของประมาณการโดยเปรียบเทียบประมาณการในอดีตกับผลการดำเนินงานที่เกิดขึ้นจริง รวมทั้งประเมินความเหมาะสมของอัตราคิดลดที่ใช้</w:t>
      </w:r>
    </w:p>
    <w:p w:rsidR="00251BDF" w:rsidRPr="00B6627E" w:rsidRDefault="00251BDF" w:rsidP="00593C20">
      <w:pPr>
        <w:numPr>
          <w:ilvl w:val="0"/>
          <w:numId w:val="5"/>
        </w:num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ประเมินความเพียงพอของการเปิดเผยข้อมูลตามมาตรฐานการรายงานทางการเงิน</w:t>
      </w:r>
    </w:p>
    <w:p w:rsidR="00251BDF" w:rsidRPr="00B6627E" w:rsidRDefault="00251BDF" w:rsidP="00251BD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</w:p>
    <w:p w:rsidR="00251BDF" w:rsidRPr="00B6627E" w:rsidRDefault="00251BDF" w:rsidP="00251BD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</w:p>
    <w:p w:rsidR="00251BDF" w:rsidRPr="00B6627E" w:rsidRDefault="00251BDF" w:rsidP="00251BDF">
      <w:pPr>
        <w:autoSpaceDE w:val="0"/>
        <w:autoSpaceDN w:val="0"/>
        <w:adjustRightInd w:val="0"/>
        <w:spacing w:after="120"/>
        <w:jc w:val="thaiDistribute"/>
        <w:rPr>
          <w:rFonts w:asciiTheme="majorBidi" w:hAnsiTheme="majorBidi" w:cstheme="majorBidi"/>
          <w:b/>
          <w:bCs/>
          <w:sz w:val="26"/>
          <w:szCs w:val="26"/>
          <w:u w:val="single"/>
          <w:lang w:eastAsia="x-none"/>
        </w:rPr>
      </w:pPr>
      <w:r w:rsidRPr="00B6627E">
        <w:rPr>
          <w:rFonts w:asciiTheme="majorBidi" w:hAnsiTheme="majorBidi" w:cstheme="majorBidi"/>
          <w:b/>
          <w:bCs/>
          <w:sz w:val="26"/>
          <w:szCs w:val="26"/>
          <w:u w:val="single"/>
          <w:cs/>
          <w:lang w:eastAsia="x-none"/>
        </w:rPr>
        <w:t>การประเมินการด้อยค่าของที่ดิน อาคารและอุปกรณ์ในงบการเงินรวม และเงินให้กู้ยืมและเงินลงทุนในบริษัทย่อยในงบการเงินเฉพาะกิจการ</w:t>
      </w:r>
    </w:p>
    <w:p w:rsidR="00251BDF" w:rsidRPr="00B6627E" w:rsidRDefault="00251BDF" w:rsidP="00251BDF">
      <w:pPr>
        <w:autoSpaceDE w:val="0"/>
        <w:autoSpaceDN w:val="0"/>
        <w:adjustRightInd w:val="0"/>
        <w:spacing w:after="120" w:line="192" w:lineRule="auto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การบันทึกเงินลงทุนในบริษัท ทีพีไอ โพลีน ชีวะอินทรีย์ จำกัด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ดังนี้</w:t>
      </w:r>
    </w:p>
    <w:tbl>
      <w:tblPr>
        <w:tblStyle w:val="TableGrid2"/>
        <w:tblW w:w="8898" w:type="dxa"/>
        <w:tblLook w:val="04A0" w:firstRow="1" w:lastRow="0" w:firstColumn="1" w:lastColumn="0" w:noHBand="0" w:noVBand="1"/>
      </w:tblPr>
      <w:tblGrid>
        <w:gridCol w:w="5637"/>
        <w:gridCol w:w="1701"/>
        <w:gridCol w:w="1560"/>
      </w:tblGrid>
      <w:tr w:rsidR="00251BDF" w:rsidRPr="00B6627E" w:rsidTr="00D448EE">
        <w:tc>
          <w:tcPr>
            <w:tcW w:w="5637" w:type="dxa"/>
            <w:tcBorders>
              <w:bottom w:val="single" w:sz="4" w:space="0" w:color="auto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x-none" w:eastAsia="x-none"/>
              </w:rPr>
              <w:t>บริษัท ทีพีไอ โพลีน ชีวะอินทรีย์ จำกัด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  <w:t>31 ธันวาคม 25</w:t>
            </w: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  <w:t>61</w:t>
            </w:r>
          </w:p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  <w:t>(ล้านบาท)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  <w:t>31 ธันวาคม 2560</w:t>
            </w:r>
          </w:p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  <w:t>(ล้านบาท)</w:t>
            </w:r>
          </w:p>
        </w:tc>
      </w:tr>
      <w:tr w:rsidR="00251BDF" w:rsidRPr="00B6627E" w:rsidTr="00D448EE">
        <w:tc>
          <w:tcPr>
            <w:tcW w:w="5637" w:type="dxa"/>
            <w:tcBorders>
              <w:bottom w:val="nil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  <w:t>ทุนชำระแล้วของ</w:t>
            </w: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x-none" w:eastAsia="x-none"/>
              </w:rPr>
              <w:t>บริษัท ทีพีไอ โพลีน ชีวะอินทรีย์ จำกัด</w:t>
            </w:r>
          </w:p>
        </w:tc>
        <w:tc>
          <w:tcPr>
            <w:tcW w:w="1701" w:type="dxa"/>
            <w:tcBorders>
              <w:bottom w:val="nil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  <w:t>3,300.00</w:t>
            </w:r>
          </w:p>
        </w:tc>
        <w:tc>
          <w:tcPr>
            <w:tcW w:w="1560" w:type="dxa"/>
            <w:tcBorders>
              <w:bottom w:val="nil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  <w:t>3,300.00</w:t>
            </w:r>
          </w:p>
        </w:tc>
      </w:tr>
      <w:tr w:rsidR="00251BDF" w:rsidRPr="00B6627E" w:rsidTr="00D448EE">
        <w:tc>
          <w:tcPr>
            <w:tcW w:w="5637" w:type="dxa"/>
            <w:tcBorders>
              <w:top w:val="nil"/>
              <w:bottom w:val="nil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  <w:t>เงินลงทุนของบริษัท ใน</w:t>
            </w: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x-none" w:eastAsia="x-none"/>
              </w:rPr>
              <w:t>บริษัท ทีพีไอ โพลีน ชีวะอินทรีย์ จำกัด</w:t>
            </w: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  <w:t xml:space="preserve"> (ราคาทุน)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  <w:t>2,654.40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  <w:t>2,654.40</w:t>
            </w:r>
          </w:p>
        </w:tc>
      </w:tr>
      <w:tr w:rsidR="00251BDF" w:rsidRPr="00B6627E" w:rsidTr="00D448EE">
        <w:tc>
          <w:tcPr>
            <w:tcW w:w="5637" w:type="dxa"/>
            <w:tcBorders>
              <w:top w:val="nil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  <w:t xml:space="preserve">หัก </w:t>
            </w: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  <w:t xml:space="preserve">: </w:t>
            </w: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  <w:t>ค่าเผื่อการด้อยค่าเงินลงทุน</w:t>
            </w:r>
          </w:p>
        </w:tc>
        <w:tc>
          <w:tcPr>
            <w:tcW w:w="1701" w:type="dxa"/>
            <w:tcBorders>
              <w:top w:val="nil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  <w:t>(770.0)</w:t>
            </w:r>
          </w:p>
        </w:tc>
        <w:tc>
          <w:tcPr>
            <w:tcW w:w="1560" w:type="dxa"/>
            <w:tcBorders>
              <w:top w:val="nil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  <w:t>(562.00)</w:t>
            </w:r>
          </w:p>
        </w:tc>
      </w:tr>
      <w:tr w:rsidR="00251BDF" w:rsidRPr="00B6627E" w:rsidTr="00D448EE">
        <w:tc>
          <w:tcPr>
            <w:tcW w:w="5637" w:type="dxa"/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  <w:t>ราคาทุน</w:t>
            </w:r>
            <w:r w:rsidR="007A042B"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="007A042B" w:rsidRPr="00B6627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eastAsia="x-none"/>
              </w:rPr>
              <w:t>(สุทธิ)</w:t>
            </w:r>
          </w:p>
        </w:tc>
        <w:tc>
          <w:tcPr>
            <w:tcW w:w="1701" w:type="dxa"/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  <w:t>1,884.4</w:t>
            </w:r>
          </w:p>
        </w:tc>
        <w:tc>
          <w:tcPr>
            <w:tcW w:w="1560" w:type="dxa"/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  <w:t>2,092.40</w:t>
            </w:r>
          </w:p>
        </w:tc>
      </w:tr>
    </w:tbl>
    <w:p w:rsidR="00251BDF" w:rsidRPr="00B6627E" w:rsidRDefault="00251BDF" w:rsidP="00251BDF">
      <w:pPr>
        <w:autoSpaceDE w:val="0"/>
        <w:autoSpaceDN w:val="0"/>
        <w:adjustRightInd w:val="0"/>
        <w:spacing w:line="192" w:lineRule="auto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</w:p>
    <w:p w:rsidR="00251BDF" w:rsidRPr="00B6627E" w:rsidRDefault="00251BDF" w:rsidP="00251BDF">
      <w:pPr>
        <w:autoSpaceDE w:val="0"/>
        <w:autoSpaceDN w:val="0"/>
        <w:adjustRightInd w:val="0"/>
        <w:spacing w:line="192" w:lineRule="auto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การบันทึกเงินลงทุนในบริษัท ทีพีไอ ออล ซีซั่นส์ จำกัด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ดังนี้</w:t>
      </w:r>
    </w:p>
    <w:tbl>
      <w:tblPr>
        <w:tblStyle w:val="TableGrid2"/>
        <w:tblW w:w="8898" w:type="dxa"/>
        <w:tblLook w:val="04A0" w:firstRow="1" w:lastRow="0" w:firstColumn="1" w:lastColumn="0" w:noHBand="0" w:noVBand="1"/>
      </w:tblPr>
      <w:tblGrid>
        <w:gridCol w:w="5637"/>
        <w:gridCol w:w="1701"/>
        <w:gridCol w:w="1560"/>
      </w:tblGrid>
      <w:tr w:rsidR="00251BDF" w:rsidRPr="00B6627E" w:rsidTr="00D448EE">
        <w:tc>
          <w:tcPr>
            <w:tcW w:w="5637" w:type="dxa"/>
            <w:tcBorders>
              <w:bottom w:val="single" w:sz="4" w:space="0" w:color="auto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x-none" w:eastAsia="x-none"/>
              </w:rPr>
              <w:t>บริษัท ทีพี ไอ ออล ซีซั่นส์ จำกัด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  <w:t>31 ธันวาคม 256</w:t>
            </w: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  <w:t>1</w:t>
            </w:r>
          </w:p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  <w:t>(ล้านบาท)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  <w:t>31 ธันวาคม 2560</w:t>
            </w:r>
          </w:p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  <w:t>(ล้านบาท))</w:t>
            </w:r>
          </w:p>
        </w:tc>
      </w:tr>
      <w:tr w:rsidR="00251BDF" w:rsidRPr="00B6627E" w:rsidTr="00D448EE">
        <w:tc>
          <w:tcPr>
            <w:tcW w:w="5637" w:type="dxa"/>
            <w:tcBorders>
              <w:bottom w:val="nil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  <w:t>ทุนชำระแล้วของ</w:t>
            </w: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x-none" w:eastAsia="x-none"/>
              </w:rPr>
              <w:t>บริษัท ทีพีไอ ออล ซีซั่นส์ จำกัด</w:t>
            </w:r>
          </w:p>
        </w:tc>
        <w:tc>
          <w:tcPr>
            <w:tcW w:w="1701" w:type="dxa"/>
            <w:tcBorders>
              <w:bottom w:val="nil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  <w:t>450.00</w:t>
            </w:r>
          </w:p>
        </w:tc>
        <w:tc>
          <w:tcPr>
            <w:tcW w:w="1560" w:type="dxa"/>
            <w:tcBorders>
              <w:bottom w:val="nil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  <w:t>450.00</w:t>
            </w:r>
          </w:p>
        </w:tc>
      </w:tr>
      <w:tr w:rsidR="00251BDF" w:rsidRPr="00B6627E" w:rsidTr="00D448EE">
        <w:tc>
          <w:tcPr>
            <w:tcW w:w="5637" w:type="dxa"/>
            <w:tcBorders>
              <w:top w:val="nil"/>
              <w:bottom w:val="nil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  <w:t>เงินลงทุนของบริษัท ใน</w:t>
            </w: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x-none" w:eastAsia="x-none"/>
              </w:rPr>
              <w:t>บริษัท ทีพีไอ โพลีน ชีวะอินทรีย์ จำกัด</w:t>
            </w: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  <w:t xml:space="preserve"> (ราคาทุน)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  <w:t>450.00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  <w:t>450.00</w:t>
            </w:r>
          </w:p>
        </w:tc>
      </w:tr>
      <w:tr w:rsidR="00251BDF" w:rsidRPr="00B6627E" w:rsidTr="00B107A3">
        <w:tc>
          <w:tcPr>
            <w:tcW w:w="5637" w:type="dxa"/>
            <w:tcBorders>
              <w:top w:val="nil"/>
              <w:bottom w:val="single" w:sz="4" w:space="0" w:color="auto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  <w:t xml:space="preserve">หัก </w:t>
            </w: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  <w:t xml:space="preserve">: </w:t>
            </w: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  <w:t>ค่าเผื่อการด้อยค่าเงินลงทุน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  <w:t>(0)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251BDF" w:rsidRPr="00B6627E" w:rsidRDefault="00251BDF" w:rsidP="00D448E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  <w:t>(0)</w:t>
            </w:r>
          </w:p>
        </w:tc>
      </w:tr>
      <w:tr w:rsidR="00B107A3" w:rsidRPr="00B6627E" w:rsidTr="00B107A3">
        <w:tc>
          <w:tcPr>
            <w:tcW w:w="5637" w:type="dxa"/>
            <w:tcBorders>
              <w:top w:val="single" w:sz="4" w:space="0" w:color="auto"/>
            </w:tcBorders>
          </w:tcPr>
          <w:p w:rsidR="00B107A3" w:rsidRPr="00B6627E" w:rsidRDefault="00B107A3" w:rsidP="003654E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x-none"/>
              </w:rPr>
              <w:t>ราคาทุน</w:t>
            </w: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  <w:t xml:space="preserve"> </w:t>
            </w:r>
            <w:r w:rsidRPr="00B6627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eastAsia="x-none"/>
              </w:rPr>
              <w:t>(สุทธิ)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107A3" w:rsidRPr="00B6627E" w:rsidRDefault="00B107A3" w:rsidP="003654E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  <w:t>450.00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107A3" w:rsidRPr="00B6627E" w:rsidRDefault="00B107A3" w:rsidP="003654E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</w:pPr>
            <w:r w:rsidRPr="00B6627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x-none"/>
              </w:rPr>
              <w:t>450.00</w:t>
            </w:r>
          </w:p>
        </w:tc>
      </w:tr>
    </w:tbl>
    <w:p w:rsidR="00251BDF" w:rsidRPr="00B6627E" w:rsidRDefault="00251BDF" w:rsidP="00251BDF">
      <w:pPr>
        <w:ind w:firstLine="720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</w:p>
    <w:p w:rsidR="00251BDF" w:rsidRPr="00B6627E" w:rsidRDefault="00B107A3" w:rsidP="00B107A3">
      <w:pPr>
        <w:ind w:firstLine="720"/>
        <w:jc w:val="thaiDistribute"/>
        <w:rPr>
          <w:rFonts w:asciiTheme="majorBidi" w:hAnsiTheme="majorBidi" w:cstheme="majorBidi"/>
          <w:b/>
          <w:bCs/>
          <w:sz w:val="56"/>
          <w:szCs w:val="56"/>
        </w:rPr>
      </w:pPr>
      <w:r w:rsidRPr="00B6627E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eastAsia="x-none"/>
        </w:rPr>
        <w:t xml:space="preserve">ทั้งนี้ </w:t>
      </w:r>
      <w:r w:rsidR="00251BDF"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บริษัท ทีพีไอ ออล ซีซั่นส์ จำกัด</w:t>
      </w:r>
      <w:r w:rsidR="00251BDF"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 ยังไม่มีการบันทึกค่าเผื่อการด้อยค่าเงินลงทุน เนื่องจาก</w:t>
      </w:r>
      <w:r w:rsidR="00251BDF"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ได้มีการพิจารณาประมาณมูลค่าที่คาดว่าจะได้รับคืนของธุรกิจประเภทดังกล่าว</w:t>
      </w:r>
      <w:r w:rsidR="00251BDF"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แล้ว ไม่ต่ำกว่าเงินลงทุนของบริษัทใน </w:t>
      </w:r>
      <w:r w:rsidR="00251BDF"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บริษัท ทีพีไอ ออล </w:t>
      </w:r>
      <w:r w:rsidRPr="00B6627E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val="x-none" w:eastAsia="x-none"/>
        </w:rPr>
        <w:t xml:space="preserve">        </w:t>
      </w:r>
      <w:r w:rsidR="00251BDF"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ซีซั่นส์ จำกัด</w:t>
      </w:r>
    </w:p>
    <w:p w:rsidR="00251BDF" w:rsidRPr="00250561" w:rsidRDefault="00251BDF" w:rsidP="00251BDF">
      <w:pPr>
        <w:pStyle w:val="NormalWeb"/>
        <w:spacing w:before="120" w:beforeAutospacing="0" w:after="280" w:afterAutospacing="0"/>
        <w:ind w:firstLine="720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ในส่วนของบริษัท ทีพีไอ โพลีน ชีวะอินทรีย์ จำกัด มีแผนในการเพิ่มยอดขาย เพิ่มช่องทางการจำหน่ายเพื่อผลักดันการขายในทุกช่องทางมากยิ่งขึ้น ซึ่งการผลักดันส่งเสริมการทำเกษตรอินทรีย์ตามแผนยุทธศาสตร์เกษตรอินทรีย์แห่งชาติ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  <w:t xml:space="preserve">2560-2564 </w:t>
      </w:r>
      <w:r w:rsidRPr="00B6627E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>คาดว่าจะส่งผลให้ความต้องการใช้ปุ๋ยอินทรีย์เป็นปัจจัยการผลิตมีแนวโน้มที่ดีขึ้นต่อเนื่อง</w:t>
      </w:r>
      <w:bookmarkStart w:id="0" w:name="_GoBack"/>
      <w:bookmarkEnd w:id="0"/>
      <w:r w:rsidRPr="00250561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</w:p>
    <w:p w:rsidR="005E7B79" w:rsidRPr="00250561" w:rsidRDefault="005E7B79" w:rsidP="005E7B79">
      <w:pPr>
        <w:ind w:firstLine="720"/>
        <w:rPr>
          <w:rFonts w:asciiTheme="majorBidi" w:hAnsiTheme="majorBidi" w:cstheme="majorBidi"/>
          <w:b/>
          <w:bCs/>
          <w:sz w:val="26"/>
          <w:szCs w:val="26"/>
        </w:rPr>
      </w:pPr>
    </w:p>
    <w:p w:rsidR="005E7B79" w:rsidRPr="00A07BA4" w:rsidRDefault="005E7B79" w:rsidP="001E4DE8">
      <w:pPr>
        <w:spacing w:line="204" w:lineRule="auto"/>
        <w:rPr>
          <w:rFonts w:ascii="Angsana New" w:hAnsi="Angsana New" w:cs="Angsana New"/>
          <w:b/>
          <w:bCs/>
          <w:sz w:val="26"/>
          <w:szCs w:val="26"/>
        </w:rPr>
      </w:pPr>
    </w:p>
    <w:sectPr w:rsidR="005E7B79" w:rsidRPr="00A07BA4" w:rsidSect="003F2FE4">
      <w:footerReference w:type="default" r:id="rId13"/>
      <w:pgSz w:w="11906" w:h="16838"/>
      <w:pgMar w:top="1440" w:right="1556" w:bottom="1361" w:left="1797" w:header="720" w:footer="720" w:gutter="0"/>
      <w:pgNumType w:start="126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B2E" w:rsidRDefault="00534B2E">
      <w:r>
        <w:separator/>
      </w:r>
    </w:p>
  </w:endnote>
  <w:endnote w:type="continuationSeparator" w:id="0">
    <w:p w:rsidR="00534B2E" w:rsidRDefault="0053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4E6" w:rsidRDefault="003654E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654E6" w:rsidRDefault="003654E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4E6" w:rsidRDefault="003654E6">
    <w:pPr>
      <w:pStyle w:val="Footer"/>
      <w:jc w:val="center"/>
    </w:pPr>
  </w:p>
  <w:p w:rsidR="003654E6" w:rsidRDefault="003654E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4E6" w:rsidRPr="00077DCB" w:rsidRDefault="003654E6">
    <w:pPr>
      <w:pStyle w:val="Footer"/>
      <w:jc w:val="center"/>
      <w:rPr>
        <w:rFonts w:ascii="Angsana New" w:hAnsi="Angsana New"/>
        <w:sz w:val="26"/>
        <w:szCs w:val="26"/>
      </w:rPr>
    </w:pPr>
    <w:r w:rsidRPr="00077DCB">
      <w:rPr>
        <w:rFonts w:ascii="Angsana New" w:hAnsi="Angsana New"/>
        <w:sz w:val="26"/>
        <w:szCs w:val="26"/>
      </w:rPr>
      <w:fldChar w:fldCharType="begin"/>
    </w:r>
    <w:r w:rsidRPr="00077DCB">
      <w:rPr>
        <w:rFonts w:ascii="Angsana New" w:hAnsi="Angsana New"/>
        <w:sz w:val="26"/>
        <w:szCs w:val="26"/>
      </w:rPr>
      <w:instrText xml:space="preserve"> PAGE   \* MERGEFORMAT </w:instrText>
    </w:r>
    <w:r w:rsidRPr="00077DCB">
      <w:rPr>
        <w:rFonts w:ascii="Angsana New" w:hAnsi="Angsana New"/>
        <w:sz w:val="26"/>
        <w:szCs w:val="26"/>
      </w:rPr>
      <w:fldChar w:fldCharType="separate"/>
    </w:r>
    <w:r w:rsidR="00B6627E">
      <w:rPr>
        <w:rFonts w:ascii="Angsana New" w:hAnsi="Angsana New"/>
        <w:noProof/>
        <w:sz w:val="26"/>
        <w:szCs w:val="26"/>
      </w:rPr>
      <w:t>139</w:t>
    </w:r>
    <w:r w:rsidRPr="00077DCB">
      <w:rPr>
        <w:rFonts w:ascii="Angsana New" w:hAnsi="Angsana New"/>
        <w:sz w:val="26"/>
        <w:szCs w:val="26"/>
      </w:rPr>
      <w:fldChar w:fldCharType="end"/>
    </w:r>
  </w:p>
  <w:p w:rsidR="003654E6" w:rsidRDefault="003654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B2E" w:rsidRDefault="00534B2E">
      <w:r>
        <w:separator/>
      </w:r>
    </w:p>
  </w:footnote>
  <w:footnote w:type="continuationSeparator" w:id="0">
    <w:p w:rsidR="00534B2E" w:rsidRDefault="00534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4E6" w:rsidRPr="00E0594C" w:rsidRDefault="00B6627E">
    <w:pPr>
      <w:pStyle w:val="Header"/>
      <w:rPr>
        <w:rFonts w:ascii="Angsana New" w:hAnsi="Angsana New"/>
        <w:sz w:val="26"/>
        <w:szCs w:val="26"/>
        <w:cs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4.45pt;margin-top:-6.5pt;width:28.05pt;height:27.9pt;z-index:251658240;visibility:visible;mso-wrap-edited:f" o:allowincell="f">
          <v:imagedata r:id="rId1" o:title=""/>
        </v:shape>
        <o:OLEObject Type="Embed" ProgID="Word.Picture.8" ShapeID="_x0000_s2050" DrawAspect="Content" ObjectID="_1616585568" r:id="rId2"/>
      </w:pict>
    </w:r>
    <w:r w:rsidR="003654E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9590580" wp14:editId="2734E40E">
              <wp:simplePos x="0" y="0"/>
              <wp:positionH relativeFrom="column">
                <wp:posOffset>411480</wp:posOffset>
              </wp:positionH>
              <wp:positionV relativeFrom="paragraph">
                <wp:posOffset>189865</wp:posOffset>
              </wp:positionV>
              <wp:extent cx="5212080" cy="0"/>
              <wp:effectExtent l="11430" t="8890" r="15240" b="10160"/>
              <wp:wrapTopAndBottom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208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pt,14.95pt" to="442.8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" o:allowincell="f" strokeweight="1.25pt">
              <w10:wrap type="topAndBottom"/>
            </v:line>
          </w:pict>
        </mc:Fallback>
      </mc:AlternateContent>
    </w:r>
    <w:r w:rsidR="003654E6">
      <w:rPr>
        <w:rFonts w:ascii="Times New Roman" w:hAnsi="AngsanaUPC" w:cs="AngsanaUPC"/>
        <w:sz w:val="24"/>
        <w:szCs w:val="24"/>
      </w:rPr>
      <w:t xml:space="preserve">            </w:t>
    </w:r>
    <w:r w:rsidR="003654E6" w:rsidRPr="00E0594C">
      <w:rPr>
        <w:rFonts w:ascii="Times New Roman" w:hAnsi="AngsanaUPC" w:cs="AngsanaUPC"/>
        <w:sz w:val="26"/>
        <w:szCs w:val="26"/>
        <w:cs/>
      </w:rPr>
      <w:t>บริษัท</w:t>
    </w:r>
    <w:r w:rsidR="003654E6" w:rsidRPr="00E0594C">
      <w:rPr>
        <w:rFonts w:ascii="Times New Roman" w:hAnsi="AngsanaUPC" w:cs="AngsanaUPC"/>
        <w:sz w:val="26"/>
        <w:szCs w:val="26"/>
      </w:rPr>
      <w:t xml:space="preserve"> </w:t>
    </w:r>
    <w:r w:rsidR="003654E6" w:rsidRPr="00E0594C">
      <w:rPr>
        <w:rFonts w:ascii="Times New Roman" w:hAnsi="AngsanaUPC" w:cs="AngsanaUPC"/>
        <w:sz w:val="26"/>
        <w:szCs w:val="26"/>
        <w:cs/>
      </w:rPr>
      <w:t>ทีพีไอ</w:t>
    </w:r>
    <w:r w:rsidR="003654E6" w:rsidRPr="00E0594C">
      <w:rPr>
        <w:rFonts w:ascii="Times New Roman" w:hAnsi="AngsanaUPC" w:cs="AngsanaUPC"/>
        <w:sz w:val="26"/>
        <w:szCs w:val="26"/>
      </w:rPr>
      <w:t xml:space="preserve"> </w:t>
    </w:r>
    <w:r w:rsidR="003654E6" w:rsidRPr="00E0594C">
      <w:rPr>
        <w:rFonts w:ascii="Times New Roman" w:hAnsi="AngsanaUPC" w:cs="AngsanaUPC"/>
        <w:sz w:val="26"/>
        <w:szCs w:val="26"/>
        <w:cs/>
      </w:rPr>
      <w:t>โพ</w:t>
    </w:r>
    <w:r w:rsidR="003654E6" w:rsidRPr="00E0594C">
      <w:rPr>
        <w:rFonts w:ascii="Angsana New" w:hAnsi="Angsana New"/>
        <w:sz w:val="26"/>
        <w:szCs w:val="26"/>
        <w:cs/>
      </w:rPr>
      <w:t>ลีน</w:t>
    </w:r>
    <w:r w:rsidR="003654E6" w:rsidRPr="00E0594C">
      <w:rPr>
        <w:rFonts w:ascii="Angsana New" w:hAnsi="Angsana New"/>
        <w:sz w:val="26"/>
        <w:szCs w:val="26"/>
      </w:rPr>
      <w:t xml:space="preserve"> </w:t>
    </w:r>
    <w:r w:rsidR="003654E6" w:rsidRPr="00E0594C">
      <w:rPr>
        <w:rFonts w:ascii="Angsana New" w:hAnsi="Angsana New"/>
        <w:sz w:val="26"/>
        <w:szCs w:val="26"/>
        <w:cs/>
      </w:rPr>
      <w:t>จำกัด</w:t>
    </w:r>
    <w:r w:rsidR="003654E6" w:rsidRPr="00E0594C">
      <w:rPr>
        <w:rFonts w:ascii="Angsana New" w:hAnsi="Angsana New"/>
        <w:sz w:val="26"/>
        <w:szCs w:val="26"/>
      </w:rPr>
      <w:t xml:space="preserve"> (</w:t>
    </w:r>
    <w:proofErr w:type="spellStart"/>
    <w:r w:rsidR="003654E6" w:rsidRPr="00E0594C">
      <w:rPr>
        <w:rFonts w:ascii="Angsana New" w:hAnsi="Angsana New"/>
        <w:sz w:val="26"/>
        <w:szCs w:val="26"/>
        <w:cs/>
      </w:rPr>
      <w:t>มหาชน</w:t>
    </w:r>
    <w:proofErr w:type="spellEnd"/>
    <w:r w:rsidR="003654E6" w:rsidRPr="00E0594C">
      <w:rPr>
        <w:rFonts w:ascii="Angsana New" w:hAnsi="Angsana New"/>
        <w:sz w:val="26"/>
        <w:szCs w:val="26"/>
      </w:rPr>
      <w:t>)</w:t>
    </w:r>
    <w:r w:rsidR="003654E6">
      <w:rPr>
        <w:rFonts w:ascii="Angsana New" w:hAnsi="Angsana New" w:hint="cs"/>
        <w:sz w:val="26"/>
        <w:szCs w:val="26"/>
        <w:cs/>
      </w:rPr>
      <w:t xml:space="preserve"> </w:t>
    </w:r>
    <w:r w:rsidR="003654E6">
      <w:rPr>
        <w:rFonts w:ascii="Angsana New" w:hAnsi="Angsana New" w:hint="cs"/>
        <w:sz w:val="26"/>
        <w:szCs w:val="26"/>
        <w:cs/>
      </w:rPr>
      <w:tab/>
    </w:r>
    <w:r w:rsidR="003654E6">
      <w:rPr>
        <w:rFonts w:ascii="Angsana New" w:hAnsi="Angsana New" w:hint="cs"/>
        <w:sz w:val="26"/>
        <w:szCs w:val="26"/>
        <w:cs/>
      </w:rPr>
      <w:tab/>
      <w:t>ส่วนที่ 3 ฐานะการเงินและผลการดำเนินงาน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C744C"/>
    <w:multiLevelType w:val="singleLevel"/>
    <w:tmpl w:val="DC5AE1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>
    <w:nsid w:val="1475795F"/>
    <w:multiLevelType w:val="multilevel"/>
    <w:tmpl w:val="638C6DF4"/>
    <w:lvl w:ilvl="0">
      <w:start w:val="1"/>
      <w:numFmt w:val="decimal"/>
      <w:pStyle w:val="Heading8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>
    <w:nsid w:val="17B77ED7"/>
    <w:multiLevelType w:val="hybridMultilevel"/>
    <w:tmpl w:val="B5F4DEBA"/>
    <w:lvl w:ilvl="0" w:tplc="04090001">
      <w:start w:val="1"/>
      <w:numFmt w:val="bullet"/>
      <w:lvlText w:val=""/>
      <w:lvlJc w:val="left"/>
      <w:pPr>
        <w:ind w:left="18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</w:abstractNum>
  <w:abstractNum w:abstractNumId="3">
    <w:nsid w:val="1C70284F"/>
    <w:multiLevelType w:val="multilevel"/>
    <w:tmpl w:val="DE087BEE"/>
    <w:lvl w:ilvl="0">
      <w:start w:val="1"/>
      <w:numFmt w:val="bullet"/>
      <w:pStyle w:val="List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  <w:strike w:val="0"/>
        <w:dstrike w:val="0"/>
        <w:sz w:val="20"/>
        <w:szCs w:val="20"/>
      </w:rPr>
    </w:lvl>
    <w:lvl w:ilvl="1">
      <w:start w:val="1"/>
      <w:numFmt w:val="bullet"/>
      <w:pStyle w:val="ListBullet2"/>
      <w:lvlText w:val=""/>
      <w:lvlJc w:val="left"/>
      <w:pPr>
        <w:tabs>
          <w:tab w:val="left" w:pos="2160"/>
        </w:tabs>
        <w:ind w:left="2160" w:hanging="720"/>
      </w:pPr>
      <w:rPr>
        <w:rFonts w:ascii="Symbol" w:hAnsi="Symbol"/>
        <w:strike w:val="0"/>
        <w:dstrike w:val="0"/>
        <w:color w:val="000000"/>
      </w:rPr>
    </w:lvl>
    <w:lvl w:ilvl="2">
      <w:start w:val="1"/>
      <w:numFmt w:val="bullet"/>
      <w:pStyle w:val="ListBullet3"/>
      <w:lvlText w:val=""/>
      <w:lvlJc w:val="left"/>
      <w:pPr>
        <w:tabs>
          <w:tab w:val="left" w:pos="2880"/>
        </w:tabs>
        <w:ind w:left="2880" w:hanging="720"/>
      </w:pPr>
      <w:rPr>
        <w:rFonts w:ascii="Symbol" w:hAnsi="Symbol"/>
        <w:strike w:val="0"/>
        <w:dstrike w:val="0"/>
        <w:color w:val="000000"/>
      </w:rPr>
    </w:lvl>
    <w:lvl w:ilvl="3">
      <w:start w:val="1"/>
      <w:numFmt w:val="bullet"/>
      <w:pStyle w:val="ListBullet4"/>
      <w:lvlText w:val=""/>
      <w:lvlJc w:val="left"/>
      <w:pPr>
        <w:tabs>
          <w:tab w:val="left" w:pos="3600"/>
        </w:tabs>
        <w:ind w:left="3600" w:hanging="720"/>
      </w:pPr>
      <w:rPr>
        <w:rFonts w:ascii="Symbol" w:hAnsi="Symbol"/>
        <w:strike w:val="0"/>
        <w:dstrike w:val="0"/>
        <w:color w:val="000000"/>
      </w:rPr>
    </w:lvl>
    <w:lvl w:ilvl="4">
      <w:start w:val="1"/>
      <w:numFmt w:val="bullet"/>
      <w:pStyle w:val="ListBullet5"/>
      <w:lvlText w:val=""/>
      <w:lvlJc w:val="left"/>
      <w:pPr>
        <w:tabs>
          <w:tab w:val="left" w:pos="4320"/>
        </w:tabs>
        <w:ind w:left="4320" w:hanging="720"/>
      </w:pPr>
      <w:rPr>
        <w:rFonts w:ascii="Symbol" w:hAnsi="Symbol"/>
        <w:strike w:val="0"/>
        <w:dstrike w:val="0"/>
        <w:color w:val="000000"/>
      </w:rPr>
    </w:lvl>
    <w:lvl w:ilvl="5">
      <w:start w:val="1"/>
      <w:numFmt w:val="bullet"/>
      <w:lvlText w:val=""/>
      <w:lvlJc w:val="left"/>
      <w:pPr>
        <w:tabs>
          <w:tab w:val="left" w:pos="5040"/>
        </w:tabs>
        <w:ind w:left="5040" w:hanging="720"/>
      </w:pPr>
      <w:rPr>
        <w:rFonts w:ascii="Symbol" w:hAnsi="Symbol"/>
        <w:strike w:val="0"/>
        <w:dstrike w:val="0"/>
        <w:color w:val="000000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720"/>
      </w:pPr>
      <w:rPr>
        <w:rFonts w:ascii="Symbol" w:hAnsi="Symbol"/>
        <w:strike w:val="0"/>
        <w:dstrike w:val="0"/>
        <w:color w:val="000000"/>
      </w:rPr>
    </w:lvl>
    <w:lvl w:ilvl="7">
      <w:start w:val="1"/>
      <w:numFmt w:val="bullet"/>
      <w:lvlText w:val=""/>
      <w:lvlJc w:val="left"/>
      <w:pPr>
        <w:tabs>
          <w:tab w:val="left" w:pos="6480"/>
        </w:tabs>
        <w:ind w:left="6480" w:hanging="720"/>
      </w:pPr>
      <w:rPr>
        <w:rFonts w:ascii="Symbol" w:hAnsi="Symbol"/>
        <w:strike w:val="0"/>
        <w:dstrike w:val="0"/>
        <w:color w:val="000000"/>
      </w:rPr>
    </w:lvl>
    <w:lvl w:ilvl="8">
      <w:start w:val="1"/>
      <w:numFmt w:val="bullet"/>
      <w:lvlText w:val=""/>
      <w:lvlJc w:val="left"/>
      <w:pPr>
        <w:tabs>
          <w:tab w:val="left" w:pos="7200"/>
        </w:tabs>
        <w:ind w:left="7200" w:hanging="720"/>
      </w:pPr>
      <w:rPr>
        <w:rFonts w:ascii="Symbol" w:hAnsi="Symbol"/>
        <w:strike w:val="0"/>
        <w:dstrike w:val="0"/>
        <w:color w:val="000000"/>
      </w:rPr>
    </w:lvl>
  </w:abstractNum>
  <w:abstractNum w:abstractNumId="4">
    <w:nsid w:val="399B36A1"/>
    <w:multiLevelType w:val="hybridMultilevel"/>
    <w:tmpl w:val="330A774A"/>
    <w:lvl w:ilvl="0" w:tplc="4CD863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F25F72"/>
    <w:multiLevelType w:val="hybridMultilevel"/>
    <w:tmpl w:val="22DCAD0E"/>
    <w:lvl w:ilvl="0" w:tplc="69B0171E">
      <w:start w:val="84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4BA"/>
    <w:rsid w:val="00005734"/>
    <w:rsid w:val="00005F56"/>
    <w:rsid w:val="00005F95"/>
    <w:rsid w:val="00013EC8"/>
    <w:rsid w:val="00017D7C"/>
    <w:rsid w:val="0002300E"/>
    <w:rsid w:val="00032180"/>
    <w:rsid w:val="000331CE"/>
    <w:rsid w:val="00035DAC"/>
    <w:rsid w:val="00035EEF"/>
    <w:rsid w:val="00041B7F"/>
    <w:rsid w:val="000504BA"/>
    <w:rsid w:val="00054D90"/>
    <w:rsid w:val="00056568"/>
    <w:rsid w:val="00056CD6"/>
    <w:rsid w:val="000667E1"/>
    <w:rsid w:val="00067E27"/>
    <w:rsid w:val="000707A3"/>
    <w:rsid w:val="00070D86"/>
    <w:rsid w:val="000711C9"/>
    <w:rsid w:val="0007159F"/>
    <w:rsid w:val="000723F0"/>
    <w:rsid w:val="00072AFB"/>
    <w:rsid w:val="00077DCB"/>
    <w:rsid w:val="000822EF"/>
    <w:rsid w:val="0008231B"/>
    <w:rsid w:val="00082C0E"/>
    <w:rsid w:val="000857B3"/>
    <w:rsid w:val="00085C3B"/>
    <w:rsid w:val="0009036A"/>
    <w:rsid w:val="00095743"/>
    <w:rsid w:val="000A2743"/>
    <w:rsid w:val="000A5F5E"/>
    <w:rsid w:val="000B1815"/>
    <w:rsid w:val="000B2EB3"/>
    <w:rsid w:val="000B40B3"/>
    <w:rsid w:val="000B6E2B"/>
    <w:rsid w:val="000B7352"/>
    <w:rsid w:val="000C380D"/>
    <w:rsid w:val="000C5333"/>
    <w:rsid w:val="000C64FA"/>
    <w:rsid w:val="000C7A35"/>
    <w:rsid w:val="000D0E22"/>
    <w:rsid w:val="000D3868"/>
    <w:rsid w:val="000E3235"/>
    <w:rsid w:val="000E4E05"/>
    <w:rsid w:val="000E77D3"/>
    <w:rsid w:val="000F0BA9"/>
    <w:rsid w:val="000F2BC5"/>
    <w:rsid w:val="000F62E1"/>
    <w:rsid w:val="000F6FCF"/>
    <w:rsid w:val="0010057D"/>
    <w:rsid w:val="0010268A"/>
    <w:rsid w:val="00106C5D"/>
    <w:rsid w:val="0012369E"/>
    <w:rsid w:val="00131AAD"/>
    <w:rsid w:val="001352D1"/>
    <w:rsid w:val="00142EAB"/>
    <w:rsid w:val="00144723"/>
    <w:rsid w:val="0014600D"/>
    <w:rsid w:val="00147197"/>
    <w:rsid w:val="00157285"/>
    <w:rsid w:val="0017175D"/>
    <w:rsid w:val="00183F83"/>
    <w:rsid w:val="00184ACB"/>
    <w:rsid w:val="001860AC"/>
    <w:rsid w:val="00194FD8"/>
    <w:rsid w:val="00197A7E"/>
    <w:rsid w:val="001A2218"/>
    <w:rsid w:val="001A33E2"/>
    <w:rsid w:val="001A581C"/>
    <w:rsid w:val="001A718C"/>
    <w:rsid w:val="001B0047"/>
    <w:rsid w:val="001B01D2"/>
    <w:rsid w:val="001B1582"/>
    <w:rsid w:val="001C1529"/>
    <w:rsid w:val="001C225F"/>
    <w:rsid w:val="001C2828"/>
    <w:rsid w:val="001D0AAA"/>
    <w:rsid w:val="001D313B"/>
    <w:rsid w:val="001D53B5"/>
    <w:rsid w:val="001D7758"/>
    <w:rsid w:val="001E161C"/>
    <w:rsid w:val="001E4DE8"/>
    <w:rsid w:val="001E5491"/>
    <w:rsid w:val="001F1392"/>
    <w:rsid w:val="001F4B04"/>
    <w:rsid w:val="001F50A0"/>
    <w:rsid w:val="002062D7"/>
    <w:rsid w:val="00217387"/>
    <w:rsid w:val="00221C91"/>
    <w:rsid w:val="00226417"/>
    <w:rsid w:val="00245E67"/>
    <w:rsid w:val="00250561"/>
    <w:rsid w:val="00251BDF"/>
    <w:rsid w:val="00261A97"/>
    <w:rsid w:val="00265C42"/>
    <w:rsid w:val="00266AD3"/>
    <w:rsid w:val="0027120F"/>
    <w:rsid w:val="00271789"/>
    <w:rsid w:val="002733EB"/>
    <w:rsid w:val="00274668"/>
    <w:rsid w:val="002806C5"/>
    <w:rsid w:val="00287C26"/>
    <w:rsid w:val="002946AA"/>
    <w:rsid w:val="002961BA"/>
    <w:rsid w:val="002A1A7F"/>
    <w:rsid w:val="002A7515"/>
    <w:rsid w:val="002B5373"/>
    <w:rsid w:val="002B563B"/>
    <w:rsid w:val="002C291D"/>
    <w:rsid w:val="002C3A6C"/>
    <w:rsid w:val="002C783C"/>
    <w:rsid w:val="002D0B71"/>
    <w:rsid w:val="002D4DDF"/>
    <w:rsid w:val="002D7463"/>
    <w:rsid w:val="002E0AF5"/>
    <w:rsid w:val="002E74AC"/>
    <w:rsid w:val="002F16F8"/>
    <w:rsid w:val="002F18F4"/>
    <w:rsid w:val="002F36A5"/>
    <w:rsid w:val="002F53EE"/>
    <w:rsid w:val="002F7695"/>
    <w:rsid w:val="0031002B"/>
    <w:rsid w:val="003104B2"/>
    <w:rsid w:val="00314E18"/>
    <w:rsid w:val="0032073A"/>
    <w:rsid w:val="00324B53"/>
    <w:rsid w:val="00326EE4"/>
    <w:rsid w:val="003272DD"/>
    <w:rsid w:val="00336124"/>
    <w:rsid w:val="00343572"/>
    <w:rsid w:val="00343CBF"/>
    <w:rsid w:val="0035021E"/>
    <w:rsid w:val="003535BD"/>
    <w:rsid w:val="00353FA9"/>
    <w:rsid w:val="003654E6"/>
    <w:rsid w:val="00366433"/>
    <w:rsid w:val="003678CD"/>
    <w:rsid w:val="00372D57"/>
    <w:rsid w:val="00374396"/>
    <w:rsid w:val="003757DF"/>
    <w:rsid w:val="00377349"/>
    <w:rsid w:val="00380E48"/>
    <w:rsid w:val="00397FB3"/>
    <w:rsid w:val="003A03A7"/>
    <w:rsid w:val="003A2D22"/>
    <w:rsid w:val="003A4D8A"/>
    <w:rsid w:val="003A7326"/>
    <w:rsid w:val="003B11A0"/>
    <w:rsid w:val="003B2409"/>
    <w:rsid w:val="003B62A5"/>
    <w:rsid w:val="003B766B"/>
    <w:rsid w:val="003B7CB6"/>
    <w:rsid w:val="003C2C4C"/>
    <w:rsid w:val="003D554A"/>
    <w:rsid w:val="003D798D"/>
    <w:rsid w:val="003E36ED"/>
    <w:rsid w:val="003E59E5"/>
    <w:rsid w:val="003F0465"/>
    <w:rsid w:val="003F2452"/>
    <w:rsid w:val="003F2940"/>
    <w:rsid w:val="003F2FE4"/>
    <w:rsid w:val="00405510"/>
    <w:rsid w:val="004076AC"/>
    <w:rsid w:val="0041224A"/>
    <w:rsid w:val="0041316E"/>
    <w:rsid w:val="004140F4"/>
    <w:rsid w:val="004209FA"/>
    <w:rsid w:val="00421EFF"/>
    <w:rsid w:val="004405EF"/>
    <w:rsid w:val="00440B60"/>
    <w:rsid w:val="00443076"/>
    <w:rsid w:val="00445E96"/>
    <w:rsid w:val="00445F38"/>
    <w:rsid w:val="00447865"/>
    <w:rsid w:val="0045055B"/>
    <w:rsid w:val="00452702"/>
    <w:rsid w:val="004560DA"/>
    <w:rsid w:val="00462366"/>
    <w:rsid w:val="0046329D"/>
    <w:rsid w:val="00477D60"/>
    <w:rsid w:val="00477DE7"/>
    <w:rsid w:val="00484464"/>
    <w:rsid w:val="0049005B"/>
    <w:rsid w:val="00490390"/>
    <w:rsid w:val="00495E24"/>
    <w:rsid w:val="004A73DA"/>
    <w:rsid w:val="004A75A6"/>
    <w:rsid w:val="004B381C"/>
    <w:rsid w:val="004D50BF"/>
    <w:rsid w:val="004D5FC4"/>
    <w:rsid w:val="004E30C2"/>
    <w:rsid w:val="004E5290"/>
    <w:rsid w:val="004F09E6"/>
    <w:rsid w:val="004F5425"/>
    <w:rsid w:val="004F5E48"/>
    <w:rsid w:val="005109B0"/>
    <w:rsid w:val="00524B07"/>
    <w:rsid w:val="005256E9"/>
    <w:rsid w:val="00526C41"/>
    <w:rsid w:val="005327B7"/>
    <w:rsid w:val="00534B2E"/>
    <w:rsid w:val="005352EB"/>
    <w:rsid w:val="005375BB"/>
    <w:rsid w:val="00540AC1"/>
    <w:rsid w:val="005424AF"/>
    <w:rsid w:val="005450AD"/>
    <w:rsid w:val="00547144"/>
    <w:rsid w:val="005513A5"/>
    <w:rsid w:val="0055627F"/>
    <w:rsid w:val="0056257D"/>
    <w:rsid w:val="0057462F"/>
    <w:rsid w:val="0057535F"/>
    <w:rsid w:val="00582483"/>
    <w:rsid w:val="0058586D"/>
    <w:rsid w:val="00587104"/>
    <w:rsid w:val="00591ACB"/>
    <w:rsid w:val="00593C20"/>
    <w:rsid w:val="00596322"/>
    <w:rsid w:val="005A2A15"/>
    <w:rsid w:val="005A3712"/>
    <w:rsid w:val="005A6D99"/>
    <w:rsid w:val="005B32D0"/>
    <w:rsid w:val="005B5C97"/>
    <w:rsid w:val="005C1EB8"/>
    <w:rsid w:val="005E3641"/>
    <w:rsid w:val="005E53BD"/>
    <w:rsid w:val="005E7B79"/>
    <w:rsid w:val="005F0261"/>
    <w:rsid w:val="005F3323"/>
    <w:rsid w:val="005F387F"/>
    <w:rsid w:val="005F6EE4"/>
    <w:rsid w:val="006059B7"/>
    <w:rsid w:val="006060A9"/>
    <w:rsid w:val="00621406"/>
    <w:rsid w:val="00626FFA"/>
    <w:rsid w:val="006303ED"/>
    <w:rsid w:val="0066057A"/>
    <w:rsid w:val="0066333C"/>
    <w:rsid w:val="006649E5"/>
    <w:rsid w:val="00667A42"/>
    <w:rsid w:val="00673CC4"/>
    <w:rsid w:val="00677D83"/>
    <w:rsid w:val="00683D69"/>
    <w:rsid w:val="00685A41"/>
    <w:rsid w:val="006860D3"/>
    <w:rsid w:val="0068787E"/>
    <w:rsid w:val="006878D5"/>
    <w:rsid w:val="0069550D"/>
    <w:rsid w:val="006A19DF"/>
    <w:rsid w:val="006B03F9"/>
    <w:rsid w:val="006B6F4F"/>
    <w:rsid w:val="006B7B54"/>
    <w:rsid w:val="006C45E2"/>
    <w:rsid w:val="006C4AAD"/>
    <w:rsid w:val="006C5C42"/>
    <w:rsid w:val="006D0738"/>
    <w:rsid w:val="006D2929"/>
    <w:rsid w:val="006E0913"/>
    <w:rsid w:val="006E52DA"/>
    <w:rsid w:val="006F03B7"/>
    <w:rsid w:val="006F2BA4"/>
    <w:rsid w:val="006F613C"/>
    <w:rsid w:val="006F7294"/>
    <w:rsid w:val="0070216F"/>
    <w:rsid w:val="00703992"/>
    <w:rsid w:val="0071047E"/>
    <w:rsid w:val="00712318"/>
    <w:rsid w:val="007161EB"/>
    <w:rsid w:val="00720C62"/>
    <w:rsid w:val="00726870"/>
    <w:rsid w:val="00727202"/>
    <w:rsid w:val="00733125"/>
    <w:rsid w:val="0073651C"/>
    <w:rsid w:val="00740B3C"/>
    <w:rsid w:val="00744411"/>
    <w:rsid w:val="00745136"/>
    <w:rsid w:val="00750CF2"/>
    <w:rsid w:val="007645D3"/>
    <w:rsid w:val="00767E5D"/>
    <w:rsid w:val="00771646"/>
    <w:rsid w:val="00772882"/>
    <w:rsid w:val="00774D24"/>
    <w:rsid w:val="00780D0D"/>
    <w:rsid w:val="00781EC4"/>
    <w:rsid w:val="007828F6"/>
    <w:rsid w:val="007846CF"/>
    <w:rsid w:val="007866DE"/>
    <w:rsid w:val="007900A9"/>
    <w:rsid w:val="0079067D"/>
    <w:rsid w:val="007908CE"/>
    <w:rsid w:val="0079200A"/>
    <w:rsid w:val="007926E1"/>
    <w:rsid w:val="00793C52"/>
    <w:rsid w:val="00793EC2"/>
    <w:rsid w:val="007959A9"/>
    <w:rsid w:val="007A042B"/>
    <w:rsid w:val="007A05F2"/>
    <w:rsid w:val="007A1BB5"/>
    <w:rsid w:val="007A2CCA"/>
    <w:rsid w:val="007A4FBB"/>
    <w:rsid w:val="007B6B03"/>
    <w:rsid w:val="007C19C7"/>
    <w:rsid w:val="007C3C55"/>
    <w:rsid w:val="007C40E2"/>
    <w:rsid w:val="007D3DBB"/>
    <w:rsid w:val="007D5914"/>
    <w:rsid w:val="007D732B"/>
    <w:rsid w:val="007E1400"/>
    <w:rsid w:val="007E2DDC"/>
    <w:rsid w:val="007F3AD7"/>
    <w:rsid w:val="007F4027"/>
    <w:rsid w:val="007F4B37"/>
    <w:rsid w:val="007F68E6"/>
    <w:rsid w:val="0080275E"/>
    <w:rsid w:val="008046AB"/>
    <w:rsid w:val="0082142D"/>
    <w:rsid w:val="00821D22"/>
    <w:rsid w:val="00826A01"/>
    <w:rsid w:val="00832042"/>
    <w:rsid w:val="00841CA0"/>
    <w:rsid w:val="008475C3"/>
    <w:rsid w:val="00847AC6"/>
    <w:rsid w:val="00851D02"/>
    <w:rsid w:val="00852E01"/>
    <w:rsid w:val="00865A7F"/>
    <w:rsid w:val="00876121"/>
    <w:rsid w:val="00877984"/>
    <w:rsid w:val="00880ACE"/>
    <w:rsid w:val="00881C88"/>
    <w:rsid w:val="00886863"/>
    <w:rsid w:val="0089042E"/>
    <w:rsid w:val="008948D2"/>
    <w:rsid w:val="008A030C"/>
    <w:rsid w:val="008B5B8E"/>
    <w:rsid w:val="008C03D1"/>
    <w:rsid w:val="008C0481"/>
    <w:rsid w:val="008C2A21"/>
    <w:rsid w:val="008C3A10"/>
    <w:rsid w:val="008C699B"/>
    <w:rsid w:val="008D404E"/>
    <w:rsid w:val="008D5D19"/>
    <w:rsid w:val="008E1997"/>
    <w:rsid w:val="008E4521"/>
    <w:rsid w:val="008E499F"/>
    <w:rsid w:val="008E5742"/>
    <w:rsid w:val="008E7632"/>
    <w:rsid w:val="008F0848"/>
    <w:rsid w:val="008F1C76"/>
    <w:rsid w:val="009031DF"/>
    <w:rsid w:val="00907FEC"/>
    <w:rsid w:val="00910938"/>
    <w:rsid w:val="00931C38"/>
    <w:rsid w:val="0093228D"/>
    <w:rsid w:val="00934988"/>
    <w:rsid w:val="00937623"/>
    <w:rsid w:val="00937796"/>
    <w:rsid w:val="00946842"/>
    <w:rsid w:val="00946E03"/>
    <w:rsid w:val="009570D4"/>
    <w:rsid w:val="00960221"/>
    <w:rsid w:val="00960C6B"/>
    <w:rsid w:val="009618DE"/>
    <w:rsid w:val="009648A0"/>
    <w:rsid w:val="009704F7"/>
    <w:rsid w:val="009712D9"/>
    <w:rsid w:val="009767DA"/>
    <w:rsid w:val="0097706A"/>
    <w:rsid w:val="00977C98"/>
    <w:rsid w:val="009836B6"/>
    <w:rsid w:val="00990EA9"/>
    <w:rsid w:val="009913F3"/>
    <w:rsid w:val="009966DB"/>
    <w:rsid w:val="009A0329"/>
    <w:rsid w:val="009A2454"/>
    <w:rsid w:val="009A6596"/>
    <w:rsid w:val="009B06A2"/>
    <w:rsid w:val="009B447A"/>
    <w:rsid w:val="009B5204"/>
    <w:rsid w:val="009B6C38"/>
    <w:rsid w:val="009C29A7"/>
    <w:rsid w:val="009C5E9A"/>
    <w:rsid w:val="009D643C"/>
    <w:rsid w:val="009D713F"/>
    <w:rsid w:val="009D758B"/>
    <w:rsid w:val="009E2079"/>
    <w:rsid w:val="009E5794"/>
    <w:rsid w:val="009E695E"/>
    <w:rsid w:val="009E6FC5"/>
    <w:rsid w:val="009E7CA0"/>
    <w:rsid w:val="009F19D4"/>
    <w:rsid w:val="009F3CFC"/>
    <w:rsid w:val="009F4FE6"/>
    <w:rsid w:val="009F5125"/>
    <w:rsid w:val="009F5849"/>
    <w:rsid w:val="00A008F4"/>
    <w:rsid w:val="00A07BA4"/>
    <w:rsid w:val="00A1157A"/>
    <w:rsid w:val="00A133EC"/>
    <w:rsid w:val="00A16A9A"/>
    <w:rsid w:val="00A22EA1"/>
    <w:rsid w:val="00A31EF7"/>
    <w:rsid w:val="00A320B8"/>
    <w:rsid w:val="00A41BC6"/>
    <w:rsid w:val="00A4614E"/>
    <w:rsid w:val="00A53F92"/>
    <w:rsid w:val="00A605A3"/>
    <w:rsid w:val="00A7407C"/>
    <w:rsid w:val="00A7550C"/>
    <w:rsid w:val="00A8163A"/>
    <w:rsid w:val="00A81AF5"/>
    <w:rsid w:val="00A82C34"/>
    <w:rsid w:val="00A906CB"/>
    <w:rsid w:val="00A950C6"/>
    <w:rsid w:val="00A96303"/>
    <w:rsid w:val="00A9666C"/>
    <w:rsid w:val="00A967C7"/>
    <w:rsid w:val="00AA3FB6"/>
    <w:rsid w:val="00AA7FED"/>
    <w:rsid w:val="00AB3E7E"/>
    <w:rsid w:val="00AC35D2"/>
    <w:rsid w:val="00AC58BA"/>
    <w:rsid w:val="00AC5C91"/>
    <w:rsid w:val="00AD12B2"/>
    <w:rsid w:val="00AD4A76"/>
    <w:rsid w:val="00AD65F6"/>
    <w:rsid w:val="00AD7D9C"/>
    <w:rsid w:val="00AE69DB"/>
    <w:rsid w:val="00B04CB9"/>
    <w:rsid w:val="00B07914"/>
    <w:rsid w:val="00B107A3"/>
    <w:rsid w:val="00B22FC1"/>
    <w:rsid w:val="00B239CB"/>
    <w:rsid w:val="00B32041"/>
    <w:rsid w:val="00B3644F"/>
    <w:rsid w:val="00B4339D"/>
    <w:rsid w:val="00B44FD4"/>
    <w:rsid w:val="00B4615F"/>
    <w:rsid w:val="00B474C1"/>
    <w:rsid w:val="00B50FB4"/>
    <w:rsid w:val="00B527D8"/>
    <w:rsid w:val="00B528A3"/>
    <w:rsid w:val="00B54BB2"/>
    <w:rsid w:val="00B635C0"/>
    <w:rsid w:val="00B63858"/>
    <w:rsid w:val="00B66095"/>
    <w:rsid w:val="00B6627E"/>
    <w:rsid w:val="00B708CA"/>
    <w:rsid w:val="00B714D8"/>
    <w:rsid w:val="00B72D26"/>
    <w:rsid w:val="00B73BBC"/>
    <w:rsid w:val="00B76852"/>
    <w:rsid w:val="00B8671C"/>
    <w:rsid w:val="00B87ED6"/>
    <w:rsid w:val="00B903F3"/>
    <w:rsid w:val="00B9777B"/>
    <w:rsid w:val="00BA17A7"/>
    <w:rsid w:val="00BB19C8"/>
    <w:rsid w:val="00BB1B15"/>
    <w:rsid w:val="00BB2975"/>
    <w:rsid w:val="00BC0DE2"/>
    <w:rsid w:val="00BC3590"/>
    <w:rsid w:val="00BC3B36"/>
    <w:rsid w:val="00BC3C46"/>
    <w:rsid w:val="00BE7081"/>
    <w:rsid w:val="00BE79C5"/>
    <w:rsid w:val="00BE7EE4"/>
    <w:rsid w:val="00BF0022"/>
    <w:rsid w:val="00BF18A6"/>
    <w:rsid w:val="00BF73F0"/>
    <w:rsid w:val="00C00FB8"/>
    <w:rsid w:val="00C02F4E"/>
    <w:rsid w:val="00C04BF2"/>
    <w:rsid w:val="00C120D9"/>
    <w:rsid w:val="00C13DE9"/>
    <w:rsid w:val="00C30F28"/>
    <w:rsid w:val="00C31ECD"/>
    <w:rsid w:val="00C36569"/>
    <w:rsid w:val="00C47AFA"/>
    <w:rsid w:val="00C5585B"/>
    <w:rsid w:val="00C5753D"/>
    <w:rsid w:val="00C5780A"/>
    <w:rsid w:val="00C67546"/>
    <w:rsid w:val="00C741B6"/>
    <w:rsid w:val="00C827B7"/>
    <w:rsid w:val="00C829D0"/>
    <w:rsid w:val="00C8473B"/>
    <w:rsid w:val="00C87F78"/>
    <w:rsid w:val="00C90983"/>
    <w:rsid w:val="00C9248A"/>
    <w:rsid w:val="00C931EE"/>
    <w:rsid w:val="00C96A7D"/>
    <w:rsid w:val="00CA099D"/>
    <w:rsid w:val="00CA0F9C"/>
    <w:rsid w:val="00CA6C37"/>
    <w:rsid w:val="00CC071A"/>
    <w:rsid w:val="00CC165B"/>
    <w:rsid w:val="00CC50CB"/>
    <w:rsid w:val="00CC59D1"/>
    <w:rsid w:val="00CD5422"/>
    <w:rsid w:val="00CE0F60"/>
    <w:rsid w:val="00CE2F1F"/>
    <w:rsid w:val="00CE3573"/>
    <w:rsid w:val="00CE4B79"/>
    <w:rsid w:val="00CE5E32"/>
    <w:rsid w:val="00CE6F64"/>
    <w:rsid w:val="00CF5CB6"/>
    <w:rsid w:val="00CF7083"/>
    <w:rsid w:val="00D051B7"/>
    <w:rsid w:val="00D108B8"/>
    <w:rsid w:val="00D112B8"/>
    <w:rsid w:val="00D124F9"/>
    <w:rsid w:val="00D13D1E"/>
    <w:rsid w:val="00D25741"/>
    <w:rsid w:val="00D26861"/>
    <w:rsid w:val="00D27B0C"/>
    <w:rsid w:val="00D3123D"/>
    <w:rsid w:val="00D34500"/>
    <w:rsid w:val="00D36668"/>
    <w:rsid w:val="00D406ED"/>
    <w:rsid w:val="00D448EE"/>
    <w:rsid w:val="00D46840"/>
    <w:rsid w:val="00D47A84"/>
    <w:rsid w:val="00D56789"/>
    <w:rsid w:val="00D64CAF"/>
    <w:rsid w:val="00D75961"/>
    <w:rsid w:val="00D84949"/>
    <w:rsid w:val="00D8755B"/>
    <w:rsid w:val="00D90BEA"/>
    <w:rsid w:val="00D93B26"/>
    <w:rsid w:val="00D96512"/>
    <w:rsid w:val="00DA030F"/>
    <w:rsid w:val="00DA0925"/>
    <w:rsid w:val="00DA39AF"/>
    <w:rsid w:val="00DA74CA"/>
    <w:rsid w:val="00DC46C3"/>
    <w:rsid w:val="00DC4957"/>
    <w:rsid w:val="00DC4B07"/>
    <w:rsid w:val="00DC4C7B"/>
    <w:rsid w:val="00DD1CD2"/>
    <w:rsid w:val="00DD469F"/>
    <w:rsid w:val="00DD5153"/>
    <w:rsid w:val="00DD67D4"/>
    <w:rsid w:val="00DD6FF2"/>
    <w:rsid w:val="00DD7AEF"/>
    <w:rsid w:val="00DE563A"/>
    <w:rsid w:val="00DE7BA7"/>
    <w:rsid w:val="00DF2BAD"/>
    <w:rsid w:val="00DF3FB2"/>
    <w:rsid w:val="00E00DE5"/>
    <w:rsid w:val="00E04F1F"/>
    <w:rsid w:val="00E0594C"/>
    <w:rsid w:val="00E10D5F"/>
    <w:rsid w:val="00E15C10"/>
    <w:rsid w:val="00E21027"/>
    <w:rsid w:val="00E219BD"/>
    <w:rsid w:val="00E2705F"/>
    <w:rsid w:val="00E2706D"/>
    <w:rsid w:val="00E305AD"/>
    <w:rsid w:val="00E36638"/>
    <w:rsid w:val="00E436DD"/>
    <w:rsid w:val="00E44A87"/>
    <w:rsid w:val="00E456B0"/>
    <w:rsid w:val="00E46303"/>
    <w:rsid w:val="00E46597"/>
    <w:rsid w:val="00E46E64"/>
    <w:rsid w:val="00E624D5"/>
    <w:rsid w:val="00E75395"/>
    <w:rsid w:val="00E7612A"/>
    <w:rsid w:val="00E761D1"/>
    <w:rsid w:val="00E77FC6"/>
    <w:rsid w:val="00E87840"/>
    <w:rsid w:val="00E94684"/>
    <w:rsid w:val="00E96D16"/>
    <w:rsid w:val="00EA3ABE"/>
    <w:rsid w:val="00EA5DBD"/>
    <w:rsid w:val="00EB0E31"/>
    <w:rsid w:val="00EB107B"/>
    <w:rsid w:val="00EC07CD"/>
    <w:rsid w:val="00EC20E8"/>
    <w:rsid w:val="00EC24A0"/>
    <w:rsid w:val="00EC27CD"/>
    <w:rsid w:val="00EC4806"/>
    <w:rsid w:val="00EC7990"/>
    <w:rsid w:val="00ED781F"/>
    <w:rsid w:val="00EE28FD"/>
    <w:rsid w:val="00EE7AE3"/>
    <w:rsid w:val="00EF5B7C"/>
    <w:rsid w:val="00EF7E69"/>
    <w:rsid w:val="00F04825"/>
    <w:rsid w:val="00F11156"/>
    <w:rsid w:val="00F121A5"/>
    <w:rsid w:val="00F17326"/>
    <w:rsid w:val="00F314DC"/>
    <w:rsid w:val="00F33F6E"/>
    <w:rsid w:val="00F35FB3"/>
    <w:rsid w:val="00F37FB2"/>
    <w:rsid w:val="00F4090C"/>
    <w:rsid w:val="00F41EF8"/>
    <w:rsid w:val="00F5146F"/>
    <w:rsid w:val="00F52BB0"/>
    <w:rsid w:val="00F55696"/>
    <w:rsid w:val="00F56D67"/>
    <w:rsid w:val="00F60278"/>
    <w:rsid w:val="00F770D6"/>
    <w:rsid w:val="00F9374B"/>
    <w:rsid w:val="00F93D61"/>
    <w:rsid w:val="00F97C8B"/>
    <w:rsid w:val="00FA2756"/>
    <w:rsid w:val="00FA69AD"/>
    <w:rsid w:val="00FC2BD1"/>
    <w:rsid w:val="00FC33C6"/>
    <w:rsid w:val="00FD0663"/>
    <w:rsid w:val="00FD1E11"/>
    <w:rsid w:val="00FD5BCE"/>
    <w:rsid w:val="00FD7F46"/>
    <w:rsid w:val="00FE1B58"/>
    <w:rsid w:val="00FF1D34"/>
    <w:rsid w:val="00FF4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macro" w:uiPriority="99"/>
    <w:lsdException w:name="List Bullet" w:uiPriority="24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39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75395"/>
    <w:pPr>
      <w:keepNext/>
      <w:spacing w:before="240" w:after="60"/>
      <w:outlineLvl w:val="0"/>
    </w:pPr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E75395"/>
    <w:pPr>
      <w:keepNext/>
      <w:spacing w:before="240" w:after="60"/>
      <w:outlineLvl w:val="1"/>
    </w:pPr>
    <w:rPr>
      <w:rFonts w:ascii="Arial" w:eastAsia="Times New Roman" w:hAnsi="Arial" w:cs="Angsana New"/>
      <w:b/>
      <w:bCs/>
      <w:i/>
      <w:iCs/>
      <w:szCs w:val="32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E75395"/>
    <w:pPr>
      <w:keepNext/>
      <w:spacing w:before="240" w:after="60"/>
      <w:outlineLvl w:val="2"/>
    </w:pPr>
    <w:rPr>
      <w:rFonts w:ascii="Arial" w:eastAsia="Times New Roman" w:hAnsi="Arial" w:cs="Angsana New"/>
      <w:b/>
      <w:bCs/>
      <w:sz w:val="26"/>
      <w:szCs w:val="30"/>
      <w:lang w:val="x-none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E75395"/>
    <w:pPr>
      <w:keepNext/>
      <w:spacing w:before="240" w:after="60"/>
      <w:outlineLvl w:val="3"/>
    </w:pPr>
    <w:rPr>
      <w:rFonts w:ascii="Times New Roman" w:eastAsia="Times New Roman" w:hAnsi="Times New Roman" w:cs="Angsana New"/>
      <w:b/>
      <w:bCs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75395"/>
    <w:pPr>
      <w:spacing w:before="240" w:after="60"/>
      <w:outlineLvl w:val="4"/>
    </w:pPr>
    <w:rPr>
      <w:rFonts w:ascii="Times New Roman" w:eastAsia="Times New Roman" w:hAnsi="Times New Roman" w:cs="Angsana New"/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75395"/>
    <w:pPr>
      <w:spacing w:before="240" w:after="60"/>
      <w:outlineLvl w:val="5"/>
    </w:pPr>
    <w:rPr>
      <w:rFonts w:ascii="Times New Roman" w:eastAsia="Times New Roman" w:hAnsi="Times New Roman" w:cs="Angsana New"/>
      <w:b/>
      <w:bCs/>
      <w:sz w:val="22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75395"/>
    <w:pPr>
      <w:keepNext/>
      <w:ind w:left="420" w:hanging="420"/>
      <w:jc w:val="both"/>
      <w:outlineLvl w:val="6"/>
    </w:pPr>
    <w:rPr>
      <w:rFonts w:ascii="AngsanaUPC" w:hAnsi="AngsanaUPC" w:cs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75395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75395"/>
    <w:pPr>
      <w:spacing w:before="240" w:after="60"/>
      <w:outlineLvl w:val="8"/>
    </w:pPr>
    <w:rPr>
      <w:rFonts w:ascii="Arial" w:eastAsia="Times New Roman" w:hAnsi="Arial" w:cs="Angsana New"/>
      <w:sz w:val="22"/>
      <w:szCs w:val="25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75395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aliases w:val="h2 main heading Char"/>
    <w:link w:val="Heading2"/>
    <w:rsid w:val="00E75395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aliases w:val="h3 sub heading Char"/>
    <w:link w:val="Heading3"/>
    <w:rsid w:val="00E75395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aliases w:val="h4 sub sub heading Char"/>
    <w:link w:val="Heading4"/>
    <w:rsid w:val="00E75395"/>
    <w:rPr>
      <w:rFonts w:ascii="Times New Roman" w:eastAsia="Times New Roman" w:hAnsi="Times New Roman"/>
      <w:b/>
      <w:bCs/>
      <w:sz w:val="28"/>
      <w:szCs w:val="32"/>
    </w:rPr>
  </w:style>
  <w:style w:type="character" w:customStyle="1" w:styleId="Heading5Char">
    <w:name w:val="Heading 5 Char"/>
    <w:link w:val="Heading5"/>
    <w:rsid w:val="00E75395"/>
    <w:rPr>
      <w:rFonts w:ascii="Times New Roman" w:eastAsia="Times New Roman" w:hAnsi="Times New Roman"/>
      <w:b/>
      <w:bCs/>
      <w:i/>
      <w:iCs/>
      <w:sz w:val="26"/>
      <w:szCs w:val="30"/>
    </w:rPr>
  </w:style>
  <w:style w:type="character" w:customStyle="1" w:styleId="Heading6Char">
    <w:name w:val="Heading 6 Char"/>
    <w:link w:val="Heading6"/>
    <w:rsid w:val="00E75395"/>
    <w:rPr>
      <w:rFonts w:ascii="Times New Roman" w:eastAsia="Times New Roman" w:hAnsi="Times New Roman"/>
      <w:b/>
      <w:bCs/>
      <w:sz w:val="22"/>
      <w:szCs w:val="25"/>
    </w:rPr>
  </w:style>
  <w:style w:type="character" w:customStyle="1" w:styleId="Heading7Char">
    <w:name w:val="Heading 7 Char"/>
    <w:link w:val="Heading7"/>
    <w:rsid w:val="00E75395"/>
    <w:rPr>
      <w:rFonts w:ascii="AngsanaUPC" w:hAnsi="AngsanaUPC" w:cs="AngsanaUPC"/>
      <w:sz w:val="32"/>
      <w:szCs w:val="32"/>
    </w:rPr>
  </w:style>
  <w:style w:type="character" w:customStyle="1" w:styleId="Heading8Char">
    <w:name w:val="Heading 8 Char"/>
    <w:link w:val="Heading8"/>
    <w:rsid w:val="00E75395"/>
    <w:rPr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75395"/>
    <w:rPr>
      <w:rFonts w:ascii="Arial" w:eastAsia="Times New Roman" w:hAnsi="Arial" w:cs="Cordia New"/>
      <w:sz w:val="22"/>
      <w:szCs w:val="25"/>
    </w:rPr>
  </w:style>
  <w:style w:type="paragraph" w:styleId="MacroText">
    <w:name w:val="macro"/>
    <w:link w:val="MacroTextChar"/>
    <w:uiPriority w:val="99"/>
    <w:semiHidden/>
    <w:rsid w:val="001F13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locked/>
    <w:rsid w:val="009F3CFC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1F1392"/>
    <w:pPr>
      <w:ind w:firstLine="72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9F3CFC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1F1392"/>
    <w:pPr>
      <w:spacing w:after="120"/>
      <w:ind w:left="1701"/>
      <w:jc w:val="thaiDistribute"/>
    </w:pPr>
    <w:rPr>
      <w:rFonts w:ascii="AngsanaUPC" w:hAnsi="AngsanaUPC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link w:val="BodyTextIndent"/>
    <w:rsid w:val="00E75395"/>
    <w:rPr>
      <w:rFonts w:ascii="AngsanaUPC" w:hAnsi="AngsanaUPC" w:cs="AngsanaUPC"/>
      <w:sz w:val="26"/>
      <w:szCs w:val="26"/>
    </w:rPr>
  </w:style>
  <w:style w:type="paragraph" w:styleId="Header">
    <w:name w:val="header"/>
    <w:basedOn w:val="Normal"/>
    <w:link w:val="HeaderChar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locked/>
    <w:rsid w:val="007A4FBB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F1392"/>
  </w:style>
  <w:style w:type="paragraph" w:styleId="Footer">
    <w:name w:val="footer"/>
    <w:basedOn w:val="Normal"/>
    <w:link w:val="FooterChar"/>
    <w:uiPriority w:val="99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9F3CFC"/>
    <w:rPr>
      <w:rFonts w:cs="Cordia New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C03D1"/>
    <w:pPr>
      <w:spacing w:after="120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Char">
    <w:name w:val="Body Text Char"/>
    <w:link w:val="BodyText"/>
    <w:uiPriority w:val="99"/>
    <w:locked/>
    <w:rsid w:val="00D64CAF"/>
    <w:rPr>
      <w:rFonts w:ascii="Times New Roman" w:eastAsia="Times New Roman" w:hAnsi="Times New Roman"/>
      <w:sz w:val="24"/>
      <w:szCs w:val="28"/>
    </w:rPr>
  </w:style>
  <w:style w:type="paragraph" w:styleId="BlockText">
    <w:name w:val="Block Text"/>
    <w:basedOn w:val="Normal"/>
    <w:rsid w:val="009F3CFC"/>
    <w:pPr>
      <w:spacing w:before="240"/>
      <w:ind w:left="547" w:right="749" w:firstLine="1440"/>
      <w:jc w:val="both"/>
    </w:pPr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rsid w:val="009F3CFC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9F3CFC"/>
    <w:rPr>
      <w:rFonts w:ascii="Tahoma" w:eastAsia="Calibri" w:hAnsi="Tahoma"/>
      <w:sz w:val="16"/>
    </w:rPr>
  </w:style>
  <w:style w:type="paragraph" w:styleId="ListParagraph">
    <w:name w:val="List Paragraph"/>
    <w:basedOn w:val="Normal"/>
    <w:link w:val="ListParagraphChar"/>
    <w:uiPriority w:val="99"/>
    <w:qFormat/>
    <w:rsid w:val="009F3CFC"/>
    <w:pPr>
      <w:spacing w:after="200" w:line="276" w:lineRule="auto"/>
      <w:ind w:left="720"/>
      <w:contextualSpacing/>
    </w:pPr>
    <w:rPr>
      <w:rFonts w:eastAsia="Calibri"/>
      <w:szCs w:val="35"/>
    </w:rPr>
  </w:style>
  <w:style w:type="paragraph" w:customStyle="1" w:styleId="Graphic">
    <w:name w:val="Graphic"/>
    <w:basedOn w:val="Signature"/>
    <w:uiPriority w:val="99"/>
    <w:rsid w:val="009F3C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9F3CFC"/>
    <w:pPr>
      <w:spacing w:after="200" w:line="276" w:lineRule="auto"/>
      <w:ind w:left="4252"/>
    </w:pPr>
    <w:rPr>
      <w:rFonts w:eastAsia="Calibri" w:cs="Angsana New"/>
      <w:lang w:val="x-none" w:eastAsia="x-none"/>
    </w:rPr>
  </w:style>
  <w:style w:type="character" w:customStyle="1" w:styleId="SignatureChar">
    <w:name w:val="Signature Char"/>
    <w:link w:val="Signature"/>
    <w:uiPriority w:val="99"/>
    <w:rsid w:val="009F3CFC"/>
    <w:rPr>
      <w:rFonts w:eastAsia="Calibri" w:cs="Cordia New"/>
      <w:sz w:val="28"/>
      <w:szCs w:val="28"/>
    </w:rPr>
  </w:style>
  <w:style w:type="paragraph" w:styleId="Revision">
    <w:name w:val="Revision"/>
    <w:hidden/>
    <w:uiPriority w:val="99"/>
    <w:semiHidden/>
    <w:rsid w:val="009F3CFC"/>
    <w:rPr>
      <w:rFonts w:eastAsia="Calibri" w:cs="Cordia New"/>
      <w:sz w:val="28"/>
      <w:szCs w:val="35"/>
    </w:rPr>
  </w:style>
  <w:style w:type="character" w:styleId="Hyperlink">
    <w:name w:val="Hyperlink"/>
    <w:uiPriority w:val="99"/>
    <w:rsid w:val="00E75395"/>
    <w:rPr>
      <w:color w:val="0000FF"/>
      <w:u w:val="single"/>
    </w:rPr>
  </w:style>
  <w:style w:type="paragraph" w:styleId="BodyText2">
    <w:name w:val="Body Text 2"/>
    <w:basedOn w:val="Normal"/>
    <w:link w:val="BodyText2Char"/>
    <w:rsid w:val="00E75395"/>
    <w:rPr>
      <w:rFonts w:cs="Angsana New"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E75395"/>
    <w:rPr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E75395"/>
    <w:pPr>
      <w:spacing w:after="120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link w:val="BodyText3"/>
    <w:uiPriority w:val="99"/>
    <w:rsid w:val="00E75395"/>
    <w:rPr>
      <w:rFonts w:ascii="Times New Roman" w:eastAsia="Times New Roman" w:hAnsi="Times New Roman"/>
      <w:sz w:val="16"/>
      <w:szCs w:val="18"/>
    </w:rPr>
  </w:style>
  <w:style w:type="paragraph" w:styleId="BodyTextIndent3">
    <w:name w:val="Body Text Indent 3"/>
    <w:basedOn w:val="Normal"/>
    <w:link w:val="BodyTextIndent3Char"/>
    <w:rsid w:val="00E75395"/>
    <w:pPr>
      <w:spacing w:after="120"/>
      <w:ind w:left="283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E75395"/>
    <w:rPr>
      <w:rFonts w:ascii="Times New Roman" w:eastAsia="Times New Roman" w:hAnsi="Times New Roman"/>
      <w:sz w:val="16"/>
      <w:szCs w:val="18"/>
    </w:rPr>
  </w:style>
  <w:style w:type="paragraph" w:styleId="NormalWeb">
    <w:name w:val="Normal (Web)"/>
    <w:basedOn w:val="Normal"/>
    <w:rsid w:val="00E753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paragraph" w:customStyle="1" w:styleId="CharChar">
    <w:name w:val="อักขระ อักขระ Char Char อักขระ อักขระ"/>
    <w:basedOn w:val="Normal"/>
    <w:rsid w:val="00E753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uiPriority w:val="20"/>
    <w:qFormat/>
    <w:rsid w:val="00E7539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5395"/>
  </w:style>
  <w:style w:type="character" w:styleId="Strong">
    <w:name w:val="Strong"/>
    <w:uiPriority w:val="22"/>
    <w:qFormat/>
    <w:rsid w:val="00E75395"/>
    <w:rPr>
      <w:b/>
      <w:bCs/>
    </w:rPr>
  </w:style>
  <w:style w:type="character" w:customStyle="1" w:styleId="style5">
    <w:name w:val="style5"/>
    <w:basedOn w:val="DefaultParagraphFont"/>
    <w:rsid w:val="00E75395"/>
  </w:style>
  <w:style w:type="character" w:customStyle="1" w:styleId="ttag">
    <w:name w:val="t_tag"/>
    <w:basedOn w:val="DefaultParagraphFont"/>
    <w:rsid w:val="00E75395"/>
  </w:style>
  <w:style w:type="paragraph" w:styleId="Title">
    <w:name w:val="Title"/>
    <w:basedOn w:val="Normal"/>
    <w:link w:val="TitleChar"/>
    <w:qFormat/>
    <w:rsid w:val="00E75395"/>
    <w:pPr>
      <w:jc w:val="center"/>
    </w:pPr>
    <w:rPr>
      <w:rFonts w:ascii="Angsana New" w:eastAsia="Times New Roman" w:hAnsi="Angsana New" w:cs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E75395"/>
    <w:rPr>
      <w:rFonts w:ascii="Angsana New" w:eastAsia="Times New Roman" w:hAnsi="Angsana New"/>
      <w:color w:val="000000"/>
      <w:sz w:val="30"/>
      <w:szCs w:val="30"/>
    </w:rPr>
  </w:style>
  <w:style w:type="character" w:customStyle="1" w:styleId="content">
    <w:name w:val="content"/>
    <w:basedOn w:val="DefaultParagraphFont"/>
    <w:rsid w:val="00E75395"/>
  </w:style>
  <w:style w:type="character" w:customStyle="1" w:styleId="apple-converted-space">
    <w:name w:val="apple-converted-space"/>
    <w:basedOn w:val="DefaultParagraphFont"/>
    <w:rsid w:val="00E75395"/>
  </w:style>
  <w:style w:type="numbering" w:customStyle="1" w:styleId="NoList1">
    <w:name w:val="No List1"/>
    <w:next w:val="NoList"/>
    <w:uiPriority w:val="99"/>
    <w:semiHidden/>
    <w:unhideWhenUsed/>
    <w:rsid w:val="00E46E64"/>
  </w:style>
  <w:style w:type="paragraph" w:styleId="Caption">
    <w:name w:val="caption"/>
    <w:basedOn w:val="Normal"/>
    <w:next w:val="Normal"/>
    <w:qFormat/>
    <w:rsid w:val="00E46E64"/>
    <w:pPr>
      <w:spacing w:before="120" w:after="120"/>
      <w:ind w:left="562"/>
      <w:jc w:val="both"/>
    </w:pPr>
    <w:rPr>
      <w:rFonts w:ascii="AngsanaUPC" w:hAnsi="AngsanaUPC" w:cs="AngsanaUPC"/>
      <w:sz w:val="26"/>
      <w:szCs w:val="26"/>
    </w:rPr>
  </w:style>
  <w:style w:type="table" w:styleId="TableGrid">
    <w:name w:val="Table Grid"/>
    <w:basedOn w:val="TableNormal"/>
    <w:uiPriority w:val="99"/>
    <w:rsid w:val="00E46E64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DistnHeader">
    <w:name w:val="zDistnHeader"/>
    <w:basedOn w:val="Normal"/>
    <w:next w:val="Normal"/>
    <w:rsid w:val="00E46E64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Body">
    <w:name w:val="Body"/>
    <w:aliases w:val="by"/>
    <w:basedOn w:val="Normal"/>
    <w:rsid w:val="00E46E64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styleId="CommentReference">
    <w:name w:val="annotation reference"/>
    <w:unhideWhenUsed/>
    <w:rsid w:val="00E46E6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E46E64"/>
    <w:pPr>
      <w:spacing w:after="200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46E64"/>
    <w:rPr>
      <w:rFonts w:eastAsia="Calibri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46E6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46E64"/>
    <w:rPr>
      <w:rFonts w:eastAsia="Calibri"/>
      <w:b/>
      <w:bCs/>
      <w:szCs w:val="25"/>
    </w:rPr>
  </w:style>
  <w:style w:type="numbering" w:customStyle="1" w:styleId="NoList11">
    <w:name w:val="No List11"/>
    <w:next w:val="NoList"/>
    <w:uiPriority w:val="99"/>
    <w:semiHidden/>
    <w:unhideWhenUsed/>
    <w:rsid w:val="00E46E64"/>
  </w:style>
  <w:style w:type="character" w:customStyle="1" w:styleId="ListParagraphChar">
    <w:name w:val="List Paragraph Char"/>
    <w:link w:val="ListParagraph"/>
    <w:uiPriority w:val="34"/>
    <w:rsid w:val="00EF5B7C"/>
    <w:rPr>
      <w:rFonts w:eastAsia="Calibri" w:cs="Cordia New"/>
      <w:sz w:val="28"/>
      <w:szCs w:val="35"/>
    </w:rPr>
  </w:style>
  <w:style w:type="paragraph" w:customStyle="1" w:styleId="Default">
    <w:name w:val="Default"/>
    <w:rsid w:val="005E7B7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5E7B79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exposedshow">
    <w:name w:val="text_exposed_show"/>
    <w:basedOn w:val="DefaultParagraphFont"/>
    <w:rsid w:val="004F5E48"/>
  </w:style>
  <w:style w:type="character" w:customStyle="1" w:styleId="textexposedshow0">
    <w:name w:val="textexposedshow"/>
    <w:basedOn w:val="DefaultParagraphFont"/>
    <w:rsid w:val="004F5E48"/>
  </w:style>
  <w:style w:type="character" w:styleId="FollowedHyperlink">
    <w:name w:val="FollowedHyperlink"/>
    <w:basedOn w:val="DefaultParagraphFont"/>
    <w:uiPriority w:val="99"/>
    <w:unhideWhenUsed/>
    <w:rsid w:val="004F5E48"/>
    <w:rPr>
      <w:color w:val="800080" w:themeColor="followedHyperlink"/>
      <w:u w:val="single"/>
    </w:rPr>
  </w:style>
  <w:style w:type="character" w:customStyle="1" w:styleId="Heading4Char1">
    <w:name w:val="Heading 4 Char1"/>
    <w:aliases w:val="h4 sub sub heading Char1"/>
    <w:basedOn w:val="DefaultParagraphFont"/>
    <w:semiHidden/>
    <w:rsid w:val="004F5E4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Style11pt">
    <w:name w:val="Style 11 pt"/>
    <w:rsid w:val="004F5E48"/>
    <w:rPr>
      <w:rFonts w:ascii="Times New Roman" w:hAnsi="Times New Roman" w:cs="Times New Roman"/>
      <w:sz w:val="22"/>
      <w:szCs w:val="22"/>
      <w:lang w:val="en-US"/>
    </w:rPr>
  </w:style>
  <w:style w:type="paragraph" w:customStyle="1" w:styleId="xmsonormal">
    <w:name w:val="x_msonormal"/>
    <w:basedOn w:val="Normal"/>
    <w:rsid w:val="004F5E48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gmail-msonormal">
    <w:name w:val="gmail-msonormal"/>
    <w:basedOn w:val="Normal"/>
    <w:rsid w:val="004F5E48"/>
    <w:pPr>
      <w:spacing w:before="100" w:beforeAutospacing="1" w:after="100" w:afterAutospacing="1"/>
    </w:pPr>
    <w:rPr>
      <w:rFonts w:ascii="Tahoma" w:eastAsiaTheme="minorHAnsi" w:hAnsi="Tahoma" w:cs="Tahoma"/>
      <w:sz w:val="24"/>
      <w:szCs w:val="24"/>
    </w:rPr>
  </w:style>
  <w:style w:type="character" w:customStyle="1" w:styleId="tgc">
    <w:name w:val="_tgc"/>
    <w:basedOn w:val="DefaultParagraphFont"/>
    <w:rsid w:val="004F5E48"/>
  </w:style>
  <w:style w:type="paragraph" w:styleId="NoSpacing">
    <w:name w:val="No Spacing"/>
    <w:uiPriority w:val="1"/>
    <w:qFormat/>
    <w:rsid w:val="004F5E48"/>
    <w:rPr>
      <w:rFonts w:ascii="Calibri" w:eastAsia="Calibri" w:hAnsi="Calibri" w:cs="Cordia New"/>
      <w:sz w:val="22"/>
      <w:szCs w:val="28"/>
    </w:rPr>
  </w:style>
  <w:style w:type="character" w:customStyle="1" w:styleId="hps">
    <w:name w:val="hps"/>
    <w:basedOn w:val="DefaultParagraphFont"/>
    <w:rsid w:val="004F5E48"/>
  </w:style>
  <w:style w:type="paragraph" w:styleId="ListBullet">
    <w:name w:val="List Bullet"/>
    <w:basedOn w:val="Normal"/>
    <w:uiPriority w:val="24"/>
    <w:qFormat/>
    <w:rsid w:val="004F5E48"/>
    <w:pPr>
      <w:numPr>
        <w:numId w:val="6"/>
      </w:numPr>
      <w:adjustRightInd w:val="0"/>
      <w:spacing w:after="20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2">
    <w:name w:val="List Bullet 2"/>
    <w:basedOn w:val="Normal"/>
    <w:uiPriority w:val="24"/>
    <w:qFormat/>
    <w:rsid w:val="004F5E48"/>
    <w:pPr>
      <w:numPr>
        <w:ilvl w:val="1"/>
        <w:numId w:val="6"/>
      </w:numPr>
      <w:tabs>
        <w:tab w:val="clear" w:pos="2160"/>
        <w:tab w:val="left" w:pos="720"/>
      </w:tabs>
      <w:adjustRightInd w:val="0"/>
      <w:spacing w:after="200"/>
      <w:ind w:left="1800" w:hanging="36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3">
    <w:name w:val="List Bullet 3"/>
    <w:basedOn w:val="Normal"/>
    <w:uiPriority w:val="24"/>
    <w:qFormat/>
    <w:rsid w:val="004F5E48"/>
    <w:pPr>
      <w:numPr>
        <w:ilvl w:val="2"/>
        <w:numId w:val="6"/>
      </w:numPr>
      <w:tabs>
        <w:tab w:val="clear" w:pos="2880"/>
      </w:tabs>
      <w:adjustRightInd w:val="0"/>
      <w:spacing w:after="200"/>
      <w:ind w:left="2520" w:hanging="18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4">
    <w:name w:val="List Bullet 4"/>
    <w:basedOn w:val="Normal"/>
    <w:uiPriority w:val="24"/>
    <w:rsid w:val="004F5E48"/>
    <w:pPr>
      <w:numPr>
        <w:ilvl w:val="3"/>
        <w:numId w:val="6"/>
      </w:numPr>
      <w:tabs>
        <w:tab w:val="clear" w:pos="3600"/>
      </w:tabs>
      <w:adjustRightInd w:val="0"/>
      <w:spacing w:after="200"/>
      <w:ind w:left="3240" w:hanging="36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5">
    <w:name w:val="List Bullet 5"/>
    <w:basedOn w:val="Normal"/>
    <w:uiPriority w:val="24"/>
    <w:rsid w:val="004F5E48"/>
    <w:pPr>
      <w:numPr>
        <w:ilvl w:val="4"/>
        <w:numId w:val="6"/>
      </w:numPr>
      <w:tabs>
        <w:tab w:val="clear" w:pos="4320"/>
      </w:tabs>
      <w:adjustRightInd w:val="0"/>
      <w:spacing w:after="200"/>
      <w:ind w:left="3960" w:hanging="360"/>
    </w:pPr>
    <w:rPr>
      <w:rFonts w:ascii="Times New Roman" w:eastAsia="SimSun" w:hAnsi="Times New Roman" w:cs="Times New Roman"/>
      <w:sz w:val="24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99"/>
    <w:locked/>
    <w:rsid w:val="004F5E48"/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4F5E4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TableNormal"/>
    <w:next w:val="TableGrid"/>
    <w:rsid w:val="004F5E4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macro" w:uiPriority="99"/>
    <w:lsdException w:name="List Bullet" w:uiPriority="24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39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75395"/>
    <w:pPr>
      <w:keepNext/>
      <w:spacing w:before="240" w:after="60"/>
      <w:outlineLvl w:val="0"/>
    </w:pPr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E75395"/>
    <w:pPr>
      <w:keepNext/>
      <w:spacing w:before="240" w:after="60"/>
      <w:outlineLvl w:val="1"/>
    </w:pPr>
    <w:rPr>
      <w:rFonts w:ascii="Arial" w:eastAsia="Times New Roman" w:hAnsi="Arial" w:cs="Angsana New"/>
      <w:b/>
      <w:bCs/>
      <w:i/>
      <w:iCs/>
      <w:szCs w:val="32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E75395"/>
    <w:pPr>
      <w:keepNext/>
      <w:spacing w:before="240" w:after="60"/>
      <w:outlineLvl w:val="2"/>
    </w:pPr>
    <w:rPr>
      <w:rFonts w:ascii="Arial" w:eastAsia="Times New Roman" w:hAnsi="Arial" w:cs="Angsana New"/>
      <w:b/>
      <w:bCs/>
      <w:sz w:val="26"/>
      <w:szCs w:val="30"/>
      <w:lang w:val="x-none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E75395"/>
    <w:pPr>
      <w:keepNext/>
      <w:spacing w:before="240" w:after="60"/>
      <w:outlineLvl w:val="3"/>
    </w:pPr>
    <w:rPr>
      <w:rFonts w:ascii="Times New Roman" w:eastAsia="Times New Roman" w:hAnsi="Times New Roman" w:cs="Angsana New"/>
      <w:b/>
      <w:bCs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75395"/>
    <w:pPr>
      <w:spacing w:before="240" w:after="60"/>
      <w:outlineLvl w:val="4"/>
    </w:pPr>
    <w:rPr>
      <w:rFonts w:ascii="Times New Roman" w:eastAsia="Times New Roman" w:hAnsi="Times New Roman" w:cs="Angsana New"/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75395"/>
    <w:pPr>
      <w:spacing w:before="240" w:after="60"/>
      <w:outlineLvl w:val="5"/>
    </w:pPr>
    <w:rPr>
      <w:rFonts w:ascii="Times New Roman" w:eastAsia="Times New Roman" w:hAnsi="Times New Roman" w:cs="Angsana New"/>
      <w:b/>
      <w:bCs/>
      <w:sz w:val="22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75395"/>
    <w:pPr>
      <w:keepNext/>
      <w:ind w:left="420" w:hanging="420"/>
      <w:jc w:val="both"/>
      <w:outlineLvl w:val="6"/>
    </w:pPr>
    <w:rPr>
      <w:rFonts w:ascii="AngsanaUPC" w:hAnsi="AngsanaUPC" w:cs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75395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75395"/>
    <w:pPr>
      <w:spacing w:before="240" w:after="60"/>
      <w:outlineLvl w:val="8"/>
    </w:pPr>
    <w:rPr>
      <w:rFonts w:ascii="Arial" w:eastAsia="Times New Roman" w:hAnsi="Arial" w:cs="Angsana New"/>
      <w:sz w:val="22"/>
      <w:szCs w:val="25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75395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aliases w:val="h2 main heading Char"/>
    <w:link w:val="Heading2"/>
    <w:rsid w:val="00E75395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aliases w:val="h3 sub heading Char"/>
    <w:link w:val="Heading3"/>
    <w:rsid w:val="00E75395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aliases w:val="h4 sub sub heading Char"/>
    <w:link w:val="Heading4"/>
    <w:rsid w:val="00E75395"/>
    <w:rPr>
      <w:rFonts w:ascii="Times New Roman" w:eastAsia="Times New Roman" w:hAnsi="Times New Roman"/>
      <w:b/>
      <w:bCs/>
      <w:sz w:val="28"/>
      <w:szCs w:val="32"/>
    </w:rPr>
  </w:style>
  <w:style w:type="character" w:customStyle="1" w:styleId="Heading5Char">
    <w:name w:val="Heading 5 Char"/>
    <w:link w:val="Heading5"/>
    <w:rsid w:val="00E75395"/>
    <w:rPr>
      <w:rFonts w:ascii="Times New Roman" w:eastAsia="Times New Roman" w:hAnsi="Times New Roman"/>
      <w:b/>
      <w:bCs/>
      <w:i/>
      <w:iCs/>
      <w:sz w:val="26"/>
      <w:szCs w:val="30"/>
    </w:rPr>
  </w:style>
  <w:style w:type="character" w:customStyle="1" w:styleId="Heading6Char">
    <w:name w:val="Heading 6 Char"/>
    <w:link w:val="Heading6"/>
    <w:rsid w:val="00E75395"/>
    <w:rPr>
      <w:rFonts w:ascii="Times New Roman" w:eastAsia="Times New Roman" w:hAnsi="Times New Roman"/>
      <w:b/>
      <w:bCs/>
      <w:sz w:val="22"/>
      <w:szCs w:val="25"/>
    </w:rPr>
  </w:style>
  <w:style w:type="character" w:customStyle="1" w:styleId="Heading7Char">
    <w:name w:val="Heading 7 Char"/>
    <w:link w:val="Heading7"/>
    <w:rsid w:val="00E75395"/>
    <w:rPr>
      <w:rFonts w:ascii="AngsanaUPC" w:hAnsi="AngsanaUPC" w:cs="AngsanaUPC"/>
      <w:sz w:val="32"/>
      <w:szCs w:val="32"/>
    </w:rPr>
  </w:style>
  <w:style w:type="character" w:customStyle="1" w:styleId="Heading8Char">
    <w:name w:val="Heading 8 Char"/>
    <w:link w:val="Heading8"/>
    <w:rsid w:val="00E75395"/>
    <w:rPr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75395"/>
    <w:rPr>
      <w:rFonts w:ascii="Arial" w:eastAsia="Times New Roman" w:hAnsi="Arial" w:cs="Cordia New"/>
      <w:sz w:val="22"/>
      <w:szCs w:val="25"/>
    </w:rPr>
  </w:style>
  <w:style w:type="paragraph" w:styleId="MacroText">
    <w:name w:val="macro"/>
    <w:link w:val="MacroTextChar"/>
    <w:uiPriority w:val="99"/>
    <w:semiHidden/>
    <w:rsid w:val="001F13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locked/>
    <w:rsid w:val="009F3CFC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1F1392"/>
    <w:pPr>
      <w:ind w:firstLine="72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9F3CFC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1F1392"/>
    <w:pPr>
      <w:spacing w:after="120"/>
      <w:ind w:left="1701"/>
      <w:jc w:val="thaiDistribute"/>
    </w:pPr>
    <w:rPr>
      <w:rFonts w:ascii="AngsanaUPC" w:hAnsi="AngsanaUPC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link w:val="BodyTextIndent"/>
    <w:rsid w:val="00E75395"/>
    <w:rPr>
      <w:rFonts w:ascii="AngsanaUPC" w:hAnsi="AngsanaUPC" w:cs="AngsanaUPC"/>
      <w:sz w:val="26"/>
      <w:szCs w:val="26"/>
    </w:rPr>
  </w:style>
  <w:style w:type="paragraph" w:styleId="Header">
    <w:name w:val="header"/>
    <w:basedOn w:val="Normal"/>
    <w:link w:val="HeaderChar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locked/>
    <w:rsid w:val="007A4FBB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F1392"/>
  </w:style>
  <w:style w:type="paragraph" w:styleId="Footer">
    <w:name w:val="footer"/>
    <w:basedOn w:val="Normal"/>
    <w:link w:val="FooterChar"/>
    <w:uiPriority w:val="99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9F3CFC"/>
    <w:rPr>
      <w:rFonts w:cs="Cordia New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C03D1"/>
    <w:pPr>
      <w:spacing w:after="120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Char">
    <w:name w:val="Body Text Char"/>
    <w:link w:val="BodyText"/>
    <w:uiPriority w:val="99"/>
    <w:locked/>
    <w:rsid w:val="00D64CAF"/>
    <w:rPr>
      <w:rFonts w:ascii="Times New Roman" w:eastAsia="Times New Roman" w:hAnsi="Times New Roman"/>
      <w:sz w:val="24"/>
      <w:szCs w:val="28"/>
    </w:rPr>
  </w:style>
  <w:style w:type="paragraph" w:styleId="BlockText">
    <w:name w:val="Block Text"/>
    <w:basedOn w:val="Normal"/>
    <w:rsid w:val="009F3CFC"/>
    <w:pPr>
      <w:spacing w:before="240"/>
      <w:ind w:left="547" w:right="749" w:firstLine="1440"/>
      <w:jc w:val="both"/>
    </w:pPr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rsid w:val="009F3CFC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9F3CFC"/>
    <w:rPr>
      <w:rFonts w:ascii="Tahoma" w:eastAsia="Calibri" w:hAnsi="Tahoma"/>
      <w:sz w:val="16"/>
    </w:rPr>
  </w:style>
  <w:style w:type="paragraph" w:styleId="ListParagraph">
    <w:name w:val="List Paragraph"/>
    <w:basedOn w:val="Normal"/>
    <w:link w:val="ListParagraphChar"/>
    <w:uiPriority w:val="99"/>
    <w:qFormat/>
    <w:rsid w:val="009F3CFC"/>
    <w:pPr>
      <w:spacing w:after="200" w:line="276" w:lineRule="auto"/>
      <w:ind w:left="720"/>
      <w:contextualSpacing/>
    </w:pPr>
    <w:rPr>
      <w:rFonts w:eastAsia="Calibri"/>
      <w:szCs w:val="35"/>
    </w:rPr>
  </w:style>
  <w:style w:type="paragraph" w:customStyle="1" w:styleId="Graphic">
    <w:name w:val="Graphic"/>
    <w:basedOn w:val="Signature"/>
    <w:uiPriority w:val="99"/>
    <w:rsid w:val="009F3C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9F3CFC"/>
    <w:pPr>
      <w:spacing w:after="200" w:line="276" w:lineRule="auto"/>
      <w:ind w:left="4252"/>
    </w:pPr>
    <w:rPr>
      <w:rFonts w:eastAsia="Calibri" w:cs="Angsana New"/>
      <w:lang w:val="x-none" w:eastAsia="x-none"/>
    </w:rPr>
  </w:style>
  <w:style w:type="character" w:customStyle="1" w:styleId="SignatureChar">
    <w:name w:val="Signature Char"/>
    <w:link w:val="Signature"/>
    <w:uiPriority w:val="99"/>
    <w:rsid w:val="009F3CFC"/>
    <w:rPr>
      <w:rFonts w:eastAsia="Calibri" w:cs="Cordia New"/>
      <w:sz w:val="28"/>
      <w:szCs w:val="28"/>
    </w:rPr>
  </w:style>
  <w:style w:type="paragraph" w:styleId="Revision">
    <w:name w:val="Revision"/>
    <w:hidden/>
    <w:uiPriority w:val="99"/>
    <w:semiHidden/>
    <w:rsid w:val="009F3CFC"/>
    <w:rPr>
      <w:rFonts w:eastAsia="Calibri" w:cs="Cordia New"/>
      <w:sz w:val="28"/>
      <w:szCs w:val="35"/>
    </w:rPr>
  </w:style>
  <w:style w:type="character" w:styleId="Hyperlink">
    <w:name w:val="Hyperlink"/>
    <w:uiPriority w:val="99"/>
    <w:rsid w:val="00E75395"/>
    <w:rPr>
      <w:color w:val="0000FF"/>
      <w:u w:val="single"/>
    </w:rPr>
  </w:style>
  <w:style w:type="paragraph" w:styleId="BodyText2">
    <w:name w:val="Body Text 2"/>
    <w:basedOn w:val="Normal"/>
    <w:link w:val="BodyText2Char"/>
    <w:rsid w:val="00E75395"/>
    <w:rPr>
      <w:rFonts w:cs="Angsana New"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E75395"/>
    <w:rPr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E75395"/>
    <w:pPr>
      <w:spacing w:after="120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link w:val="BodyText3"/>
    <w:uiPriority w:val="99"/>
    <w:rsid w:val="00E75395"/>
    <w:rPr>
      <w:rFonts w:ascii="Times New Roman" w:eastAsia="Times New Roman" w:hAnsi="Times New Roman"/>
      <w:sz w:val="16"/>
      <w:szCs w:val="18"/>
    </w:rPr>
  </w:style>
  <w:style w:type="paragraph" w:styleId="BodyTextIndent3">
    <w:name w:val="Body Text Indent 3"/>
    <w:basedOn w:val="Normal"/>
    <w:link w:val="BodyTextIndent3Char"/>
    <w:rsid w:val="00E75395"/>
    <w:pPr>
      <w:spacing w:after="120"/>
      <w:ind w:left="283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E75395"/>
    <w:rPr>
      <w:rFonts w:ascii="Times New Roman" w:eastAsia="Times New Roman" w:hAnsi="Times New Roman"/>
      <w:sz w:val="16"/>
      <w:szCs w:val="18"/>
    </w:rPr>
  </w:style>
  <w:style w:type="paragraph" w:styleId="NormalWeb">
    <w:name w:val="Normal (Web)"/>
    <w:basedOn w:val="Normal"/>
    <w:rsid w:val="00E753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paragraph" w:customStyle="1" w:styleId="CharChar">
    <w:name w:val="อักขระ อักขระ Char Char อักขระ อักขระ"/>
    <w:basedOn w:val="Normal"/>
    <w:rsid w:val="00E753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uiPriority w:val="20"/>
    <w:qFormat/>
    <w:rsid w:val="00E7539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5395"/>
  </w:style>
  <w:style w:type="character" w:styleId="Strong">
    <w:name w:val="Strong"/>
    <w:uiPriority w:val="22"/>
    <w:qFormat/>
    <w:rsid w:val="00E75395"/>
    <w:rPr>
      <w:b/>
      <w:bCs/>
    </w:rPr>
  </w:style>
  <w:style w:type="character" w:customStyle="1" w:styleId="style5">
    <w:name w:val="style5"/>
    <w:basedOn w:val="DefaultParagraphFont"/>
    <w:rsid w:val="00E75395"/>
  </w:style>
  <w:style w:type="character" w:customStyle="1" w:styleId="ttag">
    <w:name w:val="t_tag"/>
    <w:basedOn w:val="DefaultParagraphFont"/>
    <w:rsid w:val="00E75395"/>
  </w:style>
  <w:style w:type="paragraph" w:styleId="Title">
    <w:name w:val="Title"/>
    <w:basedOn w:val="Normal"/>
    <w:link w:val="TitleChar"/>
    <w:qFormat/>
    <w:rsid w:val="00E75395"/>
    <w:pPr>
      <w:jc w:val="center"/>
    </w:pPr>
    <w:rPr>
      <w:rFonts w:ascii="Angsana New" w:eastAsia="Times New Roman" w:hAnsi="Angsana New" w:cs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E75395"/>
    <w:rPr>
      <w:rFonts w:ascii="Angsana New" w:eastAsia="Times New Roman" w:hAnsi="Angsana New"/>
      <w:color w:val="000000"/>
      <w:sz w:val="30"/>
      <w:szCs w:val="30"/>
    </w:rPr>
  </w:style>
  <w:style w:type="character" w:customStyle="1" w:styleId="content">
    <w:name w:val="content"/>
    <w:basedOn w:val="DefaultParagraphFont"/>
    <w:rsid w:val="00E75395"/>
  </w:style>
  <w:style w:type="character" w:customStyle="1" w:styleId="apple-converted-space">
    <w:name w:val="apple-converted-space"/>
    <w:basedOn w:val="DefaultParagraphFont"/>
    <w:rsid w:val="00E75395"/>
  </w:style>
  <w:style w:type="numbering" w:customStyle="1" w:styleId="NoList1">
    <w:name w:val="No List1"/>
    <w:next w:val="NoList"/>
    <w:uiPriority w:val="99"/>
    <w:semiHidden/>
    <w:unhideWhenUsed/>
    <w:rsid w:val="00E46E64"/>
  </w:style>
  <w:style w:type="paragraph" w:styleId="Caption">
    <w:name w:val="caption"/>
    <w:basedOn w:val="Normal"/>
    <w:next w:val="Normal"/>
    <w:qFormat/>
    <w:rsid w:val="00E46E64"/>
    <w:pPr>
      <w:spacing w:before="120" w:after="120"/>
      <w:ind w:left="562"/>
      <w:jc w:val="both"/>
    </w:pPr>
    <w:rPr>
      <w:rFonts w:ascii="AngsanaUPC" w:hAnsi="AngsanaUPC" w:cs="AngsanaUPC"/>
      <w:sz w:val="26"/>
      <w:szCs w:val="26"/>
    </w:rPr>
  </w:style>
  <w:style w:type="table" w:styleId="TableGrid">
    <w:name w:val="Table Grid"/>
    <w:basedOn w:val="TableNormal"/>
    <w:uiPriority w:val="99"/>
    <w:rsid w:val="00E46E64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DistnHeader">
    <w:name w:val="zDistnHeader"/>
    <w:basedOn w:val="Normal"/>
    <w:next w:val="Normal"/>
    <w:rsid w:val="00E46E64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Body">
    <w:name w:val="Body"/>
    <w:aliases w:val="by"/>
    <w:basedOn w:val="Normal"/>
    <w:rsid w:val="00E46E64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styleId="CommentReference">
    <w:name w:val="annotation reference"/>
    <w:unhideWhenUsed/>
    <w:rsid w:val="00E46E6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E46E64"/>
    <w:pPr>
      <w:spacing w:after="200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46E64"/>
    <w:rPr>
      <w:rFonts w:eastAsia="Calibri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46E6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46E64"/>
    <w:rPr>
      <w:rFonts w:eastAsia="Calibri"/>
      <w:b/>
      <w:bCs/>
      <w:szCs w:val="25"/>
    </w:rPr>
  </w:style>
  <w:style w:type="numbering" w:customStyle="1" w:styleId="NoList11">
    <w:name w:val="No List11"/>
    <w:next w:val="NoList"/>
    <w:uiPriority w:val="99"/>
    <w:semiHidden/>
    <w:unhideWhenUsed/>
    <w:rsid w:val="00E46E64"/>
  </w:style>
  <w:style w:type="character" w:customStyle="1" w:styleId="ListParagraphChar">
    <w:name w:val="List Paragraph Char"/>
    <w:link w:val="ListParagraph"/>
    <w:uiPriority w:val="34"/>
    <w:rsid w:val="00EF5B7C"/>
    <w:rPr>
      <w:rFonts w:eastAsia="Calibri" w:cs="Cordia New"/>
      <w:sz w:val="28"/>
      <w:szCs w:val="35"/>
    </w:rPr>
  </w:style>
  <w:style w:type="paragraph" w:customStyle="1" w:styleId="Default">
    <w:name w:val="Default"/>
    <w:rsid w:val="005E7B7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5E7B79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exposedshow">
    <w:name w:val="text_exposed_show"/>
    <w:basedOn w:val="DefaultParagraphFont"/>
    <w:rsid w:val="004F5E48"/>
  </w:style>
  <w:style w:type="character" w:customStyle="1" w:styleId="textexposedshow0">
    <w:name w:val="textexposedshow"/>
    <w:basedOn w:val="DefaultParagraphFont"/>
    <w:rsid w:val="004F5E48"/>
  </w:style>
  <w:style w:type="character" w:styleId="FollowedHyperlink">
    <w:name w:val="FollowedHyperlink"/>
    <w:basedOn w:val="DefaultParagraphFont"/>
    <w:uiPriority w:val="99"/>
    <w:unhideWhenUsed/>
    <w:rsid w:val="004F5E48"/>
    <w:rPr>
      <w:color w:val="800080" w:themeColor="followedHyperlink"/>
      <w:u w:val="single"/>
    </w:rPr>
  </w:style>
  <w:style w:type="character" w:customStyle="1" w:styleId="Heading4Char1">
    <w:name w:val="Heading 4 Char1"/>
    <w:aliases w:val="h4 sub sub heading Char1"/>
    <w:basedOn w:val="DefaultParagraphFont"/>
    <w:semiHidden/>
    <w:rsid w:val="004F5E4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Style11pt">
    <w:name w:val="Style 11 pt"/>
    <w:rsid w:val="004F5E48"/>
    <w:rPr>
      <w:rFonts w:ascii="Times New Roman" w:hAnsi="Times New Roman" w:cs="Times New Roman"/>
      <w:sz w:val="22"/>
      <w:szCs w:val="22"/>
      <w:lang w:val="en-US"/>
    </w:rPr>
  </w:style>
  <w:style w:type="paragraph" w:customStyle="1" w:styleId="xmsonormal">
    <w:name w:val="x_msonormal"/>
    <w:basedOn w:val="Normal"/>
    <w:rsid w:val="004F5E48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gmail-msonormal">
    <w:name w:val="gmail-msonormal"/>
    <w:basedOn w:val="Normal"/>
    <w:rsid w:val="004F5E48"/>
    <w:pPr>
      <w:spacing w:before="100" w:beforeAutospacing="1" w:after="100" w:afterAutospacing="1"/>
    </w:pPr>
    <w:rPr>
      <w:rFonts w:ascii="Tahoma" w:eastAsiaTheme="minorHAnsi" w:hAnsi="Tahoma" w:cs="Tahoma"/>
      <w:sz w:val="24"/>
      <w:szCs w:val="24"/>
    </w:rPr>
  </w:style>
  <w:style w:type="character" w:customStyle="1" w:styleId="tgc">
    <w:name w:val="_tgc"/>
    <w:basedOn w:val="DefaultParagraphFont"/>
    <w:rsid w:val="004F5E48"/>
  </w:style>
  <w:style w:type="paragraph" w:styleId="NoSpacing">
    <w:name w:val="No Spacing"/>
    <w:uiPriority w:val="1"/>
    <w:qFormat/>
    <w:rsid w:val="004F5E48"/>
    <w:rPr>
      <w:rFonts w:ascii="Calibri" w:eastAsia="Calibri" w:hAnsi="Calibri" w:cs="Cordia New"/>
      <w:sz w:val="22"/>
      <w:szCs w:val="28"/>
    </w:rPr>
  </w:style>
  <w:style w:type="character" w:customStyle="1" w:styleId="hps">
    <w:name w:val="hps"/>
    <w:basedOn w:val="DefaultParagraphFont"/>
    <w:rsid w:val="004F5E48"/>
  </w:style>
  <w:style w:type="paragraph" w:styleId="ListBullet">
    <w:name w:val="List Bullet"/>
    <w:basedOn w:val="Normal"/>
    <w:uiPriority w:val="24"/>
    <w:qFormat/>
    <w:rsid w:val="004F5E48"/>
    <w:pPr>
      <w:numPr>
        <w:numId w:val="6"/>
      </w:numPr>
      <w:adjustRightInd w:val="0"/>
      <w:spacing w:after="20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2">
    <w:name w:val="List Bullet 2"/>
    <w:basedOn w:val="Normal"/>
    <w:uiPriority w:val="24"/>
    <w:qFormat/>
    <w:rsid w:val="004F5E48"/>
    <w:pPr>
      <w:numPr>
        <w:ilvl w:val="1"/>
        <w:numId w:val="6"/>
      </w:numPr>
      <w:tabs>
        <w:tab w:val="clear" w:pos="2160"/>
        <w:tab w:val="left" w:pos="720"/>
      </w:tabs>
      <w:adjustRightInd w:val="0"/>
      <w:spacing w:after="200"/>
      <w:ind w:left="1800" w:hanging="36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3">
    <w:name w:val="List Bullet 3"/>
    <w:basedOn w:val="Normal"/>
    <w:uiPriority w:val="24"/>
    <w:qFormat/>
    <w:rsid w:val="004F5E48"/>
    <w:pPr>
      <w:numPr>
        <w:ilvl w:val="2"/>
        <w:numId w:val="6"/>
      </w:numPr>
      <w:tabs>
        <w:tab w:val="clear" w:pos="2880"/>
      </w:tabs>
      <w:adjustRightInd w:val="0"/>
      <w:spacing w:after="200"/>
      <w:ind w:left="2520" w:hanging="18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4">
    <w:name w:val="List Bullet 4"/>
    <w:basedOn w:val="Normal"/>
    <w:uiPriority w:val="24"/>
    <w:rsid w:val="004F5E48"/>
    <w:pPr>
      <w:numPr>
        <w:ilvl w:val="3"/>
        <w:numId w:val="6"/>
      </w:numPr>
      <w:tabs>
        <w:tab w:val="clear" w:pos="3600"/>
      </w:tabs>
      <w:adjustRightInd w:val="0"/>
      <w:spacing w:after="200"/>
      <w:ind w:left="3240" w:hanging="36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5">
    <w:name w:val="List Bullet 5"/>
    <w:basedOn w:val="Normal"/>
    <w:uiPriority w:val="24"/>
    <w:rsid w:val="004F5E48"/>
    <w:pPr>
      <w:numPr>
        <w:ilvl w:val="4"/>
        <w:numId w:val="6"/>
      </w:numPr>
      <w:tabs>
        <w:tab w:val="clear" w:pos="4320"/>
      </w:tabs>
      <w:adjustRightInd w:val="0"/>
      <w:spacing w:after="200"/>
      <w:ind w:left="3960" w:hanging="360"/>
    </w:pPr>
    <w:rPr>
      <w:rFonts w:ascii="Times New Roman" w:eastAsia="SimSun" w:hAnsi="Times New Roman" w:cs="Times New Roman"/>
      <w:sz w:val="24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99"/>
    <w:locked/>
    <w:rsid w:val="004F5E48"/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4F5E4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TableNormal"/>
    <w:next w:val="TableGrid"/>
    <w:rsid w:val="004F5E4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D88F1-139A-48B5-8CA2-C2C65A2B5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15</Pages>
  <Words>6627</Words>
  <Characters>26618</Characters>
  <Application>Microsoft Office Word</Application>
  <DocSecurity>0</DocSecurity>
  <Lines>221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12</vt:lpstr>
    </vt:vector>
  </TitlesOfParts>
  <Company/>
  <LinksUpToDate>false</LinksUpToDate>
  <CharactersWithSpaces>33179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subject/>
  <dc:creator>tpbkfa01</dc:creator>
  <cp:keywords/>
  <cp:lastModifiedBy>อ้อยใจนะจ๊ะ</cp:lastModifiedBy>
  <cp:revision>217</cp:revision>
  <cp:lastPrinted>2019-03-25T08:44:00Z</cp:lastPrinted>
  <dcterms:created xsi:type="dcterms:W3CDTF">2017-03-30T05:45:00Z</dcterms:created>
  <dcterms:modified xsi:type="dcterms:W3CDTF">2019-04-12T07:46:00Z</dcterms:modified>
</cp:coreProperties>
</file>