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3BF" w:rsidRDefault="009D2D2F" w:rsidP="009D2D2F">
      <w:pPr>
        <w:pStyle w:val="Footer"/>
        <w:tabs>
          <w:tab w:val="left" w:pos="720"/>
          <w:tab w:val="left" w:pos="2520"/>
          <w:tab w:val="center" w:pos="4680"/>
        </w:tabs>
        <w:rPr>
          <w:rFonts w:ascii="Angsana New" w:hAnsi="Angsana New"/>
          <w:b/>
          <w:bCs/>
          <w:noProof w:val="0"/>
          <w:szCs w:val="28"/>
          <w:lang w:bidi="th-TH"/>
        </w:rPr>
      </w:pPr>
      <w:r>
        <w:rPr>
          <w:rFonts w:ascii="Angsana New" w:hAnsi="Angsana New"/>
          <w:b/>
          <w:bCs/>
          <w:noProof w:val="0"/>
          <w:szCs w:val="28"/>
          <w:lang w:bidi="th-TH"/>
        </w:rPr>
        <w:tab/>
        <w:t xml:space="preserve">  </w:t>
      </w: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sidR="00012C5C">
        <w:rPr>
          <w:rFonts w:ascii="Angsana New" w:hAnsi="Angsana New"/>
          <w:b/>
          <w:bCs/>
          <w:noProof w:val="0"/>
          <w:szCs w:val="28"/>
          <w:lang w:bidi="th-TH"/>
        </w:rPr>
        <w:t>Part 3</w:t>
      </w:r>
    </w:p>
    <w:p w:rsidR="008363BF" w:rsidRDefault="00012C5C" w:rsidP="00012C5C">
      <w:pPr>
        <w:pStyle w:val="Footer"/>
        <w:tabs>
          <w:tab w:val="left" w:pos="720"/>
        </w:tabs>
        <w:jc w:val="center"/>
        <w:rPr>
          <w:rFonts w:ascii="Angsana New" w:hAnsi="Angsana New"/>
          <w:b/>
          <w:bCs/>
          <w:noProof w:val="0"/>
          <w:szCs w:val="28"/>
          <w:lang w:bidi="th-TH"/>
        </w:rPr>
      </w:pPr>
      <w:r>
        <w:rPr>
          <w:rFonts w:ascii="Angsana New" w:hAnsi="Angsana New"/>
          <w:b/>
          <w:bCs/>
          <w:noProof w:val="0"/>
          <w:szCs w:val="28"/>
          <w:lang w:bidi="th-TH"/>
        </w:rPr>
        <w:t>Financial Status and Operation Result</w:t>
      </w:r>
    </w:p>
    <w:p w:rsidR="009D2D2F" w:rsidRDefault="009D2D2F" w:rsidP="00012C5C">
      <w:pPr>
        <w:pStyle w:val="Footer"/>
        <w:tabs>
          <w:tab w:val="left" w:pos="720"/>
        </w:tabs>
        <w:jc w:val="center"/>
        <w:rPr>
          <w:rFonts w:ascii="Angsana New" w:hAnsi="Angsana New"/>
          <w:b/>
          <w:bCs/>
          <w:noProof w:val="0"/>
          <w:szCs w:val="28"/>
          <w:lang w:bidi="th-TH"/>
        </w:rPr>
      </w:pPr>
    </w:p>
    <w:p w:rsidR="008363BF" w:rsidRPr="0022460D" w:rsidRDefault="008363BF" w:rsidP="00F46754">
      <w:pPr>
        <w:rPr>
          <w:rFonts w:ascii="Angsana New" w:hAnsi="Angsana New"/>
          <w:bCs/>
          <w:szCs w:val="28"/>
          <w:cs/>
          <w:lang w:val="th-TH" w:bidi="th-TH"/>
        </w:rPr>
      </w:pPr>
      <w:r w:rsidRPr="00012C5C">
        <w:rPr>
          <w:rFonts w:ascii="Angsana New" w:hAnsi="Angsana New"/>
          <w:b/>
          <w:szCs w:val="28"/>
        </w:rPr>
        <w:t xml:space="preserve"> </w:t>
      </w:r>
      <w:r w:rsidRPr="00012C5C">
        <w:rPr>
          <w:rFonts w:ascii="Angsana New" w:hAnsi="Angsana New"/>
          <w:b/>
          <w:noProof w:val="0"/>
          <w:szCs w:val="28"/>
        </w:rPr>
        <w:t xml:space="preserve">      </w:t>
      </w:r>
      <w:r w:rsidRPr="0022460D">
        <w:rPr>
          <w:rFonts w:ascii="Angsana New" w:hAnsi="Angsana New"/>
          <w:b/>
          <w:bCs/>
          <w:noProof w:val="0"/>
          <w:szCs w:val="28"/>
          <w:cs/>
          <w:lang w:val="th-TH" w:bidi="th-TH"/>
        </w:rPr>
        <w:t>1</w:t>
      </w:r>
      <w:r>
        <w:rPr>
          <w:rFonts w:ascii="Angsana New" w:hAnsi="Angsana New" w:hint="cs"/>
          <w:b/>
          <w:noProof w:val="0"/>
          <w:szCs w:val="28"/>
          <w:cs/>
          <w:lang w:val="th-TH" w:bidi="th-TH"/>
        </w:rPr>
        <w:t>3</w:t>
      </w:r>
      <w:r>
        <w:rPr>
          <w:rFonts w:ascii="Angsana New" w:hAnsi="Angsana New"/>
          <w:b/>
          <w:noProof w:val="0"/>
          <w:szCs w:val="28"/>
        </w:rPr>
        <w:t>.</w:t>
      </w:r>
      <w:r w:rsidRPr="0022460D">
        <w:rPr>
          <w:rFonts w:ascii="Angsana New" w:hAnsi="Angsana New"/>
          <w:b/>
          <w:bCs/>
          <w:noProof w:val="0"/>
          <w:szCs w:val="28"/>
          <w:cs/>
          <w:lang w:val="th-TH" w:bidi="th-TH"/>
        </w:rPr>
        <w:t xml:space="preserve">   </w:t>
      </w:r>
      <w:r w:rsidR="00012C5C">
        <w:rPr>
          <w:rFonts w:ascii="Angsana New" w:hAnsi="Angsana New"/>
          <w:b/>
          <w:noProof w:val="0"/>
          <w:szCs w:val="28"/>
        </w:rPr>
        <w:t>Important Financial Data</w:t>
      </w:r>
      <w:r w:rsidRPr="0022460D">
        <w:rPr>
          <w:rFonts w:ascii="Angsana New" w:hAnsi="Angsana New"/>
          <w:szCs w:val="28"/>
          <w:cs/>
          <w:lang w:val="th-TH" w:bidi="th-TH"/>
        </w:rPr>
        <w:t xml:space="preserve"> </w:t>
      </w:r>
      <w:r w:rsidRPr="0022460D">
        <w:rPr>
          <w:rFonts w:ascii="Angsana New" w:hAnsi="Angsana New"/>
          <w:noProof w:val="0"/>
          <w:szCs w:val="28"/>
          <w:cs/>
          <w:lang w:val="th-TH" w:bidi="th-TH"/>
        </w:rPr>
        <w:t xml:space="preserve">            </w:t>
      </w:r>
      <w:r w:rsidRPr="0022460D">
        <w:rPr>
          <w:rFonts w:ascii="Angsana New" w:hAnsi="Angsana New"/>
          <w:szCs w:val="28"/>
          <w:cs/>
          <w:lang w:val="th-TH" w:bidi="th-TH"/>
        </w:rPr>
        <w:t xml:space="preserve">    </w:t>
      </w:r>
    </w:p>
    <w:p w:rsidR="00C6230B" w:rsidRDefault="008363BF" w:rsidP="008363BF">
      <w:pPr>
        <w:tabs>
          <w:tab w:val="left" w:pos="1440"/>
          <w:tab w:val="left" w:pos="2160"/>
          <w:tab w:val="left" w:pos="2880"/>
          <w:tab w:val="left" w:pos="6660"/>
        </w:tabs>
        <w:ind w:left="2160" w:hanging="2160"/>
        <w:jc w:val="both"/>
        <w:rPr>
          <w:rFonts w:ascii="Angsana New" w:hAnsi="Angsana New"/>
          <w:szCs w:val="28"/>
          <w:cs/>
          <w:lang w:val="th-TH" w:bidi="th-TH"/>
        </w:rPr>
      </w:pPr>
      <w:r>
        <w:rPr>
          <w:rFonts w:ascii="Angsana New" w:hAnsi="Angsana New"/>
          <w:szCs w:val="28"/>
          <w:cs/>
          <w:lang w:val="th-TH" w:bidi="th-TH"/>
        </w:rPr>
        <w:t xml:space="preserve">               </w:t>
      </w:r>
      <w:r w:rsidR="00012C5C">
        <w:rPr>
          <w:rFonts w:ascii="Angsana New" w:hAnsi="Angsana New"/>
          <w:szCs w:val="28"/>
        </w:rPr>
        <w:t>F</w:t>
      </w:r>
      <w:bookmarkStart w:id="0" w:name="OLE_LINK7"/>
      <w:r w:rsidR="00012C5C">
        <w:rPr>
          <w:rFonts w:ascii="Angsana New" w:hAnsi="Angsana New"/>
          <w:szCs w:val="28"/>
        </w:rPr>
        <w:t>inancial Status and Operation Result</w:t>
      </w:r>
    </w:p>
    <w:p w:rsidR="009D2D2F" w:rsidRDefault="009D2D2F" w:rsidP="008363BF">
      <w:pPr>
        <w:tabs>
          <w:tab w:val="left" w:pos="1440"/>
          <w:tab w:val="left" w:pos="2160"/>
          <w:tab w:val="left" w:pos="2880"/>
          <w:tab w:val="left" w:pos="6660"/>
        </w:tabs>
        <w:ind w:left="2160" w:hanging="2160"/>
        <w:jc w:val="both"/>
        <w:rPr>
          <w:rFonts w:ascii="Angsana New" w:hAnsi="Angsana New"/>
          <w:szCs w:val="28"/>
          <w:cs/>
          <w:lang w:val="th-TH" w:bidi="th-TH"/>
        </w:rPr>
      </w:pPr>
    </w:p>
    <w:tbl>
      <w:tblPr>
        <w:tblW w:w="10539" w:type="dxa"/>
        <w:tblInd w:w="95" w:type="dxa"/>
        <w:tblLook w:val="04A0"/>
      </w:tblPr>
      <w:tblGrid>
        <w:gridCol w:w="3660"/>
        <w:gridCol w:w="39"/>
        <w:gridCol w:w="1156"/>
        <w:gridCol w:w="39"/>
        <w:gridCol w:w="1046"/>
        <w:gridCol w:w="39"/>
        <w:gridCol w:w="1156"/>
        <w:gridCol w:w="39"/>
        <w:gridCol w:w="1046"/>
        <w:gridCol w:w="39"/>
        <w:gridCol w:w="1156"/>
        <w:gridCol w:w="39"/>
        <w:gridCol w:w="1046"/>
        <w:gridCol w:w="39"/>
      </w:tblGrid>
      <w:tr w:rsidR="001C159B" w:rsidRPr="009E0147" w:rsidTr="009E0147">
        <w:trPr>
          <w:gridAfter w:val="1"/>
          <w:wAfter w:w="39" w:type="dxa"/>
          <w:trHeight w:val="420"/>
        </w:trPr>
        <w:tc>
          <w:tcPr>
            <w:tcW w:w="3660" w:type="dxa"/>
            <w:tcBorders>
              <w:top w:val="nil"/>
              <w:left w:val="nil"/>
              <w:bottom w:val="nil"/>
              <w:right w:val="nil"/>
            </w:tcBorders>
            <w:shd w:val="clear" w:color="auto" w:fill="auto"/>
            <w:noWrap/>
            <w:vAlign w:val="bottom"/>
            <w:hideMark/>
          </w:tcPr>
          <w:p w:rsidR="001C159B" w:rsidRPr="009E0147" w:rsidRDefault="001C159B" w:rsidP="001C159B">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Statements of Financial Position</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p>
        </w:tc>
        <w:tc>
          <w:tcPr>
            <w:tcW w:w="1085" w:type="dxa"/>
            <w:gridSpan w:val="2"/>
            <w:tcBorders>
              <w:top w:val="nil"/>
              <w:left w:val="nil"/>
              <w:bottom w:val="nil"/>
              <w:right w:val="nil"/>
            </w:tcBorders>
            <w:shd w:val="clear" w:color="auto" w:fill="auto"/>
            <w:noWrap/>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p>
        </w:tc>
        <w:tc>
          <w:tcPr>
            <w:tcW w:w="1085" w:type="dxa"/>
            <w:gridSpan w:val="2"/>
            <w:tcBorders>
              <w:top w:val="nil"/>
              <w:left w:val="nil"/>
              <w:bottom w:val="nil"/>
              <w:right w:val="nil"/>
            </w:tcBorders>
            <w:shd w:val="clear" w:color="auto" w:fill="auto"/>
            <w:noWrap/>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p>
        </w:tc>
        <w:tc>
          <w:tcPr>
            <w:tcW w:w="2280" w:type="dxa"/>
            <w:gridSpan w:val="4"/>
            <w:tcBorders>
              <w:top w:val="nil"/>
              <w:left w:val="nil"/>
              <w:bottom w:val="single" w:sz="8" w:space="0" w:color="auto"/>
              <w:right w:val="nil"/>
            </w:tcBorders>
            <w:shd w:val="clear" w:color="auto" w:fill="auto"/>
            <w:noWrap/>
            <w:vAlign w:val="bottom"/>
            <w:hideMark/>
          </w:tcPr>
          <w:p w:rsidR="001C159B" w:rsidRPr="009E0147" w:rsidRDefault="001C159B" w:rsidP="001C159B">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(Unit : Thousand  Baht)</w:t>
            </w:r>
          </w:p>
        </w:tc>
      </w:tr>
      <w:tr w:rsidR="001C159B" w:rsidRPr="009E0147" w:rsidTr="009E0147">
        <w:trPr>
          <w:gridAfter w:val="1"/>
          <w:wAfter w:w="39" w:type="dxa"/>
          <w:trHeight w:val="360"/>
        </w:trPr>
        <w:tc>
          <w:tcPr>
            <w:tcW w:w="3660" w:type="dxa"/>
            <w:tcBorders>
              <w:top w:val="single" w:sz="8" w:space="0" w:color="auto"/>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 </w:t>
            </w:r>
          </w:p>
        </w:tc>
        <w:tc>
          <w:tcPr>
            <w:tcW w:w="1195"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2557</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c>
          <w:tcPr>
            <w:tcW w:w="1195" w:type="dxa"/>
            <w:gridSpan w:val="2"/>
            <w:tcBorders>
              <w:top w:val="single" w:sz="8" w:space="0" w:color="auto"/>
              <w:left w:val="nil"/>
              <w:bottom w:val="single" w:sz="8" w:space="0" w:color="auto"/>
              <w:right w:val="nil"/>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2558</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c>
          <w:tcPr>
            <w:tcW w:w="1195" w:type="dxa"/>
            <w:gridSpan w:val="2"/>
            <w:tcBorders>
              <w:top w:val="nil"/>
              <w:left w:val="nil"/>
              <w:bottom w:val="single" w:sz="8" w:space="0" w:color="auto"/>
              <w:right w:val="nil"/>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2559</w:t>
            </w:r>
          </w:p>
        </w:tc>
        <w:tc>
          <w:tcPr>
            <w:tcW w:w="1085" w:type="dxa"/>
            <w:gridSpan w:val="2"/>
            <w:tcBorders>
              <w:top w:val="nil"/>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1C159B">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r>
      <w:tr w:rsidR="001C159B" w:rsidRPr="009E0147" w:rsidTr="009E0147">
        <w:trPr>
          <w:gridAfter w:val="1"/>
          <w:wAfter w:w="39" w:type="dxa"/>
          <w:trHeight w:val="348"/>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Cash and cash equivalents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143,698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326,834</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228,895</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4.70%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Accrued investment income</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19,954</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7,840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6,811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Premium receivables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339,407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7.80%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426,054</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373,438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7.70%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F17DD8"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Reinsurance assets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405,314</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9.4%</w:t>
            </w:r>
          </w:p>
        </w:tc>
        <w:tc>
          <w:tcPr>
            <w:tcW w:w="1195" w:type="dxa"/>
            <w:gridSpan w:val="2"/>
            <w:tcBorders>
              <w:top w:val="nil"/>
              <w:left w:val="nil"/>
              <w:bottom w:val="nil"/>
              <w:right w:val="nil"/>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418,192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9.1%</w:t>
            </w:r>
          </w:p>
        </w:tc>
        <w:tc>
          <w:tcPr>
            <w:tcW w:w="1195" w:type="dxa"/>
            <w:gridSpan w:val="2"/>
            <w:tcBorders>
              <w:top w:val="nil"/>
              <w:left w:val="nil"/>
              <w:bottom w:val="nil"/>
              <w:right w:val="nil"/>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514,900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10.6%</w:t>
            </w:r>
          </w:p>
        </w:tc>
      </w:tr>
      <w:tr w:rsidR="00F17DD8"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F17DD8" w:rsidRPr="009E0147" w:rsidRDefault="00F17DD8"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Reinsurance from receivables contracts</w:t>
            </w:r>
          </w:p>
        </w:tc>
        <w:tc>
          <w:tcPr>
            <w:tcW w:w="1195" w:type="dxa"/>
            <w:gridSpan w:val="2"/>
            <w:tcBorders>
              <w:top w:val="nil"/>
              <w:left w:val="single" w:sz="8" w:space="0" w:color="auto"/>
              <w:bottom w:val="nil"/>
              <w:right w:val="nil"/>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38,077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w:t>
            </w:r>
          </w:p>
        </w:tc>
        <w:tc>
          <w:tcPr>
            <w:tcW w:w="1195" w:type="dxa"/>
            <w:gridSpan w:val="2"/>
            <w:tcBorders>
              <w:top w:val="nil"/>
              <w:left w:val="nil"/>
              <w:bottom w:val="nil"/>
              <w:right w:val="nil"/>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65,857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1.4%</w:t>
            </w:r>
          </w:p>
        </w:tc>
        <w:tc>
          <w:tcPr>
            <w:tcW w:w="1195" w:type="dxa"/>
            <w:gridSpan w:val="2"/>
            <w:tcBorders>
              <w:top w:val="nil"/>
              <w:left w:val="nil"/>
              <w:bottom w:val="nil"/>
              <w:right w:val="nil"/>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19,113</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F17DD8" w:rsidRPr="009E0147" w:rsidRDefault="00F17DD8" w:rsidP="002335E4">
            <w:pPr>
              <w:jc w:val="right"/>
              <w:rPr>
                <w:rFonts w:asciiTheme="majorBidi" w:eastAsia="Times New Roman" w:hAnsiTheme="majorBidi" w:cstheme="majorBidi"/>
                <w:noProof w:val="0"/>
                <w:szCs w:val="28"/>
                <w:cs/>
                <w:lang w:bidi="th-TH"/>
              </w:rPr>
            </w:pPr>
            <w:r w:rsidRPr="009E0147">
              <w:rPr>
                <w:rFonts w:asciiTheme="majorBidi" w:eastAsia="Times New Roman" w:hAnsiTheme="majorBidi" w:cstheme="majorBidi"/>
                <w:noProof w:val="0"/>
                <w:szCs w:val="28"/>
                <w:lang w:bidi="th-TH"/>
              </w:rPr>
              <w:t>0.4%</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Investment assets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Investment in securities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Trading securities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189,449</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4.40%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257,922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5.60%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255,051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5.20%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Available-for-sale investments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932,478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21.50%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1,847,235</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1,967,182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40.50%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Held-to-maturity investments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1,329,482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30.70%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397,681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8.70%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475,</w:t>
            </w:r>
            <w:r w:rsidR="00341D9E" w:rsidRPr="009E0147">
              <w:rPr>
                <w:rFonts w:asciiTheme="majorBidi" w:eastAsia="Times New Roman" w:hAnsiTheme="majorBidi" w:cstheme="majorBidi"/>
                <w:noProof w:val="0"/>
                <w:szCs w:val="28"/>
                <w:lang w:bidi="th-TH"/>
              </w:rPr>
              <w:t>368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9.80%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Other investments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3,721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3,721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3,721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Loans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10,971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7,996</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7,381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Property, buildings, equipments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241,402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5.60%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277,547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6.00%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288,056</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5.90%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Intangible assets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9,181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8,772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7,381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0.20%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Deferred tax assets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47,696</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73,276</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1.60%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80,928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1.70%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Other assets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619,018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14.30%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471,017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10.30%</w:t>
            </w:r>
          </w:p>
        </w:tc>
        <w:tc>
          <w:tcPr>
            <w:tcW w:w="1195" w:type="dxa"/>
            <w:gridSpan w:val="2"/>
            <w:tcBorders>
              <w:top w:val="nil"/>
              <w:left w:val="nil"/>
              <w:bottom w:val="nil"/>
              <w:right w:val="nil"/>
            </w:tcBorders>
            <w:shd w:val="clear" w:color="auto" w:fill="auto"/>
            <w:noWrap/>
            <w:vAlign w:val="bottom"/>
            <w:hideMark/>
          </w:tcPr>
          <w:p w:rsidR="001C159B" w:rsidRPr="009E0147" w:rsidRDefault="00341D9E"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625,46</w:t>
            </w:r>
            <w:r w:rsidR="001C159B" w:rsidRPr="009E0147">
              <w:rPr>
                <w:rFonts w:asciiTheme="majorBidi" w:eastAsia="Times New Roman" w:hAnsiTheme="majorBidi" w:cstheme="majorBidi"/>
                <w:noProof w:val="0"/>
                <w:szCs w:val="28"/>
                <w:lang w:bidi="th-TH"/>
              </w:rPr>
              <w:t>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12.90%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Total assets</w:t>
            </w:r>
          </w:p>
        </w:tc>
        <w:tc>
          <w:tcPr>
            <w:tcW w:w="1195"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4,329,848</w:t>
            </w:r>
          </w:p>
        </w:tc>
        <w:tc>
          <w:tcPr>
            <w:tcW w:w="1085" w:type="dxa"/>
            <w:gridSpan w:val="2"/>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1C159B" w:rsidRPr="009E0147" w:rsidRDefault="00A775F2"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w:t>
            </w:r>
            <w:r w:rsidR="002335E4" w:rsidRPr="009E0147">
              <w:rPr>
                <w:rFonts w:asciiTheme="majorBidi" w:eastAsia="Times New Roman" w:hAnsiTheme="majorBidi" w:cstheme="majorBidi"/>
                <w:b/>
                <w:bCs/>
                <w:noProof w:val="0"/>
                <w:szCs w:val="28"/>
                <w:lang w:bidi="th-TH"/>
              </w:rPr>
              <w:t>.00</w:t>
            </w:r>
            <w:r w:rsidR="001C159B" w:rsidRPr="009E0147">
              <w:rPr>
                <w:rFonts w:asciiTheme="majorBidi" w:eastAsia="Times New Roman" w:hAnsiTheme="majorBidi" w:cstheme="majorBidi"/>
                <w:b/>
                <w:bCs/>
                <w:noProof w:val="0"/>
                <w:szCs w:val="28"/>
                <w:lang w:bidi="th-TH"/>
              </w:rPr>
              <w:t>%</w:t>
            </w:r>
          </w:p>
        </w:tc>
        <w:tc>
          <w:tcPr>
            <w:tcW w:w="1195" w:type="dxa"/>
            <w:gridSpan w:val="2"/>
            <w:tcBorders>
              <w:top w:val="single" w:sz="8" w:space="0" w:color="auto"/>
              <w:left w:val="nil"/>
              <w:bottom w:val="double" w:sz="6"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4,589,944</w:t>
            </w:r>
          </w:p>
        </w:tc>
        <w:tc>
          <w:tcPr>
            <w:tcW w:w="1085" w:type="dxa"/>
            <w:gridSpan w:val="2"/>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w:t>
            </w:r>
            <w:r w:rsidR="002335E4" w:rsidRPr="009E0147">
              <w:rPr>
                <w:rFonts w:asciiTheme="majorBidi" w:eastAsia="Times New Roman" w:hAnsiTheme="majorBidi" w:cstheme="majorBidi"/>
                <w:b/>
                <w:bCs/>
                <w:noProof w:val="0"/>
                <w:szCs w:val="28"/>
                <w:lang w:bidi="th-TH"/>
              </w:rPr>
              <w:t>.00</w:t>
            </w:r>
            <w:r w:rsidRPr="009E0147">
              <w:rPr>
                <w:rFonts w:asciiTheme="majorBidi" w:eastAsia="Times New Roman" w:hAnsiTheme="majorBidi" w:cstheme="majorBidi"/>
                <w:b/>
                <w:bCs/>
                <w:noProof w:val="0"/>
                <w:szCs w:val="28"/>
                <w:lang w:bidi="th-TH"/>
              </w:rPr>
              <w:t>%</w:t>
            </w:r>
          </w:p>
        </w:tc>
        <w:tc>
          <w:tcPr>
            <w:tcW w:w="1195" w:type="dxa"/>
            <w:gridSpan w:val="2"/>
            <w:tcBorders>
              <w:top w:val="single" w:sz="8" w:space="0" w:color="auto"/>
              <w:left w:val="nil"/>
              <w:bottom w:val="double" w:sz="6"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4,853,687</w:t>
            </w:r>
          </w:p>
        </w:tc>
        <w:tc>
          <w:tcPr>
            <w:tcW w:w="1085" w:type="dxa"/>
            <w:gridSpan w:val="2"/>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1C159B" w:rsidRPr="009E0147" w:rsidRDefault="00A775F2"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w:t>
            </w:r>
            <w:r w:rsidR="002335E4" w:rsidRPr="009E0147">
              <w:rPr>
                <w:rFonts w:asciiTheme="majorBidi" w:eastAsia="Times New Roman" w:hAnsiTheme="majorBidi" w:cstheme="majorBidi"/>
                <w:b/>
                <w:bCs/>
                <w:noProof w:val="0"/>
                <w:szCs w:val="28"/>
                <w:lang w:bidi="th-TH"/>
              </w:rPr>
              <w:t>.00</w:t>
            </w:r>
            <w:r w:rsidR="001C159B" w:rsidRPr="009E0147">
              <w:rPr>
                <w:rFonts w:asciiTheme="majorBidi" w:eastAsia="Times New Roman" w:hAnsiTheme="majorBidi" w:cstheme="majorBidi"/>
                <w:b/>
                <w:bCs/>
                <w:noProof w:val="0"/>
                <w:szCs w:val="28"/>
                <w:lang w:bidi="th-TH"/>
              </w:rPr>
              <w:t>%</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Income tax payable</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4,051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178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Due to reinsurers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353,762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8.20%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358,657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7.80%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480,105</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9.90%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Insurance contract liabilities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Loss reserves and outstanding claim</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842,492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19.50%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907,610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19.80%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1,000,058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20.60%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Premium reserve</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1,462,720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33.80%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1,574,100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34.30%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1,576,082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32.50%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Employee benefit obligations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135,801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3.10%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105,557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109,931</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Other liabilities</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429,720</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9.90%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549,248</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12.00%</w:t>
            </w:r>
          </w:p>
        </w:tc>
        <w:tc>
          <w:tcPr>
            <w:tcW w:w="1195" w:type="dxa"/>
            <w:gridSpan w:val="2"/>
            <w:tcBorders>
              <w:top w:val="nil"/>
              <w:left w:val="nil"/>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582,756</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12.00%</w:t>
            </w:r>
          </w:p>
        </w:tc>
      </w:tr>
      <w:tr w:rsidR="001C159B" w:rsidRPr="009E0147" w:rsidTr="009E0147">
        <w:trPr>
          <w:gridAfter w:val="1"/>
          <w:wAfter w:w="39" w:type="dxa"/>
          <w:trHeight w:val="396"/>
        </w:trPr>
        <w:tc>
          <w:tcPr>
            <w:tcW w:w="3660" w:type="dxa"/>
            <w:tcBorders>
              <w:top w:val="nil"/>
              <w:left w:val="single" w:sz="8" w:space="0" w:color="auto"/>
              <w:bottom w:val="nil"/>
              <w:right w:val="nil"/>
            </w:tcBorders>
            <w:shd w:val="clear" w:color="auto" w:fill="auto"/>
            <w:vAlign w:val="bottom"/>
            <w:hideMark/>
          </w:tcPr>
          <w:p w:rsidR="001C159B" w:rsidRPr="009E0147" w:rsidRDefault="001C159B" w:rsidP="001C159B">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Equity</w:t>
            </w:r>
          </w:p>
        </w:tc>
        <w:tc>
          <w:tcPr>
            <w:tcW w:w="1195" w:type="dxa"/>
            <w:gridSpan w:val="2"/>
            <w:tcBorders>
              <w:top w:val="nil"/>
              <w:left w:val="single" w:sz="8" w:space="0" w:color="auto"/>
              <w:bottom w:val="nil"/>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1,101,302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25.40%</w:t>
            </w:r>
          </w:p>
        </w:tc>
        <w:tc>
          <w:tcPr>
            <w:tcW w:w="1195" w:type="dxa"/>
            <w:gridSpan w:val="2"/>
            <w:tcBorders>
              <w:top w:val="nil"/>
              <w:left w:val="nil"/>
              <w:bottom w:val="single" w:sz="8" w:space="0" w:color="auto"/>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1,094,772</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23.80%</w:t>
            </w:r>
          </w:p>
        </w:tc>
        <w:tc>
          <w:tcPr>
            <w:tcW w:w="1195" w:type="dxa"/>
            <w:gridSpan w:val="2"/>
            <w:tcBorders>
              <w:top w:val="nil"/>
              <w:left w:val="nil"/>
              <w:bottom w:val="single" w:sz="8" w:space="0" w:color="auto"/>
              <w:right w:val="nil"/>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1,104,577</w:t>
            </w:r>
          </w:p>
        </w:tc>
        <w:tc>
          <w:tcPr>
            <w:tcW w:w="1085" w:type="dxa"/>
            <w:gridSpan w:val="2"/>
            <w:tcBorders>
              <w:top w:val="nil"/>
              <w:left w:val="single" w:sz="8" w:space="0" w:color="auto"/>
              <w:bottom w:val="nil"/>
              <w:right w:val="single" w:sz="8" w:space="0" w:color="auto"/>
            </w:tcBorders>
            <w:shd w:val="clear" w:color="auto" w:fill="auto"/>
            <w:noWrap/>
            <w:vAlign w:val="bottom"/>
            <w:hideMark/>
          </w:tcPr>
          <w:p w:rsidR="001C159B" w:rsidRPr="009E0147" w:rsidRDefault="001C159B" w:rsidP="002335E4">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22.70%</w:t>
            </w:r>
          </w:p>
        </w:tc>
      </w:tr>
      <w:tr w:rsidR="001C159B" w:rsidRPr="009E0147" w:rsidTr="009E0147">
        <w:trPr>
          <w:gridAfter w:val="1"/>
          <w:wAfter w:w="39" w:type="dxa"/>
          <w:trHeight w:val="396"/>
        </w:trPr>
        <w:tc>
          <w:tcPr>
            <w:tcW w:w="3660" w:type="dxa"/>
            <w:tcBorders>
              <w:top w:val="nil"/>
              <w:left w:val="single" w:sz="8" w:space="0" w:color="auto"/>
              <w:bottom w:val="single" w:sz="8" w:space="0" w:color="auto"/>
              <w:right w:val="nil"/>
            </w:tcBorders>
            <w:shd w:val="clear" w:color="auto" w:fill="auto"/>
            <w:vAlign w:val="bottom"/>
            <w:hideMark/>
          </w:tcPr>
          <w:p w:rsidR="001C159B" w:rsidRPr="009E0147" w:rsidRDefault="001C159B" w:rsidP="001C159B">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Total liabilities and equity</w:t>
            </w:r>
          </w:p>
        </w:tc>
        <w:tc>
          <w:tcPr>
            <w:tcW w:w="1195"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4,329,848</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100.00%</w:t>
            </w:r>
          </w:p>
        </w:tc>
        <w:tc>
          <w:tcPr>
            <w:tcW w:w="1195" w:type="dxa"/>
            <w:gridSpan w:val="2"/>
            <w:tcBorders>
              <w:top w:val="nil"/>
              <w:left w:val="nil"/>
              <w:bottom w:val="single" w:sz="8"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4,589,944</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100.00%</w:t>
            </w:r>
          </w:p>
        </w:tc>
        <w:tc>
          <w:tcPr>
            <w:tcW w:w="1195" w:type="dxa"/>
            <w:gridSpan w:val="2"/>
            <w:tcBorders>
              <w:top w:val="nil"/>
              <w:left w:val="nil"/>
              <w:bottom w:val="single" w:sz="8" w:space="0" w:color="auto"/>
              <w:right w:val="nil"/>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4,853,687</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C159B" w:rsidRPr="009E0147" w:rsidRDefault="001C159B" w:rsidP="002335E4">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100.00%</w:t>
            </w:r>
          </w:p>
        </w:tc>
      </w:tr>
      <w:tr w:rsidR="00FB1D0E" w:rsidRPr="009E0147" w:rsidTr="009E0147">
        <w:trPr>
          <w:trHeight w:val="540"/>
        </w:trPr>
        <w:tc>
          <w:tcPr>
            <w:tcW w:w="4894" w:type="dxa"/>
            <w:gridSpan w:val="4"/>
            <w:tcBorders>
              <w:top w:val="nil"/>
              <w:left w:val="nil"/>
              <w:bottom w:val="single" w:sz="8" w:space="0" w:color="auto"/>
              <w:right w:val="nil"/>
            </w:tcBorders>
            <w:shd w:val="clear" w:color="auto" w:fill="auto"/>
            <w:noWrap/>
            <w:vAlign w:val="bottom"/>
            <w:hideMark/>
          </w:tcPr>
          <w:p w:rsidR="0012191A" w:rsidRPr="009E0147" w:rsidRDefault="0012191A" w:rsidP="00FB1D0E">
            <w:pPr>
              <w:rPr>
                <w:rFonts w:asciiTheme="majorBidi" w:eastAsia="Times New Roman" w:hAnsiTheme="majorBidi" w:cstheme="majorBidi"/>
                <w:b/>
                <w:bCs/>
                <w:noProof w:val="0"/>
                <w:color w:val="000000"/>
                <w:szCs w:val="28"/>
              </w:rPr>
            </w:pPr>
          </w:p>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Statements of Comprehensive Income</w:t>
            </w:r>
          </w:p>
        </w:tc>
        <w:tc>
          <w:tcPr>
            <w:tcW w:w="1085" w:type="dxa"/>
            <w:gridSpan w:val="2"/>
            <w:tcBorders>
              <w:top w:val="nil"/>
              <w:left w:val="nil"/>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p>
        </w:tc>
        <w:tc>
          <w:tcPr>
            <w:tcW w:w="1195" w:type="dxa"/>
            <w:gridSpan w:val="2"/>
            <w:tcBorders>
              <w:top w:val="nil"/>
              <w:left w:val="nil"/>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p>
        </w:tc>
        <w:tc>
          <w:tcPr>
            <w:tcW w:w="1085" w:type="dxa"/>
            <w:gridSpan w:val="2"/>
            <w:tcBorders>
              <w:top w:val="nil"/>
              <w:left w:val="nil"/>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p>
        </w:tc>
        <w:tc>
          <w:tcPr>
            <w:tcW w:w="2280" w:type="dxa"/>
            <w:gridSpan w:val="4"/>
            <w:tcBorders>
              <w:top w:val="nil"/>
              <w:left w:val="nil"/>
              <w:bottom w:val="single" w:sz="8" w:space="0" w:color="auto"/>
              <w:right w:val="nil"/>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(Unit : Thousand)</w:t>
            </w:r>
          </w:p>
        </w:tc>
      </w:tr>
      <w:tr w:rsidR="00FB1D0E" w:rsidRPr="009E0147" w:rsidTr="009E0147">
        <w:trPr>
          <w:trHeight w:val="277"/>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 </w:t>
            </w:r>
          </w:p>
        </w:tc>
        <w:tc>
          <w:tcPr>
            <w:tcW w:w="1195" w:type="dxa"/>
            <w:gridSpan w:val="2"/>
            <w:tcBorders>
              <w:top w:val="nil"/>
              <w:left w:val="single" w:sz="8" w:space="0" w:color="auto"/>
              <w:bottom w:val="single" w:sz="8" w:space="0" w:color="auto"/>
              <w:right w:val="nil"/>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2557</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c>
          <w:tcPr>
            <w:tcW w:w="1195" w:type="dxa"/>
            <w:gridSpan w:val="2"/>
            <w:tcBorders>
              <w:top w:val="single" w:sz="8" w:space="0" w:color="auto"/>
              <w:left w:val="nil"/>
              <w:bottom w:val="single" w:sz="8" w:space="0" w:color="auto"/>
              <w:right w:val="nil"/>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2558</w:t>
            </w:r>
          </w:p>
        </w:tc>
        <w:tc>
          <w:tcPr>
            <w:tcW w:w="108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c>
          <w:tcPr>
            <w:tcW w:w="1195" w:type="dxa"/>
            <w:gridSpan w:val="2"/>
            <w:tcBorders>
              <w:top w:val="nil"/>
              <w:left w:val="nil"/>
              <w:bottom w:val="single" w:sz="8" w:space="0" w:color="auto"/>
              <w:right w:val="nil"/>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2559</w:t>
            </w:r>
          </w:p>
        </w:tc>
        <w:tc>
          <w:tcPr>
            <w:tcW w:w="1085" w:type="dxa"/>
            <w:gridSpan w:val="2"/>
            <w:tcBorders>
              <w:top w:val="nil"/>
              <w:left w:val="single" w:sz="8" w:space="0" w:color="auto"/>
              <w:bottom w:val="single" w:sz="8" w:space="0" w:color="auto"/>
              <w:right w:val="single" w:sz="8" w:space="0" w:color="auto"/>
            </w:tcBorders>
            <w:shd w:val="clear" w:color="000000" w:fill="FFFFFF"/>
            <w:noWrap/>
            <w:vAlign w:val="bottom"/>
            <w:hideMark/>
          </w:tcPr>
          <w:p w:rsidR="00FB1D0E" w:rsidRPr="009E0147" w:rsidRDefault="00FB1D0E" w:rsidP="00FB1D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p>
        </w:tc>
      </w:tr>
      <w:tr w:rsidR="00FB1D0E" w:rsidRPr="009E0147" w:rsidTr="009E0147">
        <w:trPr>
          <w:trHeight w:val="252"/>
        </w:trPr>
        <w:tc>
          <w:tcPr>
            <w:tcW w:w="3699" w:type="dxa"/>
            <w:gridSpan w:val="2"/>
            <w:tcBorders>
              <w:top w:val="nil"/>
              <w:left w:val="single" w:sz="8" w:space="0" w:color="auto"/>
              <w:bottom w:val="nil"/>
              <w:right w:val="nil"/>
            </w:tcBorders>
            <w:shd w:val="clear" w:color="000000" w:fill="FFFFFF"/>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Income</w:t>
            </w:r>
          </w:p>
        </w:tc>
        <w:tc>
          <w:tcPr>
            <w:tcW w:w="1195" w:type="dxa"/>
            <w:gridSpan w:val="2"/>
            <w:tcBorders>
              <w:top w:val="nil"/>
              <w:left w:val="single" w:sz="8" w:space="0" w:color="auto"/>
              <w:bottom w:val="nil"/>
              <w:right w:val="nil"/>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nil"/>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single" w:sz="8" w:space="0" w:color="auto"/>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Net earned premium</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2,232,673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90.40%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2,307,473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91.30%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2,462,076</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91.00%</w:t>
            </w: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Fee and commission income</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238,439</w:t>
            </w:r>
          </w:p>
        </w:tc>
        <w:tc>
          <w:tcPr>
            <w:tcW w:w="108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9.60%</w:t>
            </w:r>
          </w:p>
        </w:tc>
        <w:tc>
          <w:tcPr>
            <w:tcW w:w="119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220,410</w:t>
            </w:r>
          </w:p>
        </w:tc>
        <w:tc>
          <w:tcPr>
            <w:tcW w:w="108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8.70%</w:t>
            </w:r>
          </w:p>
        </w:tc>
        <w:tc>
          <w:tcPr>
            <w:tcW w:w="119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243,288</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9.00%</w:t>
            </w:r>
          </w:p>
        </w:tc>
      </w:tr>
      <w:tr w:rsidR="00FB1D0E" w:rsidRPr="009E0147" w:rsidTr="009E0147">
        <w:trPr>
          <w:trHeight w:val="336"/>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 xml:space="preserve">   Total income</w:t>
            </w:r>
          </w:p>
        </w:tc>
        <w:tc>
          <w:tcPr>
            <w:tcW w:w="1195" w:type="dxa"/>
            <w:gridSpan w:val="2"/>
            <w:tcBorders>
              <w:top w:val="single" w:sz="8" w:space="0" w:color="auto"/>
              <w:left w:val="single" w:sz="8" w:space="0" w:color="auto"/>
              <w:bottom w:val="single" w:sz="8" w:space="0" w:color="auto"/>
              <w:right w:val="nil"/>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2,471,112</w:t>
            </w:r>
          </w:p>
        </w:tc>
        <w:tc>
          <w:tcPr>
            <w:tcW w:w="1085" w:type="dxa"/>
            <w:gridSpan w:val="2"/>
            <w:tcBorders>
              <w:top w:val="nil"/>
              <w:left w:val="single" w:sz="8" w:space="0" w:color="auto"/>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100.00%</w:t>
            </w:r>
          </w:p>
        </w:tc>
        <w:tc>
          <w:tcPr>
            <w:tcW w:w="1195" w:type="dxa"/>
            <w:gridSpan w:val="2"/>
            <w:tcBorders>
              <w:top w:val="nil"/>
              <w:left w:val="nil"/>
              <w:bottom w:val="single" w:sz="8" w:space="0" w:color="auto"/>
              <w:right w:val="nil"/>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2,527,883</w:t>
            </w:r>
          </w:p>
        </w:tc>
        <w:tc>
          <w:tcPr>
            <w:tcW w:w="1085" w:type="dxa"/>
            <w:gridSpan w:val="2"/>
            <w:tcBorders>
              <w:top w:val="nil"/>
              <w:left w:val="single" w:sz="8" w:space="0" w:color="auto"/>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100.00%</w:t>
            </w:r>
          </w:p>
        </w:tc>
        <w:tc>
          <w:tcPr>
            <w:tcW w:w="1195" w:type="dxa"/>
            <w:gridSpan w:val="2"/>
            <w:tcBorders>
              <w:top w:val="nil"/>
              <w:left w:val="nil"/>
              <w:bottom w:val="single" w:sz="8" w:space="0" w:color="auto"/>
              <w:right w:val="nil"/>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2,705,364</w:t>
            </w:r>
          </w:p>
        </w:tc>
        <w:tc>
          <w:tcPr>
            <w:tcW w:w="1085"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100.00%</w:t>
            </w:r>
          </w:p>
        </w:tc>
      </w:tr>
      <w:tr w:rsidR="00FB1D0E" w:rsidRPr="009E0147" w:rsidTr="009E0147">
        <w:trPr>
          <w:trHeight w:val="145"/>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Expenses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Underwriting</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Claim and loss adjustment expenses </w:t>
            </w:r>
            <w:r w:rsidRPr="009E0147">
              <w:rPr>
                <w:rFonts w:asciiTheme="majorBidi" w:eastAsia="Times New Roman" w:hAnsiTheme="majorBidi" w:cstheme="majorBidi"/>
                <w:noProof w:val="0"/>
                <w:color w:val="000000"/>
                <w:szCs w:val="28"/>
                <w:cs/>
                <w:lang w:bidi="th-TH"/>
              </w:rPr>
              <w:t>ทดแทน</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1,381,628</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55.90%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1,515,154</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59.90%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1,659,504</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61.30%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Commission and brokerage expenses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520,721</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21.10%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545,508</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21.60%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546,870</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20.20%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Other underwriting expenses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213,308</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8.60%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211,133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8.40%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239,460</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8.90%</w:t>
            </w: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Operating expenses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333,319</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13.50%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333,823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13.20%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375,911</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13.90%</w:t>
            </w:r>
          </w:p>
        </w:tc>
      </w:tr>
      <w:tr w:rsidR="00FB1D0E" w:rsidRPr="009E0147" w:rsidTr="009E0147">
        <w:trPr>
          <w:trHeight w:val="336"/>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Total underwriting expenses</w:t>
            </w:r>
          </w:p>
        </w:tc>
        <w:tc>
          <w:tcPr>
            <w:tcW w:w="1195"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2,448,976</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99.10%</w:t>
            </w:r>
          </w:p>
        </w:tc>
        <w:tc>
          <w:tcPr>
            <w:tcW w:w="119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2,605,618</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103.10%</w:t>
            </w:r>
          </w:p>
        </w:tc>
        <w:tc>
          <w:tcPr>
            <w:tcW w:w="119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2,821,745</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104.30%</w:t>
            </w: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Profit (Loss) from underwriting</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22,136</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0.90%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77,735</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3.10%</w:t>
            </w:r>
            <w:r w:rsidRPr="009E0147">
              <w:rPr>
                <w:rFonts w:asciiTheme="majorBidi" w:eastAsia="Times New Roman" w:hAnsiTheme="majorBidi" w:cstheme="majorBidi"/>
                <w:noProof w:val="0"/>
                <w:szCs w:val="28"/>
                <w:lang w:bidi="th-TH"/>
              </w:rPr>
              <w:t>)</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116,381</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4.30%</w:t>
            </w:r>
            <w:r w:rsidRPr="009E0147">
              <w:rPr>
                <w:rFonts w:asciiTheme="majorBidi" w:eastAsia="Times New Roman" w:hAnsiTheme="majorBidi" w:cstheme="majorBidi"/>
                <w:noProof w:val="0"/>
                <w:szCs w:val="28"/>
                <w:lang w:bidi="th-TH"/>
              </w:rPr>
              <w:t>)</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Net investment income</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100,002</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77,154</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3.10%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59,021</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Gaint (loss) on investments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10,778</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0.40%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26,242</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51,712</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Fair value gain (loss) on investments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70,534</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2.90%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17,951</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0.70%</w:t>
            </w:r>
            <w:r w:rsidRPr="009E0147">
              <w:rPr>
                <w:rFonts w:asciiTheme="majorBidi" w:eastAsia="Times New Roman" w:hAnsiTheme="majorBidi" w:cstheme="majorBidi"/>
                <w:noProof w:val="0"/>
                <w:szCs w:val="28"/>
                <w:lang w:bidi="th-TH"/>
              </w:rPr>
              <w:t>)</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10,489</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0.40%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rPr>
              <w:t>Other income</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13,855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0.60%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13,715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20,550</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0.70%</w:t>
            </w: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Profit (Loss) from operations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217,305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8.80%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21,425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25,391</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0.90%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49495F"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szCs w:val="28"/>
                <w:lang w:bidi="th-TH"/>
              </w:rPr>
              <w:t>Profit</w:t>
            </w:r>
            <w:r w:rsidRPr="009E0147">
              <w:rPr>
                <w:rFonts w:asciiTheme="majorBidi" w:eastAsia="Times New Roman" w:hAnsiTheme="majorBidi" w:cstheme="majorBidi"/>
                <w:noProof w:val="0"/>
                <w:szCs w:val="28"/>
                <w:cs/>
                <w:lang w:bidi="th-TH"/>
              </w:rPr>
              <w:t xml:space="preserve"> (</w:t>
            </w:r>
            <w:r w:rsidRPr="009E0147">
              <w:rPr>
                <w:rFonts w:asciiTheme="majorBidi" w:eastAsia="Times New Roman" w:hAnsiTheme="majorBidi" w:cstheme="majorBidi"/>
                <w:noProof w:val="0"/>
                <w:szCs w:val="28"/>
                <w:lang w:bidi="th-TH"/>
              </w:rPr>
              <w:t>loss</w:t>
            </w:r>
            <w:r w:rsidRPr="009E0147">
              <w:rPr>
                <w:rFonts w:asciiTheme="majorBidi" w:eastAsia="Times New Roman" w:hAnsiTheme="majorBidi" w:cstheme="majorBidi"/>
                <w:noProof w:val="0"/>
                <w:szCs w:val="28"/>
                <w:cs/>
                <w:lang w:bidi="th-TH"/>
              </w:rPr>
              <w:t xml:space="preserve">) </w:t>
            </w:r>
            <w:r w:rsidRPr="009E0147">
              <w:rPr>
                <w:rFonts w:asciiTheme="majorBidi" w:eastAsia="Times New Roman" w:hAnsiTheme="majorBidi" w:cstheme="majorBidi"/>
                <w:noProof w:val="0"/>
                <w:szCs w:val="28"/>
                <w:lang w:bidi="th-TH"/>
              </w:rPr>
              <w:t>before income tax expenses</w:t>
            </w:r>
          </w:p>
        </w:tc>
        <w:tc>
          <w:tcPr>
            <w:tcW w:w="1195" w:type="dxa"/>
            <w:gridSpan w:val="2"/>
            <w:tcBorders>
              <w:top w:val="nil"/>
              <w:left w:val="single" w:sz="8" w:space="0" w:color="auto"/>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217,305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8.80%</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21,425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0.80%</w:t>
            </w: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25,391</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0.90%</w:t>
            </w: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49495F"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szCs w:val="28"/>
                <w:lang w:bidi="th-TH"/>
              </w:rPr>
              <w:t>Income tax revenue (expenses)</w:t>
            </w:r>
          </w:p>
        </w:tc>
        <w:tc>
          <w:tcPr>
            <w:tcW w:w="1195" w:type="dxa"/>
            <w:gridSpan w:val="2"/>
            <w:tcBorders>
              <w:top w:val="nil"/>
              <w:left w:val="single" w:sz="8" w:space="0" w:color="auto"/>
              <w:bottom w:val="single" w:sz="8" w:space="0" w:color="auto"/>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34,208</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E65DA0"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1.40%</w:t>
            </w:r>
            <w:r w:rsidRPr="009E0147">
              <w:rPr>
                <w:rFonts w:asciiTheme="majorBidi" w:eastAsia="Times New Roman" w:hAnsiTheme="majorBidi" w:cstheme="majorBidi"/>
                <w:noProof w:val="0"/>
                <w:szCs w:val="28"/>
                <w:lang w:bidi="th-TH"/>
              </w:rPr>
              <w:t>)</w:t>
            </w:r>
          </w:p>
        </w:tc>
        <w:tc>
          <w:tcPr>
            <w:tcW w:w="119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899</w:t>
            </w:r>
          </w:p>
        </w:tc>
        <w:tc>
          <w:tcPr>
            <w:tcW w:w="108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0.10%</w:t>
            </w:r>
          </w:p>
        </w:tc>
        <w:tc>
          <w:tcPr>
            <w:tcW w:w="119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36C7"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294</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0.00%</w:t>
            </w:r>
          </w:p>
        </w:tc>
      </w:tr>
      <w:tr w:rsidR="00FB1D0E" w:rsidRPr="009E0147" w:rsidTr="009E0147">
        <w:trPr>
          <w:trHeight w:val="248"/>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49495F"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szCs w:val="28"/>
                <w:lang w:bidi="th-TH"/>
              </w:rPr>
              <w:t>Net profit</w:t>
            </w:r>
            <w:r w:rsidRPr="009E0147">
              <w:rPr>
                <w:rFonts w:asciiTheme="majorBidi" w:eastAsia="Times New Roman" w:hAnsiTheme="majorBidi" w:cstheme="majorBidi"/>
                <w:b/>
                <w:bCs/>
                <w:noProof w:val="0"/>
                <w:szCs w:val="28"/>
                <w:cs/>
                <w:lang w:bidi="th-TH"/>
              </w:rPr>
              <w:t xml:space="preserve"> (</w:t>
            </w:r>
            <w:r w:rsidRPr="009E0147">
              <w:rPr>
                <w:rFonts w:asciiTheme="majorBidi" w:eastAsia="Times New Roman" w:hAnsiTheme="majorBidi" w:cstheme="majorBidi"/>
                <w:b/>
                <w:bCs/>
                <w:noProof w:val="0"/>
                <w:szCs w:val="28"/>
                <w:lang w:bidi="th-TH"/>
              </w:rPr>
              <w:t>loss</w:t>
            </w:r>
            <w:r w:rsidRPr="009E0147">
              <w:rPr>
                <w:rFonts w:asciiTheme="majorBidi" w:eastAsia="Times New Roman" w:hAnsiTheme="majorBidi" w:cstheme="majorBidi"/>
                <w:b/>
                <w:bCs/>
                <w:noProof w:val="0"/>
                <w:szCs w:val="28"/>
                <w:cs/>
                <w:lang w:bidi="th-TH"/>
              </w:rPr>
              <w:t>)</w:t>
            </w:r>
          </w:p>
        </w:tc>
        <w:tc>
          <w:tcPr>
            <w:tcW w:w="1195" w:type="dxa"/>
            <w:gridSpan w:val="2"/>
            <w:tcBorders>
              <w:top w:val="nil"/>
              <w:left w:val="single" w:sz="8" w:space="0" w:color="auto"/>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183,097</w:t>
            </w:r>
          </w:p>
        </w:tc>
        <w:tc>
          <w:tcPr>
            <w:tcW w:w="1085" w:type="dxa"/>
            <w:gridSpan w:val="2"/>
            <w:tcBorders>
              <w:top w:val="nil"/>
              <w:left w:val="nil"/>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7.40%</w:t>
            </w:r>
          </w:p>
        </w:tc>
        <w:tc>
          <w:tcPr>
            <w:tcW w:w="1195" w:type="dxa"/>
            <w:gridSpan w:val="2"/>
            <w:tcBorders>
              <w:top w:val="nil"/>
              <w:left w:val="nil"/>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22,324</w:t>
            </w:r>
          </w:p>
        </w:tc>
        <w:tc>
          <w:tcPr>
            <w:tcW w:w="1085" w:type="dxa"/>
            <w:gridSpan w:val="2"/>
            <w:tcBorders>
              <w:top w:val="nil"/>
              <w:left w:val="nil"/>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0.90%</w:t>
            </w:r>
          </w:p>
        </w:tc>
        <w:tc>
          <w:tcPr>
            <w:tcW w:w="1195" w:type="dxa"/>
            <w:gridSpan w:val="2"/>
            <w:tcBorders>
              <w:top w:val="nil"/>
              <w:left w:val="nil"/>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25,097</w:t>
            </w:r>
          </w:p>
        </w:tc>
        <w:tc>
          <w:tcPr>
            <w:tcW w:w="1085" w:type="dxa"/>
            <w:gridSpan w:val="2"/>
            <w:tcBorders>
              <w:top w:val="nil"/>
              <w:left w:val="nil"/>
              <w:bottom w:val="single" w:sz="8"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0.90%</w:t>
            </w:r>
          </w:p>
        </w:tc>
      </w:tr>
      <w:tr w:rsidR="00FB1D0E" w:rsidRPr="009E0147" w:rsidTr="009E0147">
        <w:trPr>
          <w:trHeight w:val="312"/>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49495F"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Other comprehensive income</w:t>
            </w:r>
          </w:p>
        </w:tc>
        <w:tc>
          <w:tcPr>
            <w:tcW w:w="1195" w:type="dxa"/>
            <w:gridSpan w:val="2"/>
            <w:tcBorders>
              <w:top w:val="nil"/>
              <w:left w:val="single" w:sz="8" w:space="0" w:color="auto"/>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307"/>
        </w:trPr>
        <w:tc>
          <w:tcPr>
            <w:tcW w:w="3699" w:type="dxa"/>
            <w:gridSpan w:val="2"/>
            <w:tcBorders>
              <w:top w:val="nil"/>
              <w:left w:val="single" w:sz="8" w:space="0" w:color="auto"/>
              <w:bottom w:val="nil"/>
              <w:right w:val="nil"/>
            </w:tcBorders>
            <w:shd w:val="clear" w:color="auto" w:fill="auto"/>
            <w:vAlign w:val="bottom"/>
            <w:hideMark/>
          </w:tcPr>
          <w:p w:rsidR="0049495F" w:rsidRPr="009E0147" w:rsidRDefault="00FB1D0E" w:rsidP="0049495F">
            <w:pPr>
              <w:rPr>
                <w:rFonts w:asciiTheme="majorBidi" w:eastAsia="Times New Roman" w:hAnsiTheme="majorBidi" w:cstheme="majorBidi"/>
                <w:noProof w:val="0"/>
                <w:sz w:val="24"/>
                <w:szCs w:val="24"/>
                <w:lang w:bidi="th-TH"/>
              </w:rPr>
            </w:pPr>
            <w:r w:rsidRPr="009E0147">
              <w:rPr>
                <w:rFonts w:asciiTheme="majorBidi" w:eastAsia="Times New Roman" w:hAnsiTheme="majorBidi" w:cstheme="majorBidi"/>
                <w:noProof w:val="0"/>
                <w:color w:val="000000"/>
                <w:sz w:val="24"/>
                <w:szCs w:val="24"/>
                <w:lang w:bidi="th-TH"/>
              </w:rPr>
              <w:t xml:space="preserve">   </w:t>
            </w:r>
            <w:r w:rsidR="0049495F" w:rsidRPr="009E0147">
              <w:rPr>
                <w:rFonts w:asciiTheme="majorBidi" w:eastAsia="Times New Roman" w:hAnsiTheme="majorBidi" w:cstheme="majorBidi"/>
                <w:noProof w:val="0"/>
                <w:sz w:val="24"/>
                <w:szCs w:val="24"/>
                <w:lang w:bidi="th-TH"/>
              </w:rPr>
              <w:t>Gain</w:t>
            </w:r>
            <w:r w:rsidR="0049495F" w:rsidRPr="009E0147">
              <w:rPr>
                <w:rFonts w:asciiTheme="majorBidi" w:eastAsia="Times New Roman" w:hAnsiTheme="majorBidi" w:cstheme="majorBidi"/>
                <w:noProof w:val="0"/>
                <w:sz w:val="24"/>
                <w:szCs w:val="24"/>
                <w:cs/>
                <w:lang w:bidi="th-TH"/>
              </w:rPr>
              <w:t xml:space="preserve"> (</w:t>
            </w:r>
            <w:r w:rsidR="0049495F" w:rsidRPr="009E0147">
              <w:rPr>
                <w:rFonts w:asciiTheme="majorBidi" w:eastAsia="Times New Roman" w:hAnsiTheme="majorBidi" w:cstheme="majorBidi"/>
                <w:noProof w:val="0"/>
                <w:sz w:val="24"/>
                <w:szCs w:val="24"/>
                <w:lang w:bidi="th-TH"/>
              </w:rPr>
              <w:t>loss</w:t>
            </w:r>
            <w:r w:rsidR="0049495F" w:rsidRPr="009E0147">
              <w:rPr>
                <w:rFonts w:asciiTheme="majorBidi" w:eastAsia="Times New Roman" w:hAnsiTheme="majorBidi" w:cstheme="majorBidi"/>
                <w:noProof w:val="0"/>
                <w:sz w:val="24"/>
                <w:szCs w:val="24"/>
                <w:cs/>
                <w:lang w:bidi="th-TH"/>
              </w:rPr>
              <w:t>)</w:t>
            </w:r>
            <w:r w:rsidR="0049495F" w:rsidRPr="009E0147">
              <w:rPr>
                <w:rFonts w:asciiTheme="majorBidi" w:eastAsia="Times New Roman" w:hAnsiTheme="majorBidi" w:cstheme="majorBidi"/>
                <w:noProof w:val="0"/>
                <w:sz w:val="24"/>
                <w:szCs w:val="24"/>
                <w:lang w:bidi="th-TH"/>
              </w:rPr>
              <w:t xml:space="preserve"> on changes in value of available-for-sale      </w:t>
            </w:r>
          </w:p>
          <w:p w:rsidR="00FB1D0E" w:rsidRPr="009E0147" w:rsidRDefault="0049495F" w:rsidP="0049495F">
            <w:pPr>
              <w:rPr>
                <w:rFonts w:asciiTheme="majorBidi" w:eastAsia="Times New Roman" w:hAnsiTheme="majorBidi" w:cstheme="majorBidi"/>
                <w:noProof w:val="0"/>
                <w:color w:val="000000"/>
                <w:szCs w:val="28"/>
                <w:cs/>
                <w:lang w:bidi="th-TH"/>
              </w:rPr>
            </w:pPr>
            <w:r w:rsidRPr="009E0147">
              <w:rPr>
                <w:rFonts w:asciiTheme="majorBidi" w:eastAsia="Times New Roman" w:hAnsiTheme="majorBidi" w:cstheme="majorBidi"/>
                <w:noProof w:val="0"/>
                <w:szCs w:val="28"/>
                <w:lang w:bidi="th-TH"/>
              </w:rPr>
              <w:t xml:space="preserve">    investments</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61,564</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36C7"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18,789</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36C7"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8,581</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452"/>
        </w:trPr>
        <w:tc>
          <w:tcPr>
            <w:tcW w:w="3699" w:type="dxa"/>
            <w:gridSpan w:val="2"/>
            <w:tcBorders>
              <w:top w:val="nil"/>
              <w:left w:val="single" w:sz="8" w:space="0" w:color="auto"/>
              <w:bottom w:val="nil"/>
              <w:right w:val="nil"/>
            </w:tcBorders>
            <w:shd w:val="clear" w:color="auto" w:fill="auto"/>
            <w:vAlign w:val="bottom"/>
            <w:hideMark/>
          </w:tcPr>
          <w:p w:rsidR="00F17DD8" w:rsidRPr="009E0147" w:rsidRDefault="00FB1D0E" w:rsidP="0049495F">
            <w:pPr>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color w:val="000000"/>
                <w:szCs w:val="28"/>
                <w:lang w:bidi="th-TH"/>
              </w:rPr>
              <w:t xml:space="preserve">   </w:t>
            </w:r>
            <w:r w:rsidR="00F17DD8" w:rsidRPr="009E0147">
              <w:rPr>
                <w:rFonts w:asciiTheme="majorBidi" w:eastAsia="Times New Roman" w:hAnsiTheme="majorBidi" w:cstheme="majorBidi"/>
                <w:noProof w:val="0"/>
                <w:color w:val="000000"/>
                <w:szCs w:val="28"/>
                <w:lang w:bidi="th-TH"/>
              </w:rPr>
              <w:t xml:space="preserve"> </w:t>
            </w:r>
            <w:r w:rsidR="0049495F" w:rsidRPr="009E0147">
              <w:rPr>
                <w:rFonts w:asciiTheme="majorBidi" w:eastAsia="Times New Roman" w:hAnsiTheme="majorBidi" w:cstheme="majorBidi"/>
                <w:noProof w:val="0"/>
                <w:szCs w:val="28"/>
                <w:lang w:bidi="th-TH"/>
              </w:rPr>
              <w:t xml:space="preserve">Income tax relating to components of other </w:t>
            </w:r>
          </w:p>
          <w:p w:rsidR="00FB1D0E" w:rsidRPr="009E0147" w:rsidRDefault="00F17DD8" w:rsidP="0049495F">
            <w:pPr>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xml:space="preserve">    </w:t>
            </w:r>
            <w:r w:rsidR="0049495F" w:rsidRPr="009E0147">
              <w:rPr>
                <w:rFonts w:asciiTheme="majorBidi" w:eastAsia="Times New Roman" w:hAnsiTheme="majorBidi" w:cstheme="majorBidi"/>
                <w:noProof w:val="0"/>
                <w:szCs w:val="28"/>
                <w:lang w:bidi="th-TH"/>
              </w:rPr>
              <w:t>comprehensive     income</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E65DA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5,163</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3,763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8,403</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153"/>
        </w:trPr>
        <w:tc>
          <w:tcPr>
            <w:tcW w:w="3699" w:type="dxa"/>
            <w:gridSpan w:val="2"/>
            <w:tcBorders>
              <w:top w:val="nil"/>
              <w:left w:val="single" w:sz="8" w:space="0" w:color="auto"/>
              <w:bottom w:val="nil"/>
              <w:right w:val="nil"/>
            </w:tcBorders>
            <w:shd w:val="clear" w:color="auto" w:fill="auto"/>
            <w:vAlign w:val="bottom"/>
            <w:hideMark/>
          </w:tcPr>
          <w:p w:rsidR="00F17DD8" w:rsidRPr="009E0147" w:rsidRDefault="00F17DD8" w:rsidP="00F17DD8">
            <w:pPr>
              <w:jc w:val="center"/>
              <w:rPr>
                <w:rFonts w:asciiTheme="majorBidi" w:eastAsia="Times New Roman" w:hAnsiTheme="majorBidi" w:cstheme="majorBidi"/>
                <w:noProof w:val="0"/>
                <w:color w:val="000000"/>
                <w:szCs w:val="28"/>
                <w:lang w:bidi="th-TH"/>
              </w:rPr>
            </w:pPr>
          </w:p>
          <w:p w:rsidR="00FB1D0E" w:rsidRPr="009E0147" w:rsidRDefault="00F17DD8" w:rsidP="00F17DD8">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w:t>
            </w:r>
            <w:r w:rsidR="00FB1D0E" w:rsidRPr="009E0147">
              <w:rPr>
                <w:rFonts w:asciiTheme="majorBidi" w:eastAsia="Times New Roman" w:hAnsiTheme="majorBidi" w:cstheme="majorBidi"/>
                <w:noProof w:val="0"/>
                <w:color w:val="000000"/>
                <w:szCs w:val="28"/>
                <w:lang w:bidi="th-TH"/>
              </w:rPr>
              <w:t xml:space="preserve">Income tax </w:t>
            </w:r>
            <w:r w:rsidRPr="009E0147">
              <w:rPr>
                <w:rFonts w:asciiTheme="majorBidi" w:eastAsia="Times New Roman" w:hAnsiTheme="majorBidi" w:cstheme="majorBidi"/>
                <w:noProof w:val="0"/>
                <w:color w:val="000000"/>
                <w:szCs w:val="28"/>
                <w:lang w:bidi="th-TH"/>
              </w:rPr>
              <w:t>effect</w:t>
            </w:r>
          </w:p>
        </w:tc>
        <w:tc>
          <w:tcPr>
            <w:tcW w:w="1195" w:type="dxa"/>
            <w:gridSpan w:val="2"/>
            <w:tcBorders>
              <w:top w:val="nil"/>
              <w:left w:val="single" w:sz="8" w:space="0" w:color="auto"/>
              <w:bottom w:val="nil"/>
              <w:right w:val="single" w:sz="8" w:space="0" w:color="auto"/>
            </w:tcBorders>
            <w:shd w:val="clear" w:color="auto" w:fill="auto"/>
            <w:noWrap/>
            <w:vAlign w:val="bottom"/>
            <w:hideMark/>
          </w:tcPr>
          <w:p w:rsidR="00FB1D0E" w:rsidRPr="009E0147" w:rsidRDefault="00FB36C7"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11,280</w:t>
            </w:r>
            <w:r w:rsidRPr="009E0147">
              <w:rPr>
                <w:rFonts w:asciiTheme="majorBidi" w:eastAsia="Times New Roman" w:hAnsiTheme="majorBidi" w:cstheme="majorBidi"/>
                <w:noProof w:val="0"/>
                <w:szCs w:val="28"/>
                <w:lang w:bidi="th-TH"/>
              </w:rPr>
              <w:t>)</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p>
        </w:tc>
        <w:tc>
          <w:tcPr>
            <w:tcW w:w="119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3,005</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p>
        </w:tc>
        <w:tc>
          <w:tcPr>
            <w:tcW w:w="1195" w:type="dxa"/>
            <w:gridSpan w:val="2"/>
            <w:tcBorders>
              <w:top w:val="nil"/>
              <w:left w:val="nil"/>
              <w:bottom w:val="nil"/>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36</w:t>
            </w:r>
          </w:p>
        </w:tc>
        <w:tc>
          <w:tcPr>
            <w:tcW w:w="1085" w:type="dxa"/>
            <w:gridSpan w:val="2"/>
            <w:tcBorders>
              <w:top w:val="nil"/>
              <w:left w:val="nil"/>
              <w:bottom w:val="nil"/>
              <w:right w:val="single" w:sz="8" w:space="0" w:color="auto"/>
            </w:tcBorders>
            <w:shd w:val="clear" w:color="auto" w:fill="auto"/>
            <w:noWrap/>
            <w:vAlign w:val="bottom"/>
            <w:hideMark/>
          </w:tcPr>
          <w:p w:rsidR="00FB1D0E" w:rsidRPr="009E0147" w:rsidRDefault="00FB1D0E" w:rsidP="00F17DD8">
            <w:pPr>
              <w:jc w:val="center"/>
              <w:rPr>
                <w:rFonts w:asciiTheme="majorBidi" w:eastAsia="Times New Roman" w:hAnsiTheme="majorBidi" w:cstheme="majorBidi"/>
                <w:noProof w:val="0"/>
                <w:szCs w:val="28"/>
                <w:lang w:bidi="th-TH"/>
              </w:rPr>
            </w:pPr>
          </w:p>
        </w:tc>
      </w:tr>
      <w:tr w:rsidR="00FB1D0E" w:rsidRPr="009E0147" w:rsidTr="009E0147">
        <w:trPr>
          <w:trHeight w:val="324"/>
        </w:trPr>
        <w:tc>
          <w:tcPr>
            <w:tcW w:w="3699" w:type="dxa"/>
            <w:gridSpan w:val="2"/>
            <w:tcBorders>
              <w:top w:val="nil"/>
              <w:left w:val="single" w:sz="8" w:space="0" w:color="auto"/>
              <w:bottom w:val="nil"/>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 w:val="24"/>
                <w:szCs w:val="24"/>
              </w:rPr>
              <w:t>Other comprehensive income for the year (loss)</w:t>
            </w:r>
          </w:p>
        </w:tc>
        <w:tc>
          <w:tcPr>
            <w:tcW w:w="1195"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45,121</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single" w:sz="8" w:space="0" w:color="auto"/>
              <w:left w:val="nil"/>
              <w:bottom w:val="single" w:sz="8" w:space="0" w:color="auto"/>
              <w:right w:val="single" w:sz="8" w:space="0" w:color="auto"/>
            </w:tcBorders>
            <w:shd w:val="clear" w:color="000000" w:fill="FFFFFF"/>
            <w:noWrap/>
            <w:vAlign w:val="bottom"/>
            <w:hideMark/>
          </w:tcPr>
          <w:p w:rsidR="00FB1D0E" w:rsidRPr="009E0147" w:rsidRDefault="00FB36C7"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12,021</w:t>
            </w:r>
            <w:r w:rsidRPr="009E0147">
              <w:rPr>
                <w:rFonts w:asciiTheme="majorBidi" w:eastAsia="Times New Roman" w:hAnsiTheme="majorBidi" w:cstheme="majorBidi"/>
                <w:noProof w:val="0"/>
                <w:szCs w:val="28"/>
                <w:lang w:bidi="th-TH"/>
              </w:rPr>
              <w:t>)</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single" w:sz="8" w:space="0" w:color="auto"/>
              <w:left w:val="nil"/>
              <w:bottom w:val="single" w:sz="8" w:space="0" w:color="auto"/>
              <w:right w:val="single" w:sz="8" w:space="0" w:color="auto"/>
            </w:tcBorders>
            <w:shd w:val="clear" w:color="000000" w:fill="FFFFFF"/>
            <w:noWrap/>
            <w:vAlign w:val="bottom"/>
            <w:hideMark/>
          </w:tcPr>
          <w:p w:rsidR="00FB1D0E" w:rsidRPr="009E0147" w:rsidRDefault="00FB36C7"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FB1D0E" w:rsidRPr="009E0147">
              <w:rPr>
                <w:rFonts w:asciiTheme="majorBidi" w:eastAsia="Times New Roman" w:hAnsiTheme="majorBidi" w:cstheme="majorBidi"/>
                <w:noProof w:val="0"/>
                <w:szCs w:val="28"/>
                <w:lang w:bidi="th-TH"/>
              </w:rPr>
              <w:t>142</w:t>
            </w:r>
            <w:r w:rsidRPr="009E0147">
              <w:rPr>
                <w:rFonts w:asciiTheme="majorBidi" w:eastAsia="Times New Roman" w:hAnsiTheme="majorBidi" w:cstheme="majorBidi"/>
                <w:noProof w:val="0"/>
                <w:szCs w:val="28"/>
                <w:lang w:bidi="th-TH"/>
              </w:rPr>
              <w:t>)</w:t>
            </w:r>
          </w:p>
        </w:tc>
        <w:tc>
          <w:tcPr>
            <w:tcW w:w="1085" w:type="dxa"/>
            <w:gridSpan w:val="2"/>
            <w:tcBorders>
              <w:top w:val="single" w:sz="8" w:space="0" w:color="auto"/>
              <w:left w:val="nil"/>
              <w:bottom w:val="single" w:sz="8" w:space="0" w:color="auto"/>
              <w:right w:val="single" w:sz="8" w:space="0" w:color="auto"/>
            </w:tcBorders>
            <w:shd w:val="clear" w:color="auto" w:fill="auto"/>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FB1D0E" w:rsidRPr="009E0147" w:rsidTr="009E0147">
        <w:trPr>
          <w:trHeight w:val="336"/>
        </w:trPr>
        <w:tc>
          <w:tcPr>
            <w:tcW w:w="3699" w:type="dxa"/>
            <w:gridSpan w:val="2"/>
            <w:tcBorders>
              <w:top w:val="nil"/>
              <w:left w:val="single" w:sz="8" w:space="0" w:color="auto"/>
              <w:bottom w:val="single" w:sz="8" w:space="0" w:color="auto"/>
              <w:right w:val="nil"/>
            </w:tcBorders>
            <w:shd w:val="clear" w:color="auto" w:fill="auto"/>
            <w:noWrap/>
            <w:vAlign w:val="bottom"/>
            <w:hideMark/>
          </w:tcPr>
          <w:p w:rsidR="00FB1D0E" w:rsidRPr="009E0147" w:rsidRDefault="00FB1D0E" w:rsidP="00FB1D0E">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rPr>
              <w:t>Total comprehensive income for the year</w:t>
            </w:r>
          </w:p>
        </w:tc>
        <w:tc>
          <w:tcPr>
            <w:tcW w:w="1195" w:type="dxa"/>
            <w:gridSpan w:val="2"/>
            <w:tcBorders>
              <w:top w:val="nil"/>
              <w:left w:val="single" w:sz="8" w:space="0" w:color="auto"/>
              <w:bottom w:val="double" w:sz="6"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228,218</w:t>
            </w:r>
          </w:p>
        </w:tc>
        <w:tc>
          <w:tcPr>
            <w:tcW w:w="1085" w:type="dxa"/>
            <w:gridSpan w:val="2"/>
            <w:tcBorders>
              <w:top w:val="nil"/>
              <w:left w:val="nil"/>
              <w:bottom w:val="double" w:sz="6"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double" w:sz="6"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10,303</w:t>
            </w:r>
          </w:p>
        </w:tc>
        <w:tc>
          <w:tcPr>
            <w:tcW w:w="1085" w:type="dxa"/>
            <w:gridSpan w:val="2"/>
            <w:tcBorders>
              <w:top w:val="nil"/>
              <w:left w:val="nil"/>
              <w:bottom w:val="double" w:sz="6"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195" w:type="dxa"/>
            <w:gridSpan w:val="2"/>
            <w:tcBorders>
              <w:top w:val="nil"/>
              <w:left w:val="nil"/>
              <w:bottom w:val="double" w:sz="6" w:space="0" w:color="auto"/>
              <w:right w:val="single" w:sz="8" w:space="0" w:color="auto"/>
            </w:tcBorders>
            <w:shd w:val="clear" w:color="000000" w:fill="FFFFFF"/>
            <w:noWrap/>
            <w:vAlign w:val="bottom"/>
            <w:hideMark/>
          </w:tcPr>
          <w:p w:rsidR="00FB1D0E" w:rsidRPr="009E0147" w:rsidRDefault="00FB1D0E"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24,955</w:t>
            </w:r>
          </w:p>
        </w:tc>
        <w:tc>
          <w:tcPr>
            <w:tcW w:w="1085" w:type="dxa"/>
            <w:gridSpan w:val="2"/>
            <w:tcBorders>
              <w:top w:val="nil"/>
              <w:left w:val="nil"/>
              <w:bottom w:val="double" w:sz="6" w:space="0" w:color="auto"/>
              <w:right w:val="single" w:sz="8" w:space="0" w:color="auto"/>
            </w:tcBorders>
            <w:shd w:val="clear" w:color="000000" w:fill="FFFFFF"/>
            <w:noWrap/>
            <w:vAlign w:val="bottom"/>
            <w:hideMark/>
          </w:tcPr>
          <w:p w:rsidR="00FB1D0E" w:rsidRPr="009E0147" w:rsidRDefault="00FB1D0E" w:rsidP="00FB1D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bl>
    <w:p w:rsidR="00963952" w:rsidRDefault="008363BF" w:rsidP="0012191A">
      <w:pPr>
        <w:spacing w:line="240" w:lineRule="atLeast"/>
        <w:ind w:left="-720"/>
        <w:rPr>
          <w:rFonts w:ascii="Angsana New" w:hAnsi="Angsana New"/>
          <w:noProof w:val="0"/>
          <w:szCs w:val="28"/>
          <w:lang w:bidi="th-TH"/>
        </w:rPr>
      </w:pPr>
      <w:r w:rsidRPr="0022460D">
        <w:rPr>
          <w:rFonts w:ascii="Angsana New" w:hAnsi="Angsana New"/>
          <w:szCs w:val="28"/>
          <w:cs/>
          <w:lang w:val="th-TH" w:bidi="th-TH"/>
        </w:rPr>
        <w:tab/>
      </w:r>
      <w:r w:rsidRPr="0022460D">
        <w:rPr>
          <w:rFonts w:ascii="Angsana New" w:hAnsi="Angsana New"/>
          <w:szCs w:val="28"/>
          <w:cs/>
          <w:lang w:val="th-TH" w:bidi="th-TH"/>
        </w:rPr>
        <w:tab/>
      </w:r>
      <w:r w:rsidRPr="0022460D">
        <w:rPr>
          <w:rFonts w:ascii="Angsana New" w:hAnsi="Angsana New"/>
          <w:szCs w:val="28"/>
          <w:cs/>
          <w:lang w:val="th-TH" w:bidi="th-TH"/>
        </w:rPr>
        <w:tab/>
      </w:r>
      <w:r w:rsidRPr="0022460D">
        <w:rPr>
          <w:rFonts w:ascii="Angsana New" w:hAnsi="Angsana New"/>
          <w:szCs w:val="28"/>
          <w:cs/>
          <w:lang w:val="th-TH" w:bidi="th-TH"/>
        </w:rPr>
        <w:tab/>
      </w:r>
      <w:r w:rsidRPr="0022460D">
        <w:rPr>
          <w:rFonts w:ascii="Angsana New" w:hAnsi="Angsana New"/>
          <w:szCs w:val="28"/>
          <w:cs/>
          <w:lang w:val="th-TH" w:bidi="th-TH"/>
        </w:rPr>
        <w:tab/>
      </w:r>
      <w:r w:rsidRPr="0022460D">
        <w:rPr>
          <w:rFonts w:ascii="Angsana New" w:hAnsi="Angsana New"/>
          <w:szCs w:val="28"/>
          <w:cs/>
          <w:lang w:val="th-TH" w:bidi="th-TH"/>
        </w:rPr>
        <w:tab/>
      </w:r>
      <w:r w:rsidRPr="0022460D">
        <w:rPr>
          <w:rFonts w:ascii="Angsana New" w:hAnsi="Angsana New"/>
          <w:noProof w:val="0"/>
          <w:szCs w:val="28"/>
          <w:cs/>
          <w:lang w:val="th-TH" w:bidi="th-TH"/>
        </w:rPr>
        <w:tab/>
      </w:r>
      <w:r w:rsidRPr="0022460D">
        <w:rPr>
          <w:rFonts w:ascii="Angsana New" w:hAnsi="Angsana New"/>
          <w:noProof w:val="0"/>
          <w:szCs w:val="28"/>
          <w:cs/>
          <w:lang w:val="th-TH" w:bidi="th-TH"/>
        </w:rPr>
        <w:tab/>
      </w:r>
      <w:bookmarkEnd w:id="0"/>
      <w:r w:rsidRPr="0022460D">
        <w:rPr>
          <w:rFonts w:ascii="Angsana New" w:hAnsi="Angsana New"/>
          <w:szCs w:val="28"/>
          <w:cs/>
          <w:lang w:val="th-TH" w:bidi="th-TH"/>
        </w:rPr>
        <w:tab/>
      </w:r>
      <w:r w:rsidRPr="0022460D">
        <w:rPr>
          <w:rFonts w:ascii="Angsana New" w:hAnsi="Angsana New"/>
          <w:noProof w:val="0"/>
          <w:szCs w:val="28"/>
          <w:cs/>
          <w:lang w:val="th-TH" w:bidi="th-TH"/>
        </w:rPr>
        <w:t xml:space="preserve">     </w:t>
      </w:r>
      <w:r>
        <w:rPr>
          <w:rFonts w:ascii="Angsana New" w:hAnsi="Angsana New" w:hint="cs"/>
          <w:noProof w:val="0"/>
          <w:szCs w:val="28"/>
          <w:cs/>
          <w:lang w:val="th-TH" w:bidi="th-TH"/>
        </w:rPr>
        <w:t xml:space="preserve">  </w:t>
      </w:r>
    </w:p>
    <w:p w:rsidR="008363BF" w:rsidRPr="004B72A5" w:rsidRDefault="008363BF" w:rsidP="008363BF">
      <w:pPr>
        <w:spacing w:line="240" w:lineRule="atLeast"/>
        <w:rPr>
          <w:rFonts w:ascii="Angsana New" w:hAnsi="Angsana New"/>
          <w:noProof w:val="0"/>
          <w:szCs w:val="28"/>
          <w:lang w:bidi="th-TH"/>
        </w:rPr>
      </w:pPr>
    </w:p>
    <w:tbl>
      <w:tblPr>
        <w:tblW w:w="10219" w:type="dxa"/>
        <w:tblInd w:w="95" w:type="dxa"/>
        <w:tblLook w:val="04A0"/>
      </w:tblPr>
      <w:tblGrid>
        <w:gridCol w:w="2480"/>
        <w:gridCol w:w="2353"/>
        <w:gridCol w:w="1984"/>
        <w:gridCol w:w="1701"/>
        <w:gridCol w:w="1701"/>
      </w:tblGrid>
      <w:tr w:rsidR="001E02FA" w:rsidRPr="009E0147" w:rsidTr="001E02FA">
        <w:trPr>
          <w:trHeight w:val="276"/>
        </w:trPr>
        <w:tc>
          <w:tcPr>
            <w:tcW w:w="2480" w:type="dxa"/>
            <w:tcBorders>
              <w:top w:val="single" w:sz="4" w:space="0" w:color="auto"/>
              <w:left w:val="single" w:sz="4" w:space="0" w:color="auto"/>
              <w:bottom w:val="single" w:sz="4" w:space="0" w:color="auto"/>
              <w:right w:val="nil"/>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lastRenderedPageBreak/>
              <w:t> </w:t>
            </w:r>
          </w:p>
        </w:tc>
        <w:tc>
          <w:tcPr>
            <w:tcW w:w="2353" w:type="dxa"/>
            <w:tcBorders>
              <w:top w:val="single" w:sz="4" w:space="0" w:color="auto"/>
              <w:left w:val="nil"/>
              <w:bottom w:val="single" w:sz="4" w:space="0" w:color="auto"/>
              <w:right w:val="single" w:sz="4" w:space="0" w:color="auto"/>
            </w:tcBorders>
            <w:shd w:val="clear" w:color="auto" w:fill="auto"/>
            <w:noWrap/>
            <w:vAlign w:val="bottom"/>
            <w:hideMark/>
          </w:tcPr>
          <w:p w:rsidR="001E02FA" w:rsidRPr="009E0147" w:rsidRDefault="001E02FA" w:rsidP="001E02FA">
            <w:pPr>
              <w:jc w:val="cente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w:t>
            </w:r>
          </w:p>
        </w:tc>
        <w:tc>
          <w:tcPr>
            <w:tcW w:w="1984" w:type="dxa"/>
            <w:tcBorders>
              <w:top w:val="single" w:sz="4" w:space="0" w:color="auto"/>
              <w:left w:val="nil"/>
              <w:bottom w:val="single" w:sz="4" w:space="0" w:color="auto"/>
              <w:right w:val="nil"/>
            </w:tcBorders>
            <w:shd w:val="clear" w:color="000000" w:fill="FFFFFF"/>
            <w:noWrap/>
            <w:vAlign w:val="bottom"/>
            <w:hideMark/>
          </w:tcPr>
          <w:p w:rsidR="001E02FA" w:rsidRPr="009E0147" w:rsidRDefault="001E02FA" w:rsidP="001E02FA">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2557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2558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2559</w:t>
            </w:r>
          </w:p>
        </w:tc>
      </w:tr>
      <w:tr w:rsidR="001E02FA" w:rsidRPr="009E0147" w:rsidTr="001E02FA">
        <w:trPr>
          <w:trHeight w:val="276"/>
        </w:trPr>
        <w:tc>
          <w:tcPr>
            <w:tcW w:w="2480" w:type="dxa"/>
            <w:tcBorders>
              <w:top w:val="nil"/>
              <w:left w:val="single" w:sz="4" w:space="0" w:color="auto"/>
              <w:bottom w:val="nil"/>
              <w:right w:val="nil"/>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Net earnings per share</w:t>
            </w:r>
          </w:p>
        </w:tc>
        <w:tc>
          <w:tcPr>
            <w:tcW w:w="2353" w:type="dxa"/>
            <w:tcBorders>
              <w:top w:val="nil"/>
              <w:left w:val="nil"/>
              <w:bottom w:val="nil"/>
              <w:right w:val="single" w:sz="4" w:space="0" w:color="auto"/>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(Baht)</w:t>
            </w:r>
          </w:p>
        </w:tc>
        <w:tc>
          <w:tcPr>
            <w:tcW w:w="1984" w:type="dxa"/>
            <w:tcBorders>
              <w:top w:val="nil"/>
              <w:left w:val="nil"/>
              <w:bottom w:val="nil"/>
              <w:right w:val="nil"/>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0.60</w:t>
            </w:r>
          </w:p>
        </w:tc>
        <w:tc>
          <w:tcPr>
            <w:tcW w:w="1701" w:type="dxa"/>
            <w:tcBorders>
              <w:top w:val="nil"/>
              <w:left w:val="single" w:sz="4" w:space="0" w:color="auto"/>
              <w:bottom w:val="nil"/>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0.07</w:t>
            </w:r>
          </w:p>
        </w:tc>
        <w:tc>
          <w:tcPr>
            <w:tcW w:w="1701" w:type="dxa"/>
            <w:tcBorders>
              <w:top w:val="nil"/>
              <w:left w:val="nil"/>
              <w:bottom w:val="nil"/>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0.08</w:t>
            </w:r>
          </w:p>
        </w:tc>
      </w:tr>
      <w:tr w:rsidR="001E02FA" w:rsidRPr="009E0147" w:rsidTr="001E02FA">
        <w:trPr>
          <w:trHeight w:val="276"/>
        </w:trPr>
        <w:tc>
          <w:tcPr>
            <w:tcW w:w="2480" w:type="dxa"/>
            <w:tcBorders>
              <w:top w:val="nil"/>
              <w:left w:val="single" w:sz="4" w:space="0" w:color="auto"/>
              <w:bottom w:val="nil"/>
              <w:right w:val="nil"/>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Dividend per share</w:t>
            </w:r>
          </w:p>
        </w:tc>
        <w:tc>
          <w:tcPr>
            <w:tcW w:w="2353" w:type="dxa"/>
            <w:tcBorders>
              <w:top w:val="nil"/>
              <w:left w:val="nil"/>
              <w:bottom w:val="nil"/>
              <w:right w:val="single" w:sz="4" w:space="0" w:color="auto"/>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(Baht)</w:t>
            </w:r>
          </w:p>
        </w:tc>
        <w:tc>
          <w:tcPr>
            <w:tcW w:w="1984" w:type="dxa"/>
            <w:tcBorders>
              <w:top w:val="nil"/>
              <w:left w:val="nil"/>
              <w:bottom w:val="nil"/>
              <w:right w:val="nil"/>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0.56</w:t>
            </w:r>
          </w:p>
        </w:tc>
        <w:tc>
          <w:tcPr>
            <w:tcW w:w="1701" w:type="dxa"/>
            <w:tcBorders>
              <w:top w:val="nil"/>
              <w:left w:val="single" w:sz="4" w:space="0" w:color="auto"/>
              <w:bottom w:val="nil"/>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0.05</w:t>
            </w:r>
          </w:p>
        </w:tc>
        <w:tc>
          <w:tcPr>
            <w:tcW w:w="1701" w:type="dxa"/>
            <w:tcBorders>
              <w:top w:val="nil"/>
              <w:left w:val="nil"/>
              <w:bottom w:val="nil"/>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0.05</w:t>
            </w:r>
          </w:p>
        </w:tc>
      </w:tr>
      <w:tr w:rsidR="001E02FA" w:rsidRPr="009E0147" w:rsidTr="001E02FA">
        <w:trPr>
          <w:trHeight w:val="276"/>
        </w:trPr>
        <w:tc>
          <w:tcPr>
            <w:tcW w:w="2480" w:type="dxa"/>
            <w:tcBorders>
              <w:top w:val="nil"/>
              <w:left w:val="single" w:sz="4" w:space="0" w:color="auto"/>
              <w:bottom w:val="single" w:sz="4" w:space="0" w:color="auto"/>
              <w:right w:val="nil"/>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Shares</w:t>
            </w:r>
          </w:p>
        </w:tc>
        <w:tc>
          <w:tcPr>
            <w:tcW w:w="2353" w:type="dxa"/>
            <w:tcBorders>
              <w:top w:val="nil"/>
              <w:left w:val="nil"/>
              <w:bottom w:val="single" w:sz="4" w:space="0" w:color="auto"/>
              <w:right w:val="single" w:sz="4" w:space="0" w:color="auto"/>
            </w:tcBorders>
            <w:shd w:val="clear" w:color="auto" w:fill="auto"/>
            <w:noWrap/>
            <w:vAlign w:val="bottom"/>
            <w:hideMark/>
          </w:tcPr>
          <w:p w:rsidR="001E02FA" w:rsidRPr="009E0147" w:rsidRDefault="001E02FA" w:rsidP="001E02FA">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w:t>
            </w:r>
          </w:p>
        </w:tc>
        <w:tc>
          <w:tcPr>
            <w:tcW w:w="1984" w:type="dxa"/>
            <w:tcBorders>
              <w:top w:val="nil"/>
              <w:left w:val="nil"/>
              <w:bottom w:val="single" w:sz="4" w:space="0" w:color="auto"/>
              <w:right w:val="nil"/>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 xml:space="preserve">      151,500,000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303,000,000 </w:t>
            </w:r>
          </w:p>
        </w:tc>
        <w:tc>
          <w:tcPr>
            <w:tcW w:w="1701" w:type="dxa"/>
            <w:tcBorders>
              <w:top w:val="nil"/>
              <w:left w:val="nil"/>
              <w:bottom w:val="single" w:sz="4" w:space="0" w:color="auto"/>
              <w:right w:val="single" w:sz="4" w:space="0" w:color="auto"/>
            </w:tcBorders>
            <w:shd w:val="clear" w:color="auto" w:fill="auto"/>
            <w:noWrap/>
            <w:vAlign w:val="bottom"/>
            <w:hideMark/>
          </w:tcPr>
          <w:p w:rsidR="001E02FA" w:rsidRPr="009E0147" w:rsidRDefault="001E02FA" w:rsidP="001E02FA">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xml:space="preserve"> 303,000,000 </w:t>
            </w:r>
          </w:p>
        </w:tc>
      </w:tr>
    </w:tbl>
    <w:p w:rsidR="009D2D2F" w:rsidRDefault="009D2D2F" w:rsidP="008363BF">
      <w:pPr>
        <w:spacing w:line="240" w:lineRule="atLeast"/>
        <w:rPr>
          <w:rFonts w:ascii="Angsana New" w:hAnsi="Angsana New"/>
          <w:noProof w:val="0"/>
          <w:szCs w:val="28"/>
          <w:lang w:bidi="th-TH"/>
        </w:rPr>
      </w:pPr>
    </w:p>
    <w:tbl>
      <w:tblPr>
        <w:tblW w:w="8991" w:type="dxa"/>
        <w:tblInd w:w="93" w:type="dxa"/>
        <w:tblLook w:val="04A0"/>
      </w:tblPr>
      <w:tblGrid>
        <w:gridCol w:w="483"/>
        <w:gridCol w:w="4068"/>
        <w:gridCol w:w="426"/>
        <w:gridCol w:w="1054"/>
        <w:gridCol w:w="222"/>
        <w:gridCol w:w="1258"/>
        <w:gridCol w:w="17"/>
        <w:gridCol w:w="1418"/>
        <w:gridCol w:w="45"/>
      </w:tblGrid>
      <w:tr w:rsidR="002312C0" w:rsidRPr="009E0147" w:rsidTr="009E0147">
        <w:trPr>
          <w:trHeight w:val="336"/>
        </w:trPr>
        <w:tc>
          <w:tcPr>
            <w:tcW w:w="4551" w:type="dxa"/>
            <w:gridSpan w:val="2"/>
            <w:tcBorders>
              <w:top w:val="nil"/>
              <w:left w:val="nil"/>
              <w:bottom w:val="single" w:sz="8" w:space="0" w:color="auto"/>
              <w:right w:val="nil"/>
            </w:tcBorders>
            <w:shd w:val="clear" w:color="auto" w:fill="auto"/>
            <w:vAlign w:val="bottom"/>
            <w:hideMark/>
          </w:tcPr>
          <w:p w:rsidR="0012191A" w:rsidRPr="009E0147" w:rsidRDefault="0012191A" w:rsidP="002312C0">
            <w:pPr>
              <w:jc w:val="both"/>
              <w:rPr>
                <w:rFonts w:asciiTheme="majorBidi" w:eastAsia="Times New Roman" w:hAnsiTheme="majorBidi" w:cstheme="majorBidi"/>
                <w:b/>
                <w:bCs/>
                <w:noProof w:val="0"/>
                <w:szCs w:val="28"/>
                <w:lang w:bidi="th-TH"/>
              </w:rPr>
            </w:pPr>
          </w:p>
          <w:p w:rsidR="002312C0" w:rsidRPr="009E0147" w:rsidRDefault="002312C0" w:rsidP="002312C0">
            <w:pPr>
              <w:jc w:val="both"/>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Statements of Cash Flows</w:t>
            </w:r>
          </w:p>
        </w:tc>
        <w:tc>
          <w:tcPr>
            <w:tcW w:w="1480" w:type="dxa"/>
            <w:gridSpan w:val="2"/>
            <w:tcBorders>
              <w:top w:val="nil"/>
              <w:left w:val="nil"/>
              <w:bottom w:val="single" w:sz="8" w:space="0" w:color="auto"/>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2"/>
            <w:tcBorders>
              <w:top w:val="nil"/>
              <w:left w:val="nil"/>
              <w:bottom w:val="single" w:sz="8" w:space="0" w:color="auto"/>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3"/>
            <w:tcBorders>
              <w:top w:val="nil"/>
              <w:left w:val="nil"/>
              <w:bottom w:val="single" w:sz="8" w:space="0" w:color="auto"/>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w:t>
            </w:r>
          </w:p>
        </w:tc>
        <w:tc>
          <w:tcPr>
            <w:tcW w:w="1480" w:type="dxa"/>
            <w:gridSpan w:val="2"/>
            <w:tcBorders>
              <w:top w:val="nil"/>
              <w:left w:val="single" w:sz="8" w:space="0" w:color="auto"/>
              <w:bottom w:val="single" w:sz="8" w:space="0" w:color="auto"/>
              <w:right w:val="nil"/>
            </w:tcBorders>
            <w:shd w:val="clear" w:color="000000" w:fill="FFFFFF"/>
            <w:noWrap/>
            <w:vAlign w:val="bottom"/>
            <w:hideMark/>
          </w:tcPr>
          <w:p w:rsidR="002312C0" w:rsidRPr="009E0147" w:rsidRDefault="002312C0" w:rsidP="00E96A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2557</w:t>
            </w:r>
          </w:p>
        </w:tc>
        <w:tc>
          <w:tcPr>
            <w:tcW w:w="1480" w:type="dxa"/>
            <w:gridSpan w:val="2"/>
            <w:tcBorders>
              <w:top w:val="nil"/>
              <w:left w:val="single" w:sz="8" w:space="0" w:color="auto"/>
              <w:bottom w:val="single" w:sz="8" w:space="0" w:color="auto"/>
              <w:right w:val="nil"/>
            </w:tcBorders>
            <w:shd w:val="clear" w:color="000000" w:fill="FFFFFF"/>
            <w:noWrap/>
            <w:vAlign w:val="bottom"/>
            <w:hideMark/>
          </w:tcPr>
          <w:p w:rsidR="002312C0" w:rsidRPr="009E0147" w:rsidRDefault="002312C0" w:rsidP="00E96A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2558</w:t>
            </w:r>
          </w:p>
        </w:tc>
        <w:tc>
          <w:tcPr>
            <w:tcW w:w="1480" w:type="dxa"/>
            <w:gridSpan w:val="3"/>
            <w:tcBorders>
              <w:top w:val="nil"/>
              <w:left w:val="single" w:sz="8" w:space="0" w:color="auto"/>
              <w:bottom w:val="single" w:sz="8" w:space="0" w:color="auto"/>
              <w:right w:val="single" w:sz="8" w:space="0" w:color="auto"/>
            </w:tcBorders>
            <w:shd w:val="clear" w:color="000000" w:fill="FFFFFF"/>
            <w:noWrap/>
            <w:vAlign w:val="bottom"/>
            <w:hideMark/>
          </w:tcPr>
          <w:p w:rsidR="002312C0" w:rsidRPr="009E0147" w:rsidRDefault="002312C0" w:rsidP="00E96A0E">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2559</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Cash flows from operating activities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Direct premium written</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3,118,595</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3,074,914</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3,310,865</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Cash paid for reinsurance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230,198</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184,681</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148,386</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Interest income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34,881</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46,123</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19,815</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cs/>
                <w:lang w:bidi="th-TH"/>
              </w:rPr>
              <w:t xml:space="preserve">  </w:t>
            </w:r>
            <w:r w:rsidRPr="009E0147">
              <w:rPr>
                <w:rFonts w:asciiTheme="majorBidi" w:eastAsia="Times New Roman" w:hAnsiTheme="majorBidi" w:cstheme="majorBidi"/>
                <w:noProof w:val="0"/>
                <w:color w:val="000000"/>
                <w:szCs w:val="28"/>
                <w:lang w:bidi="th-TH"/>
              </w:rPr>
              <w:t>Dividend income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55,725</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43,186</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40,296</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C42522"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I</w:t>
            </w:r>
            <w:r w:rsidR="002312C0" w:rsidRPr="009E0147">
              <w:rPr>
                <w:rFonts w:asciiTheme="majorBidi" w:eastAsia="Times New Roman" w:hAnsiTheme="majorBidi" w:cstheme="majorBidi"/>
                <w:noProof w:val="0"/>
                <w:color w:val="000000"/>
                <w:szCs w:val="28"/>
                <w:lang w:bidi="th-TH"/>
              </w:rPr>
              <w:t>nvestment income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5,575</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4,063</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3,074</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Other income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112F38"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w:t>
            </w:r>
            <w:r w:rsidR="002312C0" w:rsidRPr="009E0147">
              <w:rPr>
                <w:rFonts w:asciiTheme="majorBidi" w:eastAsia="Times New Roman" w:hAnsiTheme="majorBidi" w:cstheme="majorBidi"/>
                <w:noProof w:val="0"/>
                <w:szCs w:val="28"/>
                <w:lang w:bidi="th-TH"/>
              </w:rPr>
              <w:t>,</w:t>
            </w:r>
            <w:r w:rsidRPr="009E0147">
              <w:rPr>
                <w:rFonts w:asciiTheme="majorBidi" w:eastAsia="Times New Roman" w:hAnsiTheme="majorBidi" w:cstheme="majorBidi"/>
                <w:noProof w:val="0"/>
                <w:szCs w:val="28"/>
                <w:lang w:bidi="th-TH"/>
              </w:rPr>
              <w:t>379</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112F38"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7,480</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112F38"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16,129</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Loss incurred on direct insurance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4A53D0" w:rsidRPr="009E0147">
              <w:rPr>
                <w:rFonts w:asciiTheme="majorBidi" w:eastAsia="Times New Roman" w:hAnsiTheme="majorBidi" w:cstheme="majorBidi"/>
                <w:noProof w:val="0"/>
                <w:szCs w:val="28"/>
                <w:lang w:bidi="th-TH"/>
              </w:rPr>
              <w:t>1,625,663</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4A53D0" w:rsidRPr="009E0147">
              <w:rPr>
                <w:rFonts w:asciiTheme="majorBidi" w:eastAsia="Times New Roman" w:hAnsiTheme="majorBidi" w:cstheme="majorBidi"/>
                <w:noProof w:val="0"/>
                <w:szCs w:val="28"/>
                <w:lang w:bidi="th-TH"/>
              </w:rPr>
              <w:t>1,602,361</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w:t>
            </w:r>
            <w:r w:rsidR="004A53D0" w:rsidRPr="009E0147">
              <w:rPr>
                <w:rFonts w:asciiTheme="majorBidi" w:eastAsia="Times New Roman" w:hAnsiTheme="majorBidi" w:cstheme="majorBidi"/>
                <w:noProof w:val="0"/>
                <w:szCs w:val="28"/>
                <w:lang w:bidi="th-TH"/>
              </w:rPr>
              <w:t>710,347</w:t>
            </w:r>
            <w:r w:rsidRPr="009E0147">
              <w:rPr>
                <w:rFonts w:asciiTheme="majorBidi" w:eastAsia="Times New Roman" w:hAnsiTheme="majorBidi" w:cstheme="majorBidi"/>
                <w:noProof w:val="0"/>
                <w:szCs w:val="28"/>
                <w:lang w:bidi="th-TH"/>
              </w:rPr>
              <w:t>)</w:t>
            </w:r>
          </w:p>
        </w:tc>
      </w:tr>
      <w:tr w:rsidR="00450755"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450755" w:rsidRPr="009E0147" w:rsidRDefault="00AC56B8" w:rsidP="002312C0">
            <w:pPr>
              <w:jc w:val="both"/>
              <w:rPr>
                <w:rFonts w:asciiTheme="majorBidi" w:eastAsia="Times New Roman" w:hAnsiTheme="majorBidi" w:cstheme="majorBidi"/>
                <w:noProof w:val="0"/>
                <w:color w:val="000000"/>
                <w:szCs w:val="28"/>
                <w:highlight w:val="yellow"/>
                <w:lang w:bidi="th-TH"/>
              </w:rPr>
            </w:pPr>
            <w:r w:rsidRPr="009E0147">
              <w:rPr>
                <w:rFonts w:asciiTheme="majorBidi" w:eastAsia="Times New Roman" w:hAnsiTheme="majorBidi" w:cstheme="majorBidi"/>
                <w:noProof w:val="0"/>
                <w:color w:val="000000"/>
                <w:szCs w:val="28"/>
                <w:lang w:bidi="th-TH"/>
              </w:rPr>
              <w:t>Loss adjustment expenses on direct insurance</w:t>
            </w:r>
          </w:p>
        </w:tc>
        <w:tc>
          <w:tcPr>
            <w:tcW w:w="1480" w:type="dxa"/>
            <w:gridSpan w:val="2"/>
            <w:tcBorders>
              <w:top w:val="nil"/>
              <w:left w:val="single" w:sz="8" w:space="0" w:color="auto"/>
              <w:bottom w:val="nil"/>
              <w:right w:val="nil"/>
            </w:tcBorders>
            <w:shd w:val="clear" w:color="auto" w:fill="auto"/>
            <w:noWrap/>
            <w:vAlign w:val="bottom"/>
            <w:hideMark/>
          </w:tcPr>
          <w:p w:rsidR="00450755" w:rsidRPr="009E0147" w:rsidRDefault="0045075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(32,848)</w:t>
            </w:r>
          </w:p>
        </w:tc>
        <w:tc>
          <w:tcPr>
            <w:tcW w:w="1480" w:type="dxa"/>
            <w:gridSpan w:val="2"/>
            <w:tcBorders>
              <w:top w:val="nil"/>
              <w:left w:val="single" w:sz="8" w:space="0" w:color="auto"/>
              <w:bottom w:val="nil"/>
              <w:right w:val="nil"/>
            </w:tcBorders>
            <w:shd w:val="clear" w:color="auto" w:fill="auto"/>
            <w:noWrap/>
            <w:vAlign w:val="bottom"/>
            <w:hideMark/>
          </w:tcPr>
          <w:p w:rsidR="00450755" w:rsidRPr="009E0147" w:rsidRDefault="0045075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(27,841)</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450755" w:rsidRPr="009E0147" w:rsidRDefault="0045075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(29,622)</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Commission and brokerage on direct insurance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529,268</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532,430</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561,194</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Other underwriting expenses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103,740</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117,012</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145,082</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Operating Expenses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596,524</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481,575</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609,349</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Income tax</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26,367</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25,785</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7,289</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Investment in securities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154,262</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705,663</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381,434</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Loans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232</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2,975</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1,246</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Deposits at Financial Institutions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E860D5"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233,213</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757,652</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150,672</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Net cash used in operating activities</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2312C0" w:rsidRPr="009E0147" w:rsidRDefault="0052648B"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r w:rsidR="002312C0" w:rsidRPr="009E0147">
              <w:rPr>
                <w:rFonts w:asciiTheme="majorBidi" w:eastAsia="Times New Roman" w:hAnsiTheme="majorBidi" w:cstheme="majorBidi"/>
                <w:b/>
                <w:bCs/>
                <w:noProof w:val="0"/>
                <w:szCs w:val="28"/>
                <w:lang w:bidi="th-TH"/>
              </w:rPr>
              <w:t>2,172</w:t>
            </w:r>
            <w:r w:rsidRPr="009E0147">
              <w:rPr>
                <w:rFonts w:asciiTheme="majorBidi" w:eastAsia="Times New Roman" w:hAnsiTheme="majorBidi" w:cstheme="majorBidi"/>
                <w:b/>
                <w:bCs/>
                <w:noProof w:val="0"/>
                <w:szCs w:val="28"/>
                <w:lang w:bidi="th-TH"/>
              </w:rPr>
              <w:t>)</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2312C0" w:rsidRPr="009E0147" w:rsidRDefault="004039F1"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259,044</w:t>
            </w:r>
          </w:p>
        </w:tc>
        <w:tc>
          <w:tcPr>
            <w:tcW w:w="1480" w:type="dxa"/>
            <w:gridSpan w:val="3"/>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2312C0" w:rsidRPr="009E0147" w:rsidRDefault="0052648B"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r w:rsidR="002312C0" w:rsidRPr="009E0147">
              <w:rPr>
                <w:rFonts w:asciiTheme="majorBidi" w:eastAsia="Times New Roman" w:hAnsiTheme="majorBidi" w:cstheme="majorBidi"/>
                <w:b/>
                <w:bCs/>
                <w:noProof w:val="0"/>
                <w:szCs w:val="28"/>
                <w:lang w:bidi="th-TH"/>
              </w:rPr>
              <w:t>50,607</w:t>
            </w:r>
            <w:r w:rsidRPr="009E0147">
              <w:rPr>
                <w:rFonts w:asciiTheme="majorBidi" w:eastAsia="Times New Roman" w:hAnsiTheme="majorBidi" w:cstheme="majorBidi"/>
                <w:b/>
                <w:bCs/>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4A53D0"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 xml:space="preserve">Cash flows from investing </w:t>
            </w:r>
            <w:r w:rsidR="003E687A" w:rsidRPr="009E0147">
              <w:rPr>
                <w:rFonts w:asciiTheme="majorBidi" w:eastAsia="Times New Roman" w:hAnsiTheme="majorBidi" w:cstheme="majorBidi"/>
                <w:b/>
                <w:bCs/>
                <w:noProof w:val="0"/>
                <w:color w:val="000000"/>
                <w:szCs w:val="28"/>
                <w:lang w:bidi="th-TH"/>
              </w:rPr>
              <w:t>activities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Property, buildings and equipment</w:t>
            </w:r>
            <w:r w:rsidR="004A53D0" w:rsidRPr="009E0147">
              <w:rPr>
                <w:rFonts w:asciiTheme="majorBidi" w:eastAsia="Times New Roman" w:hAnsiTheme="majorBidi" w:cstheme="majorBidi"/>
                <w:noProof w:val="0"/>
                <w:color w:val="000000"/>
                <w:szCs w:val="28"/>
                <w:lang w:bidi="th-TH"/>
              </w:rPr>
              <w:t xml:space="preserve"> purchase</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52648B"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44,124</w:t>
            </w:r>
            <w:r w:rsidRPr="009E0147">
              <w:rPr>
                <w:rFonts w:asciiTheme="majorBidi" w:eastAsia="Times New Roman" w:hAnsiTheme="majorBidi" w:cstheme="majorBidi"/>
                <w:noProof w:val="0"/>
                <w:szCs w:val="28"/>
                <w:lang w:bidi="th-TH"/>
              </w:rPr>
              <w:t>)</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52648B"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59,938</w:t>
            </w:r>
            <w:r w:rsidRPr="009E0147">
              <w:rPr>
                <w:rFonts w:asciiTheme="majorBidi" w:eastAsia="Times New Roman" w:hAnsiTheme="majorBidi" w:cstheme="majorBidi"/>
                <w:noProof w:val="0"/>
                <w:szCs w:val="28"/>
                <w:lang w:bidi="th-TH"/>
              </w:rPr>
              <w:t>)</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52648B"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2312C0" w:rsidRPr="009E0147">
              <w:rPr>
                <w:rFonts w:asciiTheme="majorBidi" w:eastAsia="Times New Roman" w:hAnsiTheme="majorBidi" w:cstheme="majorBidi"/>
                <w:noProof w:val="0"/>
                <w:szCs w:val="28"/>
                <w:lang w:bidi="th-TH"/>
              </w:rPr>
              <w:t>32,258</w:t>
            </w:r>
            <w:r w:rsidRPr="009E0147">
              <w:rPr>
                <w:rFonts w:asciiTheme="majorBidi" w:eastAsia="Times New Roman" w:hAnsiTheme="majorBidi" w:cstheme="majorBidi"/>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2312C0"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Equipmen</w:t>
            </w:r>
            <w:r w:rsidR="004A53D0" w:rsidRPr="009E0147">
              <w:rPr>
                <w:rFonts w:asciiTheme="majorBidi" w:eastAsia="Times New Roman" w:hAnsiTheme="majorBidi" w:cstheme="majorBidi"/>
                <w:noProof w:val="0"/>
                <w:color w:val="000000"/>
                <w:szCs w:val="28"/>
                <w:lang w:bidi="th-TH"/>
              </w:rPr>
              <w:t>t sales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645</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863</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76</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164EDD"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N</w:t>
            </w:r>
            <w:r w:rsidR="004A53D0" w:rsidRPr="009E0147">
              <w:rPr>
                <w:rFonts w:asciiTheme="majorBidi" w:eastAsia="Times New Roman" w:hAnsiTheme="majorBidi" w:cstheme="majorBidi"/>
                <w:b/>
                <w:bCs/>
                <w:noProof w:val="0"/>
                <w:color w:val="000000"/>
                <w:szCs w:val="28"/>
                <w:lang w:bidi="th-TH"/>
              </w:rPr>
              <w:t>et cash used in investing activities</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2312C0" w:rsidRPr="009E0147" w:rsidRDefault="0052648B"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r w:rsidR="002312C0" w:rsidRPr="009E0147">
              <w:rPr>
                <w:rFonts w:asciiTheme="majorBidi" w:eastAsia="Times New Roman" w:hAnsiTheme="majorBidi" w:cstheme="majorBidi"/>
                <w:b/>
                <w:bCs/>
                <w:noProof w:val="0"/>
                <w:szCs w:val="28"/>
                <w:lang w:bidi="th-TH"/>
              </w:rPr>
              <w:t>43,479</w:t>
            </w:r>
            <w:r w:rsidRPr="009E0147">
              <w:rPr>
                <w:rFonts w:asciiTheme="majorBidi" w:eastAsia="Times New Roman" w:hAnsiTheme="majorBidi" w:cstheme="majorBidi"/>
                <w:b/>
                <w:bCs/>
                <w:noProof w:val="0"/>
                <w:szCs w:val="28"/>
                <w:lang w:bidi="th-TH"/>
              </w:rPr>
              <w:t>)</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2312C0" w:rsidRPr="009E0147" w:rsidRDefault="0052648B"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r w:rsidR="002312C0" w:rsidRPr="009E0147">
              <w:rPr>
                <w:rFonts w:asciiTheme="majorBidi" w:eastAsia="Times New Roman" w:hAnsiTheme="majorBidi" w:cstheme="majorBidi"/>
                <w:b/>
                <w:bCs/>
                <w:noProof w:val="0"/>
                <w:szCs w:val="28"/>
                <w:lang w:bidi="th-TH"/>
              </w:rPr>
              <w:t>59,075</w:t>
            </w:r>
            <w:r w:rsidRPr="009E0147">
              <w:rPr>
                <w:rFonts w:asciiTheme="majorBidi" w:eastAsia="Times New Roman" w:hAnsiTheme="majorBidi" w:cstheme="majorBidi"/>
                <w:b/>
                <w:bCs/>
                <w:noProof w:val="0"/>
                <w:szCs w:val="28"/>
                <w:lang w:bidi="th-TH"/>
              </w:rPr>
              <w:t>)</w:t>
            </w:r>
          </w:p>
        </w:tc>
        <w:tc>
          <w:tcPr>
            <w:tcW w:w="1480" w:type="dxa"/>
            <w:gridSpan w:val="3"/>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2312C0" w:rsidRPr="009E0147" w:rsidRDefault="0052648B"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w:t>
            </w:r>
            <w:r w:rsidR="002312C0" w:rsidRPr="009E0147">
              <w:rPr>
                <w:rFonts w:asciiTheme="majorBidi" w:eastAsia="Times New Roman" w:hAnsiTheme="majorBidi" w:cstheme="majorBidi"/>
                <w:b/>
                <w:bCs/>
                <w:noProof w:val="0"/>
                <w:szCs w:val="28"/>
                <w:lang w:bidi="th-TH"/>
              </w:rPr>
              <w:t>32,182</w:t>
            </w:r>
            <w:r w:rsidRPr="009E0147">
              <w:rPr>
                <w:rFonts w:asciiTheme="majorBidi" w:eastAsia="Times New Roman" w:hAnsiTheme="majorBidi" w:cstheme="majorBidi"/>
                <w:b/>
                <w:bCs/>
                <w:noProof w:val="0"/>
                <w:szCs w:val="28"/>
                <w:lang w:bidi="th-TH"/>
              </w:rPr>
              <w:t>)</w:t>
            </w:r>
          </w:p>
        </w:tc>
      </w:tr>
      <w:tr w:rsidR="002312C0"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2312C0" w:rsidRPr="009E0147" w:rsidRDefault="00164EDD"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Cash flows from financing activities</w:t>
            </w: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2"/>
            <w:tcBorders>
              <w:top w:val="nil"/>
              <w:left w:val="single" w:sz="8" w:space="0" w:color="auto"/>
              <w:bottom w:val="nil"/>
              <w:right w:val="nil"/>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2312C0" w:rsidRPr="009E0147" w:rsidRDefault="002312C0" w:rsidP="00E96A0E">
            <w:pPr>
              <w:jc w:val="right"/>
              <w:rPr>
                <w:rFonts w:asciiTheme="majorBidi" w:eastAsia="Times New Roman" w:hAnsiTheme="majorBidi" w:cstheme="majorBidi"/>
                <w:noProof w:val="0"/>
                <w:szCs w:val="28"/>
                <w:lang w:bidi="th-TH"/>
              </w:rPr>
            </w:pPr>
          </w:p>
        </w:tc>
      </w:tr>
      <w:tr w:rsidR="00164EDD"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164EDD" w:rsidRPr="009E0147" w:rsidRDefault="00164EDD" w:rsidP="00E1242A">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Dividend paid</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(48,479)</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(16,833)</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(15,150)</w:t>
            </w:r>
          </w:p>
        </w:tc>
      </w:tr>
      <w:tr w:rsidR="00164EDD"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164EDD" w:rsidRPr="009E0147" w:rsidRDefault="00164EDD"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Net cash used in financing activities</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(48,479)</w:t>
            </w:r>
          </w:p>
        </w:tc>
        <w:tc>
          <w:tcPr>
            <w:tcW w:w="1480" w:type="dxa"/>
            <w:gridSpan w:val="2"/>
            <w:tcBorders>
              <w:top w:val="single" w:sz="8" w:space="0" w:color="auto"/>
              <w:left w:val="single" w:sz="8" w:space="0" w:color="auto"/>
              <w:bottom w:val="double" w:sz="6" w:space="0" w:color="auto"/>
              <w:right w:val="nil"/>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(16,833)</w:t>
            </w:r>
          </w:p>
        </w:tc>
        <w:tc>
          <w:tcPr>
            <w:tcW w:w="1480" w:type="dxa"/>
            <w:gridSpan w:val="3"/>
            <w:tcBorders>
              <w:top w:val="single" w:sz="8" w:space="0" w:color="auto"/>
              <w:left w:val="single" w:sz="8" w:space="0" w:color="auto"/>
              <w:bottom w:val="double" w:sz="6" w:space="0" w:color="auto"/>
              <w:right w:val="single" w:sz="8" w:space="0" w:color="auto"/>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(15,150)</w:t>
            </w:r>
          </w:p>
        </w:tc>
      </w:tr>
      <w:tr w:rsidR="00164EDD"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164EDD" w:rsidRPr="009E0147" w:rsidRDefault="00164EDD"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Net decrease in cash and cash equivalents</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(94,130)</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183,137</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(97,939)</w:t>
            </w:r>
          </w:p>
        </w:tc>
      </w:tr>
      <w:tr w:rsidR="00164EDD" w:rsidRPr="009E0147" w:rsidTr="009E0147">
        <w:trPr>
          <w:trHeight w:val="336"/>
        </w:trPr>
        <w:tc>
          <w:tcPr>
            <w:tcW w:w="4551" w:type="dxa"/>
            <w:gridSpan w:val="2"/>
            <w:tcBorders>
              <w:top w:val="nil"/>
              <w:left w:val="single" w:sz="8" w:space="0" w:color="auto"/>
              <w:bottom w:val="nil"/>
              <w:right w:val="nil"/>
            </w:tcBorders>
            <w:shd w:val="clear" w:color="auto" w:fill="auto"/>
            <w:vAlign w:val="bottom"/>
            <w:hideMark/>
          </w:tcPr>
          <w:p w:rsidR="00164EDD" w:rsidRPr="009E0147" w:rsidRDefault="00164EDD" w:rsidP="002312C0">
            <w:pPr>
              <w:jc w:val="both"/>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Cash and cash equivalents at beginning of year</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237,828</w:t>
            </w:r>
          </w:p>
        </w:tc>
        <w:tc>
          <w:tcPr>
            <w:tcW w:w="1480" w:type="dxa"/>
            <w:gridSpan w:val="2"/>
            <w:tcBorders>
              <w:top w:val="nil"/>
              <w:left w:val="single" w:sz="8" w:space="0" w:color="auto"/>
              <w:bottom w:val="nil"/>
              <w:right w:val="nil"/>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143,698</w:t>
            </w:r>
          </w:p>
        </w:tc>
        <w:tc>
          <w:tcPr>
            <w:tcW w:w="1480" w:type="dxa"/>
            <w:gridSpan w:val="3"/>
            <w:tcBorders>
              <w:top w:val="nil"/>
              <w:left w:val="single" w:sz="8" w:space="0" w:color="auto"/>
              <w:bottom w:val="nil"/>
              <w:right w:val="single" w:sz="8" w:space="0" w:color="auto"/>
            </w:tcBorders>
            <w:shd w:val="clear" w:color="auto" w:fill="auto"/>
            <w:noWrap/>
            <w:vAlign w:val="bottom"/>
            <w:hideMark/>
          </w:tcPr>
          <w:p w:rsidR="00164EDD" w:rsidRPr="009E0147" w:rsidRDefault="00164EDD" w:rsidP="00E96A0E">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326,83</w:t>
            </w:r>
            <w:r w:rsidR="00A24CED" w:rsidRPr="009E0147">
              <w:rPr>
                <w:rFonts w:asciiTheme="majorBidi" w:eastAsia="Times New Roman" w:hAnsiTheme="majorBidi" w:cstheme="majorBidi"/>
                <w:noProof w:val="0"/>
                <w:szCs w:val="28"/>
                <w:lang w:bidi="th-TH"/>
              </w:rPr>
              <w:t>4</w:t>
            </w:r>
          </w:p>
        </w:tc>
      </w:tr>
      <w:tr w:rsidR="00164EDD" w:rsidRPr="009E0147" w:rsidTr="009E0147">
        <w:trPr>
          <w:trHeight w:val="336"/>
        </w:trPr>
        <w:tc>
          <w:tcPr>
            <w:tcW w:w="4551" w:type="dxa"/>
            <w:gridSpan w:val="2"/>
            <w:tcBorders>
              <w:top w:val="nil"/>
              <w:left w:val="single" w:sz="8" w:space="0" w:color="auto"/>
              <w:bottom w:val="single" w:sz="8" w:space="0" w:color="auto"/>
              <w:right w:val="nil"/>
            </w:tcBorders>
            <w:shd w:val="clear" w:color="auto" w:fill="auto"/>
            <w:vAlign w:val="bottom"/>
            <w:hideMark/>
          </w:tcPr>
          <w:p w:rsidR="00164EDD" w:rsidRPr="009E0147" w:rsidRDefault="00164EDD" w:rsidP="002312C0">
            <w:pPr>
              <w:jc w:val="both"/>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Cash and cash equivalents at end of year</w:t>
            </w:r>
          </w:p>
        </w:tc>
        <w:tc>
          <w:tcPr>
            <w:tcW w:w="1480"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143,698</w:t>
            </w:r>
          </w:p>
        </w:tc>
        <w:tc>
          <w:tcPr>
            <w:tcW w:w="1480"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cs/>
                <w:lang w:bidi="th-TH"/>
              </w:rPr>
            </w:pPr>
            <w:r w:rsidRPr="009E0147">
              <w:rPr>
                <w:rFonts w:asciiTheme="majorBidi" w:eastAsia="Times New Roman" w:hAnsiTheme="majorBidi" w:cstheme="majorBidi"/>
                <w:b/>
                <w:bCs/>
                <w:noProof w:val="0"/>
                <w:szCs w:val="28"/>
                <w:lang w:bidi="th-TH"/>
              </w:rPr>
              <w:t>326,834</w:t>
            </w:r>
          </w:p>
        </w:tc>
        <w:tc>
          <w:tcPr>
            <w:tcW w:w="1480" w:type="dxa"/>
            <w:gridSpan w:val="3"/>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164EDD" w:rsidRPr="009E0147" w:rsidRDefault="00164EDD" w:rsidP="00E96A0E">
            <w:pPr>
              <w:jc w:val="right"/>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228,89</w:t>
            </w:r>
            <w:r w:rsidR="00A24CED" w:rsidRPr="009E0147">
              <w:rPr>
                <w:rFonts w:asciiTheme="majorBidi" w:eastAsia="Times New Roman" w:hAnsiTheme="majorBidi" w:cstheme="majorBidi"/>
                <w:b/>
                <w:bCs/>
                <w:noProof w:val="0"/>
                <w:szCs w:val="28"/>
                <w:lang w:bidi="th-TH"/>
              </w:rPr>
              <w:t>5</w:t>
            </w:r>
          </w:p>
        </w:tc>
      </w:tr>
      <w:tr w:rsidR="00C11AC3" w:rsidRPr="009E0147" w:rsidTr="009E0147">
        <w:trPr>
          <w:gridAfter w:val="1"/>
          <w:wAfter w:w="45" w:type="dxa"/>
          <w:trHeight w:val="420"/>
        </w:trPr>
        <w:tc>
          <w:tcPr>
            <w:tcW w:w="4977" w:type="dxa"/>
            <w:gridSpan w:val="3"/>
            <w:tcBorders>
              <w:top w:val="nil"/>
              <w:left w:val="nil"/>
              <w:bottom w:val="single" w:sz="8" w:space="0" w:color="auto"/>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lastRenderedPageBreak/>
              <w:t>Financial Ratios</w:t>
            </w:r>
          </w:p>
        </w:tc>
        <w:tc>
          <w:tcPr>
            <w:tcW w:w="1276" w:type="dxa"/>
            <w:gridSpan w:val="2"/>
            <w:tcBorders>
              <w:top w:val="nil"/>
              <w:left w:val="nil"/>
              <w:bottom w:val="nil"/>
              <w:right w:val="nil"/>
            </w:tcBorders>
            <w:shd w:val="clear" w:color="auto" w:fill="auto"/>
            <w:noWrap/>
            <w:vAlign w:val="bottom"/>
            <w:hideMark/>
          </w:tcPr>
          <w:p w:rsidR="00C11AC3" w:rsidRPr="009E0147" w:rsidRDefault="00C11AC3" w:rsidP="00C11AC3">
            <w:pPr>
              <w:rPr>
                <w:rFonts w:asciiTheme="majorBidi" w:eastAsia="Times New Roman" w:hAnsiTheme="majorBidi" w:cstheme="majorBidi"/>
                <w:noProof w:val="0"/>
                <w:szCs w:val="28"/>
                <w:lang w:bidi="th-TH"/>
              </w:rPr>
            </w:pPr>
          </w:p>
        </w:tc>
        <w:tc>
          <w:tcPr>
            <w:tcW w:w="1275" w:type="dxa"/>
            <w:gridSpan w:val="2"/>
            <w:tcBorders>
              <w:top w:val="nil"/>
              <w:left w:val="nil"/>
              <w:bottom w:val="nil"/>
              <w:right w:val="nil"/>
            </w:tcBorders>
            <w:shd w:val="clear" w:color="auto" w:fill="auto"/>
            <w:noWrap/>
            <w:vAlign w:val="bottom"/>
            <w:hideMark/>
          </w:tcPr>
          <w:p w:rsidR="00C11AC3" w:rsidRPr="009E0147" w:rsidRDefault="00C11AC3" w:rsidP="00C11AC3">
            <w:pPr>
              <w:rPr>
                <w:rFonts w:asciiTheme="majorBidi" w:eastAsia="Times New Roman" w:hAnsiTheme="majorBidi" w:cstheme="majorBidi"/>
                <w:noProof w:val="0"/>
                <w:szCs w:val="28"/>
                <w:lang w:bidi="th-TH"/>
              </w:rPr>
            </w:pPr>
          </w:p>
        </w:tc>
        <w:tc>
          <w:tcPr>
            <w:tcW w:w="1418" w:type="dxa"/>
            <w:tcBorders>
              <w:top w:val="nil"/>
              <w:left w:val="nil"/>
              <w:bottom w:val="nil"/>
              <w:right w:val="nil"/>
            </w:tcBorders>
            <w:shd w:val="clear" w:color="auto" w:fill="auto"/>
            <w:noWrap/>
            <w:vAlign w:val="bottom"/>
            <w:hideMark/>
          </w:tcPr>
          <w:p w:rsidR="00C11AC3" w:rsidRPr="009E0147" w:rsidRDefault="00C11AC3" w:rsidP="00C11AC3">
            <w:pPr>
              <w:rPr>
                <w:rFonts w:asciiTheme="majorBidi" w:eastAsia="Times New Roman" w:hAnsiTheme="majorBidi" w:cstheme="majorBidi"/>
                <w:noProof w:val="0"/>
                <w:szCs w:val="28"/>
                <w:lang w:bidi="th-TH"/>
              </w:rPr>
            </w:pPr>
          </w:p>
        </w:tc>
      </w:tr>
      <w:tr w:rsidR="00C11AC3" w:rsidRPr="009E0147" w:rsidTr="009E0147">
        <w:trPr>
          <w:gridAfter w:val="1"/>
          <w:wAfter w:w="45" w:type="dxa"/>
          <w:trHeight w:val="300"/>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 </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p>
        </w:tc>
        <w:tc>
          <w:tcPr>
            <w:tcW w:w="1276"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C11AC3" w:rsidRPr="009E0147" w:rsidRDefault="00C11AC3" w:rsidP="00C11AC3">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2557</w:t>
            </w:r>
          </w:p>
        </w:tc>
        <w:tc>
          <w:tcPr>
            <w:tcW w:w="1275" w:type="dxa"/>
            <w:gridSpan w:val="2"/>
            <w:tcBorders>
              <w:top w:val="single" w:sz="8" w:space="0" w:color="auto"/>
              <w:left w:val="single" w:sz="8" w:space="0" w:color="auto"/>
              <w:bottom w:val="single" w:sz="8" w:space="0" w:color="auto"/>
              <w:right w:val="nil"/>
            </w:tcBorders>
            <w:shd w:val="clear" w:color="000000" w:fill="FFFFFF"/>
            <w:noWrap/>
            <w:vAlign w:val="bottom"/>
            <w:hideMark/>
          </w:tcPr>
          <w:p w:rsidR="00C11AC3" w:rsidRPr="009E0147" w:rsidRDefault="00C11AC3" w:rsidP="00C11AC3">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2558</w:t>
            </w:r>
          </w:p>
        </w:tc>
        <w:tc>
          <w:tcPr>
            <w:tcW w:w="141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11AC3" w:rsidRPr="009E0147" w:rsidRDefault="00C11AC3" w:rsidP="00C11AC3">
            <w:pPr>
              <w:jc w:val="center"/>
              <w:rPr>
                <w:rFonts w:asciiTheme="majorBidi" w:eastAsia="Times New Roman" w:hAnsiTheme="majorBidi" w:cstheme="majorBidi"/>
                <w:b/>
                <w:bCs/>
                <w:noProof w:val="0"/>
                <w:szCs w:val="28"/>
                <w:lang w:bidi="th-TH"/>
              </w:rPr>
            </w:pPr>
            <w:r w:rsidRPr="009E0147">
              <w:rPr>
                <w:rFonts w:asciiTheme="majorBidi" w:eastAsia="Times New Roman" w:hAnsiTheme="majorBidi" w:cstheme="majorBidi"/>
                <w:b/>
                <w:bCs/>
                <w:noProof w:val="0"/>
                <w:szCs w:val="28"/>
                <w:lang w:bidi="th-TH"/>
              </w:rPr>
              <w:t>2559</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(1)'</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cs/>
                <w:lang w:bidi="th-TH"/>
              </w:rPr>
              <w:t xml:space="preserve">: </w:t>
            </w:r>
            <w:r w:rsidRPr="009E0147">
              <w:rPr>
                <w:rFonts w:asciiTheme="majorBidi" w:eastAsia="Times New Roman" w:hAnsiTheme="majorBidi" w:cstheme="majorBidi"/>
                <w:b/>
                <w:bCs/>
                <w:noProof w:val="0"/>
                <w:color w:val="000000"/>
                <w:szCs w:val="28"/>
                <w:lang w:bidi="th-TH"/>
              </w:rPr>
              <w:t>LIQUIDITY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1.1</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Liquidity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0.55</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0.57</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0.51</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1.2</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Premium receivable turnover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42.84</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44.08</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44.56</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(2)'</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Premium receivable turnover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2.1</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Retention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75.12</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77.55</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73.88</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2.2</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Loss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55.91</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59.94</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61.34</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2.3</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Gross profit margin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0.9</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8C4026"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C11AC3" w:rsidRPr="009E0147">
              <w:rPr>
                <w:rFonts w:asciiTheme="majorBidi" w:eastAsia="Times New Roman" w:hAnsiTheme="majorBidi" w:cstheme="majorBidi"/>
                <w:noProof w:val="0"/>
                <w:szCs w:val="28"/>
                <w:lang w:bidi="th-TH"/>
              </w:rPr>
              <w:t>3.08</w:t>
            </w:r>
            <w:r w:rsidRPr="009E0147">
              <w:rPr>
                <w:rFonts w:asciiTheme="majorBidi" w:eastAsia="Times New Roman" w:hAnsiTheme="majorBidi" w:cstheme="majorBidi"/>
                <w:noProof w:val="0"/>
                <w:szCs w:val="28"/>
                <w:lang w:bidi="th-TH"/>
              </w:rPr>
              <w:t>)</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8C4026"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C11AC3" w:rsidRPr="009E0147">
              <w:rPr>
                <w:rFonts w:asciiTheme="majorBidi" w:eastAsia="Times New Roman" w:hAnsiTheme="majorBidi" w:cstheme="majorBidi"/>
                <w:noProof w:val="0"/>
                <w:szCs w:val="28"/>
                <w:lang w:bidi="th-TH"/>
              </w:rPr>
              <w:t>4.3</w:t>
            </w:r>
            <w:r w:rsidRPr="009E0147">
              <w:rPr>
                <w:rFonts w:asciiTheme="majorBidi" w:eastAsia="Times New Roman" w:hAnsiTheme="majorBidi" w:cstheme="majorBidi"/>
                <w:noProof w:val="0"/>
                <w:szCs w:val="28"/>
                <w:lang w:bidi="th-TH"/>
              </w:rPr>
              <w:t>)</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2.4</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Gross profit to total revenues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0.83</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8C4026"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C11AC3" w:rsidRPr="009E0147">
              <w:rPr>
                <w:rFonts w:asciiTheme="majorBidi" w:eastAsia="Times New Roman" w:hAnsiTheme="majorBidi" w:cstheme="majorBidi"/>
                <w:noProof w:val="0"/>
                <w:szCs w:val="28"/>
                <w:lang w:bidi="th-TH"/>
              </w:rPr>
              <w:t>2.96</w:t>
            </w:r>
            <w:r w:rsidRPr="009E0147">
              <w:rPr>
                <w:rFonts w:asciiTheme="majorBidi" w:eastAsia="Times New Roman" w:hAnsiTheme="majorBidi" w:cstheme="majorBidi"/>
                <w:noProof w:val="0"/>
                <w:szCs w:val="28"/>
                <w:lang w:bidi="th-TH"/>
              </w:rPr>
              <w:t>)</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8C4026"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w:t>
            </w:r>
            <w:r w:rsidR="00C11AC3" w:rsidRPr="009E0147">
              <w:rPr>
                <w:rFonts w:asciiTheme="majorBidi" w:eastAsia="Times New Roman" w:hAnsiTheme="majorBidi" w:cstheme="majorBidi"/>
                <w:noProof w:val="0"/>
                <w:szCs w:val="28"/>
                <w:lang w:bidi="th-TH"/>
              </w:rPr>
              <w:t>4.09</w:t>
            </w:r>
            <w:r w:rsidRPr="009E0147">
              <w:rPr>
                <w:rFonts w:asciiTheme="majorBidi" w:eastAsia="Times New Roman" w:hAnsiTheme="majorBidi" w:cstheme="majorBidi"/>
                <w:noProof w:val="0"/>
                <w:szCs w:val="28"/>
                <w:lang w:bidi="th-TH"/>
              </w:rPr>
              <w:t>)</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2.5</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Underwriting expenses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43.19</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43.14</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42.96</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2.6</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Return on investment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6.95</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3.01</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4.13</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2.7</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Net written premium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2.26</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2.21</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2.17</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2.8</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Net profit margin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6.87</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0.85</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0.88</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2.9</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Return on shareholders ‘ equity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18.1</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2.03</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2.28</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(3)'</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EFFICIENCY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3.1</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Return on asset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4.26</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0.53</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3.2</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Assets turnover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0.62</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0.59</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0.6</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(4)'</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FINANCIAL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 </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4.1</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Debt-to-shareholders’ equity ra</w:t>
            </w:r>
            <w:r w:rsidR="00CF6DB3" w:rsidRPr="009E0147">
              <w:rPr>
                <w:rFonts w:asciiTheme="majorBidi" w:eastAsia="Times New Roman" w:hAnsiTheme="majorBidi" w:cstheme="majorBidi"/>
                <w:noProof w:val="0"/>
                <w:color w:val="000000"/>
                <w:szCs w:val="28"/>
                <w:lang w:bidi="th-TH"/>
              </w:rPr>
              <w:t>t</w:t>
            </w:r>
            <w:r w:rsidRPr="009E0147">
              <w:rPr>
                <w:rFonts w:asciiTheme="majorBidi" w:eastAsia="Times New Roman" w:hAnsiTheme="majorBidi" w:cstheme="majorBidi"/>
                <w:noProof w:val="0"/>
                <w:color w:val="000000"/>
                <w:szCs w:val="28"/>
                <w:lang w:bidi="th-TH"/>
              </w:rPr>
              <w: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2.93</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3.19</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3.39</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4.2</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POLICY LIABITY TO CAPITAL FUND</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1.69</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1.82</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1.85</w:t>
            </w:r>
          </w:p>
        </w:tc>
      </w:tr>
      <w:tr w:rsidR="00C11AC3" w:rsidRPr="009E0147" w:rsidTr="009E0147">
        <w:trPr>
          <w:gridAfter w:val="1"/>
          <w:wAfter w:w="45" w:type="dxa"/>
          <w:trHeight w:val="720"/>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4.3</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Unearned premium reserve to shareholders’</w:t>
            </w:r>
            <w:r w:rsidRPr="009E0147">
              <w:rPr>
                <w:rFonts w:asciiTheme="majorBidi" w:eastAsia="Times New Roman" w:hAnsiTheme="majorBidi" w:cstheme="majorBidi"/>
                <w:noProof w:val="0"/>
                <w:color w:val="000000"/>
                <w:szCs w:val="28"/>
                <w:cs/>
                <w:lang w:bidi="th-TH"/>
              </w:rPr>
              <w:t xml:space="preserve"> </w:t>
            </w:r>
            <w:r w:rsidRPr="009E0147">
              <w:rPr>
                <w:rFonts w:asciiTheme="majorBidi" w:eastAsia="Times New Roman" w:hAnsiTheme="majorBidi" w:cstheme="majorBidi"/>
                <w:noProof w:val="0"/>
                <w:color w:val="000000"/>
                <w:szCs w:val="28"/>
                <w:lang w:bidi="th-TH"/>
              </w:rPr>
              <w:t>equity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1.03</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1.15</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1.07</w:t>
            </w:r>
          </w:p>
        </w:tc>
      </w:tr>
      <w:tr w:rsidR="00C11AC3" w:rsidRPr="009E0147" w:rsidTr="009E0147">
        <w:trPr>
          <w:gridAfter w:val="1"/>
          <w:wAfter w:w="45" w:type="dxa"/>
          <w:trHeight w:val="768"/>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4.4</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Unearned premium reserve to asset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28.41</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29.37</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26.44</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4.5</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noProof w:val="0"/>
                <w:color w:val="000000"/>
                <w:szCs w:val="28"/>
                <w:lang w:bidi="th-TH"/>
              </w:rPr>
            </w:pPr>
            <w:r w:rsidRPr="009E0147">
              <w:rPr>
                <w:rFonts w:asciiTheme="majorBidi" w:eastAsia="Times New Roman" w:hAnsiTheme="majorBidi" w:cstheme="majorBidi"/>
                <w:noProof w:val="0"/>
                <w:color w:val="000000"/>
                <w:szCs w:val="28"/>
                <w:lang w:bidi="th-TH"/>
              </w:rPr>
              <w:t>Dividend payout ratio</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91.94</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67.86</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60.37</w:t>
            </w:r>
          </w:p>
        </w:tc>
      </w:tr>
      <w:tr w:rsidR="00C11AC3" w:rsidRPr="009E0147" w:rsidTr="009E0147">
        <w:trPr>
          <w:gridAfter w:val="1"/>
          <w:wAfter w:w="45" w:type="dxa"/>
          <w:trHeight w:val="372"/>
        </w:trPr>
        <w:tc>
          <w:tcPr>
            <w:tcW w:w="483" w:type="dxa"/>
            <w:tcBorders>
              <w:top w:val="nil"/>
              <w:left w:val="single" w:sz="8" w:space="0" w:color="auto"/>
              <w:bottom w:val="nil"/>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(5)'</w:t>
            </w:r>
          </w:p>
        </w:tc>
        <w:tc>
          <w:tcPr>
            <w:tcW w:w="4494" w:type="dxa"/>
            <w:gridSpan w:val="2"/>
            <w:tcBorders>
              <w:top w:val="nil"/>
              <w:left w:val="nil"/>
              <w:bottom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Net earnings per share</w:t>
            </w:r>
          </w:p>
        </w:tc>
        <w:tc>
          <w:tcPr>
            <w:tcW w:w="1276" w:type="dxa"/>
            <w:gridSpan w:val="2"/>
            <w:tcBorders>
              <w:top w:val="nil"/>
              <w:left w:val="single" w:sz="8" w:space="0" w:color="auto"/>
              <w:bottom w:val="nil"/>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0.6</w:t>
            </w:r>
          </w:p>
        </w:tc>
        <w:tc>
          <w:tcPr>
            <w:tcW w:w="1275" w:type="dxa"/>
            <w:gridSpan w:val="2"/>
            <w:tcBorders>
              <w:top w:val="nil"/>
              <w:left w:val="single" w:sz="8" w:space="0" w:color="auto"/>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0.07</w:t>
            </w:r>
          </w:p>
        </w:tc>
        <w:tc>
          <w:tcPr>
            <w:tcW w:w="1418" w:type="dxa"/>
            <w:tcBorders>
              <w:top w:val="nil"/>
              <w:left w:val="nil"/>
              <w:bottom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0.08</w:t>
            </w:r>
          </w:p>
        </w:tc>
      </w:tr>
      <w:tr w:rsidR="00C11AC3" w:rsidRPr="009E0147" w:rsidTr="009E0147">
        <w:trPr>
          <w:gridAfter w:val="1"/>
          <w:wAfter w:w="45" w:type="dxa"/>
          <w:trHeight w:val="372"/>
        </w:trPr>
        <w:tc>
          <w:tcPr>
            <w:tcW w:w="483" w:type="dxa"/>
            <w:tcBorders>
              <w:top w:val="nil"/>
              <w:left w:val="single" w:sz="8" w:space="0" w:color="auto"/>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(6)'</w:t>
            </w:r>
          </w:p>
        </w:tc>
        <w:tc>
          <w:tcPr>
            <w:tcW w:w="4494" w:type="dxa"/>
            <w:gridSpan w:val="2"/>
            <w:tcBorders>
              <w:top w:val="nil"/>
              <w:left w:val="nil"/>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Dividend per share</w:t>
            </w:r>
          </w:p>
        </w:tc>
        <w:tc>
          <w:tcPr>
            <w:tcW w:w="1276" w:type="dxa"/>
            <w:gridSpan w:val="2"/>
            <w:tcBorders>
              <w:top w:val="nil"/>
              <w:left w:val="single" w:sz="8" w:space="0" w:color="auto"/>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0.56</w:t>
            </w:r>
          </w:p>
        </w:tc>
        <w:tc>
          <w:tcPr>
            <w:tcW w:w="1275" w:type="dxa"/>
            <w:gridSpan w:val="2"/>
            <w:tcBorders>
              <w:top w:val="nil"/>
              <w:left w:val="single" w:sz="8" w:space="0" w:color="auto"/>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0.05</w:t>
            </w:r>
          </w:p>
        </w:tc>
        <w:tc>
          <w:tcPr>
            <w:tcW w:w="1418" w:type="dxa"/>
            <w:tcBorders>
              <w:top w:val="nil"/>
              <w:left w:val="nil"/>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0.05</w:t>
            </w:r>
          </w:p>
        </w:tc>
      </w:tr>
      <w:tr w:rsidR="00C11AC3" w:rsidRPr="009E0147" w:rsidTr="009E0147">
        <w:trPr>
          <w:gridAfter w:val="1"/>
          <w:wAfter w:w="45" w:type="dxa"/>
          <w:trHeight w:val="372"/>
        </w:trPr>
        <w:tc>
          <w:tcPr>
            <w:tcW w:w="483" w:type="dxa"/>
            <w:tcBorders>
              <w:top w:val="nil"/>
              <w:left w:val="single" w:sz="8" w:space="0" w:color="auto"/>
              <w:bottom w:val="single" w:sz="4" w:space="0" w:color="auto"/>
              <w:right w:val="nil"/>
            </w:tcBorders>
            <w:shd w:val="clear" w:color="auto" w:fill="auto"/>
            <w:vAlign w:val="bottom"/>
            <w:hideMark/>
          </w:tcPr>
          <w:p w:rsidR="00C11AC3" w:rsidRPr="009E0147" w:rsidRDefault="00C11AC3" w:rsidP="00C11AC3">
            <w:pPr>
              <w:jc w:val="right"/>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(7)'</w:t>
            </w:r>
          </w:p>
        </w:tc>
        <w:tc>
          <w:tcPr>
            <w:tcW w:w="4494" w:type="dxa"/>
            <w:gridSpan w:val="2"/>
            <w:tcBorders>
              <w:top w:val="nil"/>
              <w:left w:val="nil"/>
              <w:bottom w:val="single" w:sz="4" w:space="0" w:color="auto"/>
              <w:right w:val="nil"/>
            </w:tcBorders>
            <w:shd w:val="clear" w:color="auto" w:fill="auto"/>
            <w:vAlign w:val="bottom"/>
            <w:hideMark/>
          </w:tcPr>
          <w:p w:rsidR="00C11AC3" w:rsidRPr="009E0147" w:rsidRDefault="00C11AC3" w:rsidP="00C11AC3">
            <w:pPr>
              <w:rPr>
                <w:rFonts w:asciiTheme="majorBidi" w:eastAsia="Times New Roman" w:hAnsiTheme="majorBidi" w:cstheme="majorBidi"/>
                <w:b/>
                <w:bCs/>
                <w:noProof w:val="0"/>
                <w:color w:val="000000"/>
                <w:szCs w:val="28"/>
                <w:lang w:bidi="th-TH"/>
              </w:rPr>
            </w:pPr>
            <w:r w:rsidRPr="009E0147">
              <w:rPr>
                <w:rFonts w:asciiTheme="majorBidi" w:eastAsia="Times New Roman" w:hAnsiTheme="majorBidi" w:cstheme="majorBidi"/>
                <w:b/>
                <w:bCs/>
                <w:noProof w:val="0"/>
                <w:color w:val="000000"/>
                <w:szCs w:val="28"/>
                <w:lang w:bidi="th-TH"/>
              </w:rPr>
              <w:t>Book value per share</w:t>
            </w:r>
          </w:p>
        </w:tc>
        <w:tc>
          <w:tcPr>
            <w:tcW w:w="1276" w:type="dxa"/>
            <w:gridSpan w:val="2"/>
            <w:tcBorders>
              <w:top w:val="nil"/>
              <w:left w:val="single" w:sz="8" w:space="0" w:color="auto"/>
              <w:bottom w:val="single" w:sz="4" w:space="0" w:color="auto"/>
              <w:right w:val="nil"/>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3.63</w:t>
            </w:r>
          </w:p>
        </w:tc>
        <w:tc>
          <w:tcPr>
            <w:tcW w:w="1275" w:type="dxa"/>
            <w:gridSpan w:val="2"/>
            <w:tcBorders>
              <w:top w:val="nil"/>
              <w:left w:val="single" w:sz="8" w:space="0" w:color="auto"/>
              <w:bottom w:val="single" w:sz="4" w:space="0" w:color="auto"/>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3.61</w:t>
            </w:r>
          </w:p>
        </w:tc>
        <w:tc>
          <w:tcPr>
            <w:tcW w:w="1418" w:type="dxa"/>
            <w:tcBorders>
              <w:top w:val="nil"/>
              <w:left w:val="nil"/>
              <w:bottom w:val="single" w:sz="4" w:space="0" w:color="auto"/>
              <w:right w:val="single" w:sz="8" w:space="0" w:color="auto"/>
            </w:tcBorders>
            <w:shd w:val="clear" w:color="auto" w:fill="auto"/>
            <w:noWrap/>
            <w:vAlign w:val="bottom"/>
            <w:hideMark/>
          </w:tcPr>
          <w:p w:rsidR="00C11AC3" w:rsidRPr="009E0147" w:rsidRDefault="00C11AC3" w:rsidP="004121C0">
            <w:pPr>
              <w:jc w:val="right"/>
              <w:rPr>
                <w:rFonts w:asciiTheme="majorBidi" w:eastAsia="Times New Roman" w:hAnsiTheme="majorBidi" w:cstheme="majorBidi"/>
                <w:noProof w:val="0"/>
                <w:szCs w:val="28"/>
                <w:lang w:bidi="th-TH"/>
              </w:rPr>
            </w:pPr>
            <w:r w:rsidRPr="009E0147">
              <w:rPr>
                <w:rFonts w:asciiTheme="majorBidi" w:eastAsia="Times New Roman" w:hAnsiTheme="majorBidi" w:cstheme="majorBidi"/>
                <w:noProof w:val="0"/>
                <w:szCs w:val="28"/>
                <w:lang w:bidi="th-TH"/>
              </w:rPr>
              <w:t>3.65</w:t>
            </w:r>
          </w:p>
        </w:tc>
      </w:tr>
    </w:tbl>
    <w:p w:rsidR="007432D4" w:rsidRDefault="007432D4">
      <w:pPr>
        <w:rPr>
          <w:rFonts w:ascii="Angsana New" w:hAnsi="Angsana New"/>
          <w:szCs w:val="28"/>
          <w:lang w:bidi="th-TH"/>
        </w:rPr>
      </w:pPr>
    </w:p>
    <w:p w:rsidR="00987BF7" w:rsidRDefault="00987BF7"/>
    <w:p w:rsidR="0012191A" w:rsidRDefault="0012191A"/>
    <w:p w:rsidR="0012191A" w:rsidRDefault="0012191A"/>
    <w:p w:rsidR="0012191A" w:rsidRDefault="0012191A"/>
    <w:p w:rsidR="0012191A" w:rsidRDefault="0012191A"/>
    <w:p w:rsidR="00CB7060" w:rsidRDefault="00CB7060"/>
    <w:p w:rsidR="00A73775" w:rsidRDefault="00A73775">
      <w:pPr>
        <w:rPr>
          <w:rFonts w:asciiTheme="majorBidi" w:hAnsiTheme="majorBidi" w:cstheme="majorBidi"/>
          <w:b/>
          <w:bCs/>
        </w:rPr>
      </w:pPr>
    </w:p>
    <w:p w:rsidR="00CB7060" w:rsidRPr="00CB7060" w:rsidRDefault="00CB7060">
      <w:pPr>
        <w:rPr>
          <w:rFonts w:asciiTheme="majorBidi" w:hAnsiTheme="majorBidi" w:cstheme="majorBidi"/>
          <w:b/>
          <w:bCs/>
        </w:rPr>
      </w:pPr>
      <w:r w:rsidRPr="00CB7060">
        <w:rPr>
          <w:rFonts w:asciiTheme="majorBidi" w:hAnsiTheme="majorBidi" w:cstheme="majorBidi"/>
          <w:b/>
          <w:bCs/>
        </w:rPr>
        <w:t xml:space="preserve">14. </w:t>
      </w:r>
      <w:r>
        <w:rPr>
          <w:rFonts w:asciiTheme="majorBidi" w:hAnsiTheme="majorBidi" w:cstheme="majorBidi"/>
          <w:b/>
          <w:bCs/>
        </w:rPr>
        <w:t xml:space="preserve"> </w:t>
      </w:r>
      <w:r w:rsidRPr="00CB7060">
        <w:rPr>
          <w:rFonts w:asciiTheme="majorBidi" w:hAnsiTheme="majorBidi" w:cstheme="majorBidi"/>
          <w:b/>
          <w:bCs/>
        </w:rPr>
        <w:t>Report of Board Responsibility for Financial Report</w:t>
      </w:r>
    </w:p>
    <w:p w:rsidR="00831074" w:rsidRDefault="00CB7060" w:rsidP="00CB7060">
      <w:pPr>
        <w:rPr>
          <w:rFonts w:ascii="Angsana New" w:hAnsi="Angsana New"/>
        </w:rPr>
      </w:pPr>
      <w:r>
        <w:rPr>
          <w:rFonts w:ascii="Angsana New" w:hAnsi="Angsana New"/>
        </w:rPr>
        <w:t xml:space="preserve">       </w:t>
      </w:r>
      <w:r w:rsidRPr="00CB7060">
        <w:rPr>
          <w:rFonts w:ascii="Angsana New" w:hAnsi="Angsana New"/>
        </w:rPr>
        <w:t xml:space="preserve">The Board of Directors of Thaivivat Insurance Pcl. has been featured on the company's corporate governance and responsibility according to the policy of good governance. Regulatory, financial statements and other financial information </w:t>
      </w:r>
    </w:p>
    <w:p w:rsidR="00CB7060" w:rsidRDefault="00CB7060" w:rsidP="00CB7060">
      <w:pPr>
        <w:rPr>
          <w:rFonts w:ascii="Angsana New" w:hAnsi="Angsana New"/>
        </w:rPr>
      </w:pPr>
      <w:r w:rsidRPr="00CB7060">
        <w:rPr>
          <w:rFonts w:ascii="Angsana New" w:hAnsi="Angsana New"/>
        </w:rPr>
        <w:t>in the annual report have accurate, complete, adequate disclosure data. The financial statements comply with accounting standards generally accepted in  Thailand and guidelines set by the Office of Insurance Commission, the company uses appropriate, and consistent accounting policies with careful judgment including the disclosure of important information adequately in the notes to the financial statements that have been audited and certified by the auditor.</w:t>
      </w:r>
    </w:p>
    <w:p w:rsidR="00A73775" w:rsidRPr="00CB7060" w:rsidRDefault="00A73775" w:rsidP="00CB7060">
      <w:pPr>
        <w:rPr>
          <w:rFonts w:ascii="Angsana New" w:hAnsi="Angsana New"/>
        </w:rPr>
      </w:pPr>
    </w:p>
    <w:p w:rsidR="00831074" w:rsidRDefault="00CB7060" w:rsidP="00CB7060">
      <w:pPr>
        <w:rPr>
          <w:rFonts w:ascii="Angsana New" w:hAnsi="Angsana New"/>
        </w:rPr>
      </w:pPr>
      <w:r w:rsidRPr="00CB7060">
        <w:rPr>
          <w:rFonts w:ascii="Angsana New" w:hAnsi="Angsana New"/>
        </w:rPr>
        <w:t xml:space="preserve">      </w:t>
      </w:r>
      <w:r>
        <w:rPr>
          <w:rFonts w:ascii="Angsana New" w:hAnsi="Angsana New"/>
        </w:rPr>
        <w:t xml:space="preserve">  </w:t>
      </w:r>
      <w:r w:rsidRPr="00CB7060">
        <w:rPr>
          <w:rFonts w:ascii="Angsana New" w:hAnsi="Angsana New"/>
        </w:rPr>
        <w:t xml:space="preserve">The Board has established a risk management system, internal control system, internal audit and suitable Corporate Governance to ensure that the company has accurate, complete and timely accounting records as well as to prevent the operation risk.  The Board of Directors has appointed an Audit Committee consisting of independent directors qualified as </w:t>
      </w:r>
    </w:p>
    <w:p w:rsidR="00CB7060" w:rsidRDefault="00CB7060" w:rsidP="00CB7060">
      <w:pPr>
        <w:rPr>
          <w:rFonts w:ascii="Angsana New" w:hAnsi="Angsana New"/>
        </w:rPr>
      </w:pPr>
      <w:r w:rsidRPr="00CB7060">
        <w:rPr>
          <w:rFonts w:ascii="Angsana New" w:hAnsi="Angsana New"/>
        </w:rPr>
        <w:t>a non-executive director in charge of such matters.</w:t>
      </w:r>
    </w:p>
    <w:p w:rsidR="00A73775" w:rsidRPr="00CB7060" w:rsidRDefault="00A73775" w:rsidP="00CB7060">
      <w:pPr>
        <w:rPr>
          <w:rFonts w:ascii="Angsana New" w:hAnsi="Angsana New"/>
        </w:rPr>
      </w:pPr>
    </w:p>
    <w:p w:rsidR="00CB7060" w:rsidRPr="00CB7060" w:rsidRDefault="00CB7060" w:rsidP="00CB7060">
      <w:pPr>
        <w:rPr>
          <w:rFonts w:ascii="Angsana New" w:hAnsi="Angsana New"/>
        </w:rPr>
      </w:pPr>
      <w:r w:rsidRPr="00CB7060">
        <w:rPr>
          <w:rFonts w:ascii="Angsana New" w:hAnsi="Angsana New"/>
        </w:rPr>
        <w:t xml:space="preserve">     </w:t>
      </w:r>
      <w:r>
        <w:rPr>
          <w:rFonts w:ascii="Angsana New" w:hAnsi="Angsana New"/>
        </w:rPr>
        <w:t xml:space="preserve">  </w:t>
      </w:r>
      <w:r w:rsidRPr="00CB7060">
        <w:rPr>
          <w:rFonts w:ascii="Angsana New" w:hAnsi="Angsana New"/>
        </w:rPr>
        <w:t xml:space="preserve"> The Board of Directors have an opinion that the company’s internal controls is at a satisfactory level, can be reasonably confident and reliable in the financial statements as of December 31, 2016 which </w:t>
      </w:r>
    </w:p>
    <w:p w:rsidR="00CB7060" w:rsidRPr="00CB7060" w:rsidRDefault="00CB7060" w:rsidP="00CB7060">
      <w:pPr>
        <w:rPr>
          <w:rFonts w:ascii="Angsana New" w:hAnsi="Angsana New"/>
        </w:rPr>
      </w:pPr>
      <w:r w:rsidRPr="00CB7060">
        <w:rPr>
          <w:rFonts w:ascii="Angsana New" w:hAnsi="Angsana New"/>
        </w:rPr>
        <w:t xml:space="preserve">the company auditors has audited according to the auditing standards generally accepted and  expressed the opinion that the financial statements position and operation results are correct </w:t>
      </w:r>
    </w:p>
    <w:p w:rsidR="0012191A" w:rsidRPr="00CB7060" w:rsidRDefault="00CB7060" w:rsidP="00CB7060">
      <w:pPr>
        <w:rPr>
          <w:rFonts w:ascii="Angsana New" w:hAnsi="Angsana New"/>
        </w:rPr>
      </w:pPr>
      <w:r w:rsidRPr="00CB7060">
        <w:rPr>
          <w:rFonts w:ascii="Angsana New" w:hAnsi="Angsana New"/>
        </w:rPr>
        <w:t>in accordance with generally accepted accounting principles.</w:t>
      </w:r>
    </w:p>
    <w:p w:rsidR="0012191A" w:rsidRDefault="0012191A">
      <w:pPr>
        <w:rPr>
          <w:rFonts w:ascii="Angsana New" w:hAnsi="Angsana New"/>
          <w:b/>
          <w:bCs/>
        </w:rPr>
      </w:pPr>
    </w:p>
    <w:p w:rsidR="00A73775" w:rsidRDefault="00A73775">
      <w:pPr>
        <w:rPr>
          <w:rFonts w:ascii="Angsana New" w:hAnsi="Angsana New"/>
          <w:b/>
          <w:bCs/>
        </w:rPr>
      </w:pPr>
    </w:p>
    <w:p w:rsidR="007432D4" w:rsidRDefault="00CB7060">
      <w:pPr>
        <w:rPr>
          <w:rFonts w:ascii="Angsana New" w:hAnsi="Angsana New"/>
          <w:b/>
          <w:bCs/>
        </w:rPr>
      </w:pPr>
      <w:r>
        <w:rPr>
          <w:rFonts w:ascii="Angsana New" w:hAnsi="Angsana New"/>
          <w:b/>
          <w:bCs/>
        </w:rPr>
        <w:t>15</w:t>
      </w:r>
      <w:r w:rsidR="007432D4" w:rsidRPr="007B0622">
        <w:rPr>
          <w:rFonts w:ascii="Angsana New" w:hAnsi="Angsana New"/>
          <w:b/>
          <w:bCs/>
        </w:rPr>
        <w:t>.  Analysis and Explanation of Management Department</w:t>
      </w:r>
    </w:p>
    <w:p w:rsidR="00A73775" w:rsidRPr="007B0622" w:rsidRDefault="00A73775">
      <w:pPr>
        <w:rPr>
          <w:rFonts w:ascii="Angsana New" w:hAnsi="Angsana New"/>
          <w:b/>
          <w:bCs/>
        </w:rPr>
      </w:pPr>
    </w:p>
    <w:p w:rsidR="007432D4" w:rsidRDefault="0076676C">
      <w:pPr>
        <w:rPr>
          <w:rFonts w:ascii="Angsana New" w:hAnsi="Angsana New"/>
        </w:rPr>
      </w:pPr>
      <w:r>
        <w:rPr>
          <w:rFonts w:ascii="Angsana New" w:hAnsi="Angsana New"/>
        </w:rPr>
        <w:t xml:space="preserve">       Performance</w:t>
      </w:r>
    </w:p>
    <w:p w:rsidR="007B0622" w:rsidRDefault="007B0622">
      <w:pPr>
        <w:rPr>
          <w:rFonts w:ascii="Angsana New" w:hAnsi="Angsana New"/>
        </w:rPr>
      </w:pPr>
      <w:r>
        <w:rPr>
          <w:rFonts w:ascii="Angsana New" w:hAnsi="Angsana New"/>
        </w:rPr>
        <w:t xml:space="preserve">                Compariso</w:t>
      </w:r>
      <w:r w:rsidR="00C42522">
        <w:rPr>
          <w:rFonts w:ascii="Angsana New" w:hAnsi="Angsana New"/>
        </w:rPr>
        <w:t>n in 2016 and 2015</w:t>
      </w:r>
      <w:r w:rsidR="0076676C">
        <w:rPr>
          <w:rFonts w:ascii="Angsana New" w:hAnsi="Angsana New"/>
        </w:rPr>
        <w:t>, the company ‘s underwrit</w:t>
      </w:r>
      <w:r w:rsidR="00C42522">
        <w:rPr>
          <w:rFonts w:ascii="Angsana New" w:hAnsi="Angsana New"/>
        </w:rPr>
        <w:t>ing revenue had increased 177.48 million Baht or 7.02</w:t>
      </w:r>
      <w:r w:rsidR="0076676C">
        <w:rPr>
          <w:rFonts w:ascii="Angsana New" w:hAnsi="Angsana New"/>
        </w:rPr>
        <w:t>%</w:t>
      </w:r>
    </w:p>
    <w:p w:rsidR="00831074" w:rsidRDefault="0076676C" w:rsidP="0076676C">
      <w:pPr>
        <w:ind w:right="-450"/>
        <w:rPr>
          <w:rFonts w:ascii="Angsana New" w:hAnsi="Angsana New"/>
        </w:rPr>
      </w:pPr>
      <w:r>
        <w:rPr>
          <w:rFonts w:ascii="Angsana New" w:hAnsi="Angsana New"/>
        </w:rPr>
        <w:t>while the underw</w:t>
      </w:r>
      <w:r w:rsidR="00C42522">
        <w:rPr>
          <w:rFonts w:ascii="Angsana New" w:hAnsi="Angsana New"/>
        </w:rPr>
        <w:t>riting expenses increased 216.13 million Baht or 8.29</w:t>
      </w:r>
      <w:r>
        <w:rPr>
          <w:rFonts w:ascii="Angsana New" w:hAnsi="Angsana New"/>
        </w:rPr>
        <w:t>% resulti</w:t>
      </w:r>
      <w:r w:rsidR="00630F3A">
        <w:rPr>
          <w:rFonts w:ascii="Angsana New" w:hAnsi="Angsana New"/>
        </w:rPr>
        <w:t xml:space="preserve">ng the </w:t>
      </w:r>
      <w:r w:rsidR="00C3052B">
        <w:rPr>
          <w:rFonts w:ascii="Angsana New" w:hAnsi="Angsana New"/>
        </w:rPr>
        <w:t xml:space="preserve">underwriting </w:t>
      </w:r>
      <w:r w:rsidR="00C42522">
        <w:rPr>
          <w:rFonts w:ascii="Angsana New" w:hAnsi="Angsana New"/>
        </w:rPr>
        <w:t>loss (116.38)</w:t>
      </w:r>
      <w:r>
        <w:rPr>
          <w:rFonts w:ascii="Angsana New" w:hAnsi="Angsana New"/>
        </w:rPr>
        <w:t xml:space="preserve"> million</w:t>
      </w:r>
      <w:r w:rsidR="00A96148">
        <w:rPr>
          <w:rFonts w:ascii="Angsana New" w:hAnsi="Angsana New"/>
        </w:rPr>
        <w:t xml:space="preserve"> </w:t>
      </w:r>
    </w:p>
    <w:p w:rsidR="00A96148" w:rsidRDefault="0076676C" w:rsidP="0076676C">
      <w:pPr>
        <w:ind w:right="-450"/>
        <w:rPr>
          <w:rFonts w:ascii="Angsana New" w:hAnsi="Angsana New"/>
        </w:rPr>
      </w:pPr>
      <w:r>
        <w:rPr>
          <w:rFonts w:ascii="Angsana New" w:hAnsi="Angsana New"/>
        </w:rPr>
        <w:t>Baht</w:t>
      </w:r>
      <w:r w:rsidR="00831074">
        <w:rPr>
          <w:rFonts w:ascii="Angsana New" w:hAnsi="Angsana New"/>
        </w:rPr>
        <w:t xml:space="preserve"> </w:t>
      </w:r>
      <w:r w:rsidR="00D9354F">
        <w:rPr>
          <w:rFonts w:ascii="Angsana New" w:hAnsi="Angsana New"/>
        </w:rPr>
        <w:t>which in</w:t>
      </w:r>
      <w:r w:rsidR="00BA502C">
        <w:rPr>
          <w:rFonts w:ascii="Angsana New" w:hAnsi="Angsana New"/>
        </w:rPr>
        <w:t xml:space="preserve">creased </w:t>
      </w:r>
      <w:r w:rsidR="00767EC3">
        <w:rPr>
          <w:rFonts w:ascii="Angsana New" w:hAnsi="Angsana New"/>
        </w:rPr>
        <w:t>38.65 million Baht or 49.71</w:t>
      </w:r>
      <w:r w:rsidR="00A96148">
        <w:rPr>
          <w:rFonts w:ascii="Angsana New" w:hAnsi="Angsana New"/>
        </w:rPr>
        <w:t>%  At the same time, th</w:t>
      </w:r>
      <w:r w:rsidR="00630F3A">
        <w:rPr>
          <w:rFonts w:ascii="Angsana New" w:hAnsi="Angsana New"/>
        </w:rPr>
        <w:t>e company</w:t>
      </w:r>
      <w:r w:rsidR="00767EC3">
        <w:rPr>
          <w:rFonts w:ascii="Angsana New" w:hAnsi="Angsana New"/>
        </w:rPr>
        <w:t xml:space="preserve"> investment earnings in</w:t>
      </w:r>
      <w:r w:rsidR="00BA502C">
        <w:rPr>
          <w:rFonts w:ascii="Angsana New" w:hAnsi="Angsana New"/>
        </w:rPr>
        <w:t xml:space="preserve">creased </w:t>
      </w:r>
      <w:r w:rsidR="00767EC3">
        <w:rPr>
          <w:rFonts w:ascii="Angsana New" w:hAnsi="Angsana New"/>
        </w:rPr>
        <w:t>42.6</w:t>
      </w:r>
      <w:r w:rsidR="00630F3A">
        <w:rPr>
          <w:rFonts w:ascii="Angsana New" w:hAnsi="Angsana New"/>
        </w:rPr>
        <w:t>1</w:t>
      </w:r>
    </w:p>
    <w:p w:rsidR="00A96148" w:rsidRDefault="00A96148" w:rsidP="0076676C">
      <w:pPr>
        <w:ind w:right="-450"/>
        <w:rPr>
          <w:rFonts w:ascii="Angsana New" w:hAnsi="Angsana New"/>
        </w:rPr>
      </w:pPr>
      <w:r>
        <w:rPr>
          <w:rFonts w:ascii="Angsana New" w:hAnsi="Angsana New"/>
        </w:rPr>
        <w:t>mil</w:t>
      </w:r>
      <w:r w:rsidR="00767EC3">
        <w:rPr>
          <w:rFonts w:ascii="Angsana New" w:hAnsi="Angsana New"/>
        </w:rPr>
        <w:t>lion Baht resulting the company‘s net earnings after tax 25.10</w:t>
      </w:r>
      <w:r>
        <w:rPr>
          <w:rFonts w:ascii="Angsana New" w:hAnsi="Angsana New"/>
        </w:rPr>
        <w:t xml:space="preserve"> million Baht that</w:t>
      </w:r>
      <w:r w:rsidR="00767EC3">
        <w:rPr>
          <w:rFonts w:ascii="Angsana New" w:hAnsi="Angsana New"/>
        </w:rPr>
        <w:t xml:space="preserve"> in</w:t>
      </w:r>
      <w:r w:rsidR="006265C1">
        <w:rPr>
          <w:rFonts w:ascii="Angsana New" w:hAnsi="Angsana New"/>
        </w:rPr>
        <w:t>crea</w:t>
      </w:r>
      <w:r w:rsidR="00767EC3">
        <w:rPr>
          <w:rFonts w:ascii="Angsana New" w:hAnsi="Angsana New"/>
        </w:rPr>
        <w:t>sed 12.42</w:t>
      </w:r>
      <w:r w:rsidR="006265C1">
        <w:rPr>
          <w:rFonts w:ascii="Angsana New" w:hAnsi="Angsana New"/>
        </w:rPr>
        <w:t xml:space="preserve">% </w:t>
      </w:r>
    </w:p>
    <w:p w:rsidR="00870541" w:rsidRDefault="00870541" w:rsidP="0076676C">
      <w:pPr>
        <w:ind w:right="-450"/>
        <w:rPr>
          <w:rFonts w:ascii="Angsana New" w:hAnsi="Angsana New"/>
        </w:rPr>
      </w:pPr>
    </w:p>
    <w:p w:rsidR="00A73775" w:rsidRDefault="00A73775" w:rsidP="0076676C">
      <w:pPr>
        <w:ind w:right="-450"/>
        <w:rPr>
          <w:rFonts w:ascii="Angsana New" w:hAnsi="Angsana New"/>
        </w:rPr>
      </w:pPr>
    </w:p>
    <w:p w:rsidR="008B167A" w:rsidRDefault="00A96148" w:rsidP="0076676C">
      <w:pPr>
        <w:ind w:right="-450"/>
        <w:rPr>
          <w:rFonts w:ascii="Angsana New" w:hAnsi="Angsana New"/>
        </w:rPr>
      </w:pPr>
      <w:r>
        <w:rPr>
          <w:rFonts w:ascii="Angsana New" w:hAnsi="Angsana New"/>
        </w:rPr>
        <w:t xml:space="preserve">       </w:t>
      </w:r>
      <w:r w:rsidR="008B167A">
        <w:rPr>
          <w:rFonts w:ascii="Angsana New" w:hAnsi="Angsana New"/>
        </w:rPr>
        <w:t>Underwriting revenue and expense</w:t>
      </w:r>
    </w:p>
    <w:p w:rsidR="008B167A" w:rsidRDefault="008B167A" w:rsidP="0076676C">
      <w:pPr>
        <w:ind w:right="-450"/>
        <w:rPr>
          <w:rFonts w:ascii="Angsana New" w:hAnsi="Angsana New"/>
        </w:rPr>
      </w:pPr>
      <w:r>
        <w:rPr>
          <w:rFonts w:ascii="Angsana New" w:hAnsi="Angsana New"/>
        </w:rPr>
        <w:t xml:space="preserve">                 The company h</w:t>
      </w:r>
      <w:r w:rsidR="005512AA">
        <w:rPr>
          <w:rFonts w:ascii="Angsana New" w:hAnsi="Angsana New"/>
        </w:rPr>
        <w:t>ad underwriting revenue 2,705.36 million Baht that increased 7.02% as compared in 2015</w:t>
      </w:r>
      <w:r>
        <w:rPr>
          <w:rFonts w:ascii="Angsana New" w:hAnsi="Angsana New"/>
        </w:rPr>
        <w:t xml:space="preserve"> due to</w:t>
      </w:r>
    </w:p>
    <w:p w:rsidR="00870541" w:rsidRDefault="00B71622" w:rsidP="00630F3A">
      <w:pPr>
        <w:ind w:right="-450"/>
        <w:rPr>
          <w:rFonts w:ascii="Angsana New" w:hAnsi="Angsana New"/>
        </w:rPr>
      </w:pPr>
      <w:r>
        <w:rPr>
          <w:rFonts w:ascii="Angsana New" w:hAnsi="Angsana New"/>
        </w:rPr>
        <w:t xml:space="preserve">the continuous expansion of  </w:t>
      </w:r>
      <w:r w:rsidR="00630F3A">
        <w:rPr>
          <w:rFonts w:ascii="Angsana New" w:hAnsi="Angsana New"/>
        </w:rPr>
        <w:t xml:space="preserve">Thai economy </w:t>
      </w:r>
      <w:r>
        <w:rPr>
          <w:rFonts w:ascii="Angsana New" w:hAnsi="Angsana New"/>
        </w:rPr>
        <w:t xml:space="preserve">but the company has research and devolopment expenses for insurance innovation including the need of various measurements to  </w:t>
      </w:r>
      <w:r w:rsidR="00630F3A">
        <w:rPr>
          <w:rFonts w:ascii="Angsana New" w:hAnsi="Angsana New"/>
        </w:rPr>
        <w:t xml:space="preserve">maintain market share </w:t>
      </w:r>
      <w:r w:rsidR="0064662C">
        <w:rPr>
          <w:rFonts w:ascii="Angsana New" w:hAnsi="Angsana New"/>
        </w:rPr>
        <w:t>r</w:t>
      </w:r>
      <w:r w:rsidR="00630F3A">
        <w:rPr>
          <w:rFonts w:ascii="Angsana New" w:hAnsi="Angsana New"/>
        </w:rPr>
        <w:t>esulting the capacity of marketing underwriting profit</w:t>
      </w:r>
      <w:r w:rsidR="005512AA">
        <w:rPr>
          <w:rFonts w:ascii="Angsana New" w:hAnsi="Angsana New"/>
        </w:rPr>
        <w:t xml:space="preserve"> in 2016</w:t>
      </w:r>
      <w:r w:rsidR="007D6B56">
        <w:rPr>
          <w:rFonts w:ascii="Angsana New" w:hAnsi="Angsana New"/>
        </w:rPr>
        <w:t>.</w:t>
      </w:r>
    </w:p>
    <w:p w:rsidR="00870541" w:rsidRDefault="00870541" w:rsidP="0076676C">
      <w:pPr>
        <w:ind w:right="-450"/>
        <w:rPr>
          <w:rFonts w:ascii="Angsana New" w:hAnsi="Angsana New"/>
        </w:rPr>
      </w:pPr>
    </w:p>
    <w:p w:rsidR="00870541" w:rsidRDefault="00870541" w:rsidP="0076676C">
      <w:pPr>
        <w:ind w:right="-450"/>
        <w:rPr>
          <w:rFonts w:ascii="Angsana New" w:hAnsi="Angsana New"/>
        </w:rPr>
      </w:pPr>
      <w:r>
        <w:rPr>
          <w:rFonts w:ascii="Angsana New" w:hAnsi="Angsana New"/>
        </w:rPr>
        <w:lastRenderedPageBreak/>
        <w:t xml:space="preserve">       Investment earnings</w:t>
      </w:r>
    </w:p>
    <w:p w:rsidR="00480BB8" w:rsidRDefault="00870541" w:rsidP="0076676C">
      <w:pPr>
        <w:ind w:right="-450"/>
        <w:rPr>
          <w:rFonts w:ascii="Angsana New" w:hAnsi="Angsana New"/>
        </w:rPr>
      </w:pPr>
      <w:r>
        <w:rPr>
          <w:rFonts w:ascii="Angsana New" w:hAnsi="Angsana New"/>
        </w:rPr>
        <w:t xml:space="preserve">                 </w:t>
      </w:r>
      <w:r w:rsidR="00085CF8">
        <w:rPr>
          <w:rFonts w:ascii="Angsana New" w:hAnsi="Angsana New"/>
        </w:rPr>
        <w:t>Besides the underwriting earnings, t</w:t>
      </w:r>
      <w:r w:rsidR="00A45450">
        <w:rPr>
          <w:rFonts w:ascii="Angsana New" w:hAnsi="Angsana New"/>
        </w:rPr>
        <w:t>he company had</w:t>
      </w:r>
      <w:r>
        <w:rPr>
          <w:rFonts w:ascii="Angsana New" w:hAnsi="Angsana New"/>
        </w:rPr>
        <w:t xml:space="preserve"> </w:t>
      </w:r>
      <w:r w:rsidR="00085CF8">
        <w:rPr>
          <w:rFonts w:ascii="Angsana New" w:hAnsi="Angsana New"/>
        </w:rPr>
        <w:t xml:space="preserve">a main </w:t>
      </w:r>
      <w:r>
        <w:rPr>
          <w:rFonts w:ascii="Angsana New" w:hAnsi="Angsana New"/>
        </w:rPr>
        <w:t xml:space="preserve">investment earnings </w:t>
      </w:r>
      <w:r w:rsidR="00480BB8">
        <w:rPr>
          <w:rFonts w:ascii="Angsana New" w:hAnsi="Angsana New"/>
        </w:rPr>
        <w:t>with investment ratio as the Office</w:t>
      </w:r>
    </w:p>
    <w:p w:rsidR="00852707" w:rsidRDefault="00480BB8" w:rsidP="0076676C">
      <w:pPr>
        <w:ind w:right="-450"/>
        <w:rPr>
          <w:rFonts w:ascii="Angsana New" w:hAnsi="Angsana New"/>
        </w:rPr>
      </w:pPr>
      <w:r>
        <w:rPr>
          <w:rFonts w:ascii="Angsana New" w:hAnsi="Angsana New"/>
        </w:rPr>
        <w:t xml:space="preserve">       of Insurance Commission (OIC) </w:t>
      </w:r>
      <w:r w:rsidR="00852707">
        <w:rPr>
          <w:rFonts w:ascii="Angsana New" w:hAnsi="Angsana New"/>
        </w:rPr>
        <w:t xml:space="preserve">announcement </w:t>
      </w:r>
      <w:r>
        <w:rPr>
          <w:rFonts w:ascii="Angsana New" w:hAnsi="Angsana New"/>
        </w:rPr>
        <w:t>which</w:t>
      </w:r>
      <w:r w:rsidR="00C73DE1">
        <w:rPr>
          <w:rFonts w:ascii="Angsana New" w:hAnsi="Angsana New"/>
        </w:rPr>
        <w:t xml:space="preserve"> had the investment amount as of year end 201</w:t>
      </w:r>
      <w:r w:rsidR="008E65F4">
        <w:rPr>
          <w:rFonts w:ascii="Angsana New" w:hAnsi="Angsana New"/>
        </w:rPr>
        <w:t>6</w:t>
      </w:r>
      <w:r w:rsidR="00C73DE1">
        <w:rPr>
          <w:rFonts w:ascii="Angsana New" w:hAnsi="Angsana New"/>
        </w:rPr>
        <w:t xml:space="preserve"> shown in </w:t>
      </w:r>
    </w:p>
    <w:p w:rsidR="00852707" w:rsidRDefault="00852707" w:rsidP="0076676C">
      <w:pPr>
        <w:ind w:right="-450"/>
        <w:rPr>
          <w:rFonts w:ascii="Angsana New" w:hAnsi="Angsana New"/>
        </w:rPr>
      </w:pPr>
      <w:r>
        <w:rPr>
          <w:rFonts w:ascii="Angsana New" w:hAnsi="Angsana New"/>
        </w:rPr>
        <w:t xml:space="preserve">       </w:t>
      </w:r>
      <w:r w:rsidR="00C73DE1">
        <w:rPr>
          <w:rFonts w:ascii="Angsana New" w:hAnsi="Angsana New"/>
        </w:rPr>
        <w:t>the Financial Statements</w:t>
      </w:r>
      <w:r>
        <w:rPr>
          <w:rFonts w:ascii="Angsana New" w:hAnsi="Angsana New"/>
        </w:rPr>
        <w:t xml:space="preserve"> </w:t>
      </w:r>
      <w:r w:rsidR="00C73DE1">
        <w:rPr>
          <w:rFonts w:ascii="Angsana New" w:hAnsi="Angsana New"/>
        </w:rPr>
        <w:t>and recorded as market price 2,</w:t>
      </w:r>
      <w:r w:rsidR="008E65F4">
        <w:rPr>
          <w:rFonts w:ascii="Angsana New" w:hAnsi="Angsana New"/>
        </w:rPr>
        <w:t>709.1</w:t>
      </w:r>
      <w:r w:rsidR="00A45450">
        <w:rPr>
          <w:rFonts w:ascii="Angsana New" w:hAnsi="Angsana New"/>
        </w:rPr>
        <w:t>5</w:t>
      </w:r>
      <w:r w:rsidR="00C41236">
        <w:rPr>
          <w:rFonts w:ascii="Angsana New" w:hAnsi="Angsana New"/>
        </w:rPr>
        <w:t xml:space="preserve"> m</w:t>
      </w:r>
      <w:r w:rsidR="008E65F4">
        <w:rPr>
          <w:rFonts w:ascii="Angsana New" w:hAnsi="Angsana New"/>
        </w:rPr>
        <w:t>illion Baht that increased 194.60 million Baht from 2015</w:t>
      </w:r>
      <w:r w:rsidR="00C41236">
        <w:rPr>
          <w:rFonts w:ascii="Angsana New" w:hAnsi="Angsana New"/>
        </w:rPr>
        <w:t xml:space="preserve">.  </w:t>
      </w:r>
    </w:p>
    <w:p w:rsidR="00852707" w:rsidRDefault="00852707" w:rsidP="0076676C">
      <w:pPr>
        <w:ind w:right="-450"/>
        <w:rPr>
          <w:rFonts w:ascii="Angsana New" w:hAnsi="Angsana New"/>
        </w:rPr>
      </w:pPr>
      <w:r>
        <w:rPr>
          <w:rFonts w:ascii="Angsana New" w:hAnsi="Angsana New"/>
        </w:rPr>
        <w:t xml:space="preserve">       </w:t>
      </w:r>
      <w:r w:rsidR="008E65F4">
        <w:rPr>
          <w:rFonts w:ascii="Angsana New" w:hAnsi="Angsana New"/>
        </w:rPr>
        <w:t>In 2016</w:t>
      </w:r>
      <w:r w:rsidR="00C41236">
        <w:rPr>
          <w:rFonts w:ascii="Angsana New" w:hAnsi="Angsana New"/>
        </w:rPr>
        <w:t>, the company</w:t>
      </w:r>
      <w:r>
        <w:rPr>
          <w:rFonts w:ascii="Angsana New" w:hAnsi="Angsana New"/>
        </w:rPr>
        <w:t xml:space="preserve"> </w:t>
      </w:r>
      <w:r w:rsidR="00C41236">
        <w:rPr>
          <w:rFonts w:ascii="Angsana New" w:hAnsi="Angsana New"/>
        </w:rPr>
        <w:t>has the</w:t>
      </w:r>
      <w:r w:rsidR="00B131D5">
        <w:rPr>
          <w:rFonts w:ascii="Angsana New" w:hAnsi="Angsana New"/>
        </w:rPr>
        <w:t xml:space="preserve"> in</w:t>
      </w:r>
      <w:r w:rsidR="00A76E01">
        <w:rPr>
          <w:rFonts w:ascii="Angsana New" w:hAnsi="Angsana New"/>
        </w:rPr>
        <w:t>crease of</w:t>
      </w:r>
      <w:r w:rsidR="00C41236">
        <w:rPr>
          <w:rFonts w:ascii="Angsana New" w:hAnsi="Angsana New"/>
        </w:rPr>
        <w:t xml:space="preserve"> inves</w:t>
      </w:r>
      <w:r w:rsidR="008E65F4">
        <w:rPr>
          <w:rFonts w:ascii="Angsana New" w:hAnsi="Angsana New"/>
        </w:rPr>
        <w:t>tment earnings and return 42.6</w:t>
      </w:r>
      <w:r w:rsidR="00A45450">
        <w:rPr>
          <w:rFonts w:ascii="Angsana New" w:hAnsi="Angsana New"/>
        </w:rPr>
        <w:t xml:space="preserve">1 million Baht </w:t>
      </w:r>
      <w:r w:rsidR="00A76E01">
        <w:rPr>
          <w:rFonts w:ascii="Angsana New" w:hAnsi="Angsana New"/>
        </w:rPr>
        <w:t xml:space="preserve"> or </w:t>
      </w:r>
      <w:r w:rsidR="00C41236">
        <w:rPr>
          <w:rFonts w:ascii="Angsana New" w:hAnsi="Angsana New"/>
        </w:rPr>
        <w:t xml:space="preserve"> </w:t>
      </w:r>
      <w:r w:rsidR="008E65F4">
        <w:rPr>
          <w:rFonts w:ascii="Angsana New" w:hAnsi="Angsana New"/>
        </w:rPr>
        <w:t>42.97% from 2015</w:t>
      </w:r>
      <w:r w:rsidR="00C41236">
        <w:rPr>
          <w:rFonts w:ascii="Angsana New" w:hAnsi="Angsana New"/>
        </w:rPr>
        <w:t xml:space="preserve"> </w:t>
      </w:r>
    </w:p>
    <w:p w:rsidR="0076676C" w:rsidRDefault="00852707" w:rsidP="0076676C">
      <w:pPr>
        <w:ind w:right="-450"/>
        <w:rPr>
          <w:rFonts w:ascii="Angsana New" w:hAnsi="Angsana New"/>
        </w:rPr>
      </w:pPr>
      <w:r>
        <w:rPr>
          <w:rFonts w:ascii="Angsana New" w:hAnsi="Angsana New"/>
        </w:rPr>
        <w:t xml:space="preserve">       </w:t>
      </w:r>
      <w:r w:rsidR="00C41236">
        <w:rPr>
          <w:rFonts w:ascii="Angsana New" w:hAnsi="Angsana New"/>
        </w:rPr>
        <w:t>due to the current securities</w:t>
      </w:r>
      <w:r>
        <w:rPr>
          <w:rFonts w:ascii="Angsana New" w:hAnsi="Angsana New"/>
        </w:rPr>
        <w:t xml:space="preserve"> </w:t>
      </w:r>
      <w:r w:rsidR="00570F5F">
        <w:rPr>
          <w:rFonts w:ascii="Angsana New" w:hAnsi="Angsana New"/>
        </w:rPr>
        <w:t xml:space="preserve">situation </w:t>
      </w:r>
      <w:r w:rsidR="00A45450">
        <w:rPr>
          <w:rFonts w:ascii="Angsana New" w:hAnsi="Angsana New"/>
        </w:rPr>
        <w:t>in 2015</w:t>
      </w:r>
      <w:r>
        <w:rPr>
          <w:rFonts w:ascii="Angsana New" w:hAnsi="Angsana New"/>
        </w:rPr>
        <w:t xml:space="preserve">. </w:t>
      </w:r>
      <w:r w:rsidR="00C41236">
        <w:rPr>
          <w:rFonts w:ascii="Angsana New" w:hAnsi="Angsana New"/>
        </w:rPr>
        <w:t xml:space="preserve"> </w:t>
      </w:r>
      <w:r w:rsidR="0076676C">
        <w:rPr>
          <w:rFonts w:ascii="Angsana New" w:hAnsi="Angsana New"/>
        </w:rPr>
        <w:t xml:space="preserve"> </w:t>
      </w:r>
    </w:p>
    <w:p w:rsidR="000B15CB" w:rsidRDefault="000B15CB" w:rsidP="0076676C">
      <w:pPr>
        <w:ind w:right="-450"/>
        <w:rPr>
          <w:rFonts w:ascii="Angsana New" w:hAnsi="Angsana New"/>
        </w:rPr>
      </w:pPr>
    </w:p>
    <w:p w:rsidR="0012191A" w:rsidRDefault="0012191A" w:rsidP="0076676C">
      <w:pPr>
        <w:ind w:right="-450"/>
        <w:rPr>
          <w:rFonts w:ascii="Angsana New" w:hAnsi="Angsana New"/>
        </w:rPr>
      </w:pPr>
    </w:p>
    <w:tbl>
      <w:tblPr>
        <w:tblW w:w="7740" w:type="dxa"/>
        <w:tblInd w:w="93" w:type="dxa"/>
        <w:tblLook w:val="04A0"/>
      </w:tblPr>
      <w:tblGrid>
        <w:gridCol w:w="2840"/>
        <w:gridCol w:w="1547"/>
        <w:gridCol w:w="993"/>
        <w:gridCol w:w="1437"/>
        <w:gridCol w:w="923"/>
      </w:tblGrid>
      <w:tr w:rsidR="000B15CB" w:rsidRPr="000B15CB" w:rsidTr="000B15CB">
        <w:trPr>
          <w:trHeight w:val="420"/>
        </w:trPr>
        <w:tc>
          <w:tcPr>
            <w:tcW w:w="2840" w:type="dxa"/>
            <w:vMerge w:val="restart"/>
            <w:tcBorders>
              <w:top w:val="nil"/>
              <w:left w:val="nil"/>
              <w:bottom w:val="nil"/>
              <w:right w:val="nil"/>
            </w:tcBorders>
            <w:shd w:val="clear" w:color="auto" w:fill="auto"/>
            <w:noWrap/>
            <w:vAlign w:val="center"/>
            <w:hideMark/>
          </w:tcPr>
          <w:p w:rsidR="000B15CB" w:rsidRPr="000B15CB" w:rsidRDefault="000B15CB" w:rsidP="000B15CB">
            <w:pPr>
              <w:jc w:val="cente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Investment Type</w:t>
            </w:r>
          </w:p>
        </w:tc>
        <w:tc>
          <w:tcPr>
            <w:tcW w:w="2540" w:type="dxa"/>
            <w:gridSpan w:val="2"/>
            <w:tcBorders>
              <w:top w:val="nil"/>
              <w:left w:val="nil"/>
              <w:bottom w:val="nil"/>
              <w:right w:val="nil"/>
            </w:tcBorders>
            <w:shd w:val="clear" w:color="auto" w:fill="auto"/>
            <w:noWrap/>
            <w:vAlign w:val="bottom"/>
            <w:hideMark/>
          </w:tcPr>
          <w:p w:rsidR="000B15CB" w:rsidRPr="000B15CB" w:rsidRDefault="000E15D6" w:rsidP="000B15CB">
            <w:pPr>
              <w:jc w:val="center"/>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201</w:t>
            </w:r>
            <w:r w:rsidR="00677458">
              <w:rPr>
                <w:rFonts w:ascii="Angsana New" w:eastAsia="Times New Roman" w:hAnsi="Angsana New"/>
                <w:noProof w:val="0"/>
                <w:color w:val="000000"/>
                <w:szCs w:val="28"/>
                <w:lang w:bidi="th-TH"/>
              </w:rPr>
              <w:t>6</w:t>
            </w:r>
          </w:p>
        </w:tc>
        <w:tc>
          <w:tcPr>
            <w:tcW w:w="2360" w:type="dxa"/>
            <w:gridSpan w:val="2"/>
            <w:tcBorders>
              <w:top w:val="nil"/>
              <w:left w:val="nil"/>
              <w:bottom w:val="nil"/>
              <w:right w:val="nil"/>
            </w:tcBorders>
            <w:shd w:val="clear" w:color="auto" w:fill="auto"/>
            <w:noWrap/>
            <w:vAlign w:val="bottom"/>
            <w:hideMark/>
          </w:tcPr>
          <w:p w:rsidR="000B15CB" w:rsidRPr="000B15CB" w:rsidRDefault="000E15D6" w:rsidP="000B15CB">
            <w:pPr>
              <w:jc w:val="center"/>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201</w:t>
            </w:r>
            <w:r w:rsidR="00677458">
              <w:rPr>
                <w:rFonts w:ascii="Angsana New" w:eastAsia="Times New Roman" w:hAnsi="Angsana New"/>
                <w:noProof w:val="0"/>
                <w:color w:val="000000"/>
                <w:szCs w:val="28"/>
                <w:lang w:bidi="th-TH"/>
              </w:rPr>
              <w:t>5</w:t>
            </w:r>
          </w:p>
        </w:tc>
      </w:tr>
      <w:tr w:rsidR="000B15CB" w:rsidRPr="000B15CB" w:rsidTr="000B15CB">
        <w:trPr>
          <w:trHeight w:val="420"/>
        </w:trPr>
        <w:tc>
          <w:tcPr>
            <w:tcW w:w="2840" w:type="dxa"/>
            <w:vMerge/>
            <w:tcBorders>
              <w:top w:val="nil"/>
              <w:left w:val="nil"/>
              <w:bottom w:val="nil"/>
              <w:right w:val="nil"/>
            </w:tcBorders>
            <w:vAlign w:val="center"/>
            <w:hideMark/>
          </w:tcPr>
          <w:p w:rsidR="000B15CB" w:rsidRPr="000B15CB" w:rsidRDefault="000B15CB" w:rsidP="000B15CB">
            <w:pPr>
              <w:rPr>
                <w:rFonts w:ascii="Angsana New" w:eastAsia="Times New Roman" w:hAnsi="Angsana New"/>
                <w:noProof w:val="0"/>
                <w:color w:val="000000"/>
                <w:szCs w:val="28"/>
                <w:lang w:bidi="th-TH"/>
              </w:rPr>
            </w:pPr>
          </w:p>
        </w:tc>
        <w:tc>
          <w:tcPr>
            <w:tcW w:w="1547" w:type="dxa"/>
            <w:tcBorders>
              <w:top w:val="nil"/>
              <w:left w:val="nil"/>
              <w:bottom w:val="nil"/>
              <w:right w:val="nil"/>
            </w:tcBorders>
            <w:shd w:val="clear" w:color="auto" w:fill="auto"/>
            <w:noWrap/>
            <w:vAlign w:val="bottom"/>
            <w:hideMark/>
          </w:tcPr>
          <w:p w:rsidR="000B15CB" w:rsidRPr="000B15CB" w:rsidRDefault="000B15CB" w:rsidP="000B15CB">
            <w:pPr>
              <w:jc w:val="right"/>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Amount</w:t>
            </w:r>
          </w:p>
        </w:tc>
        <w:tc>
          <w:tcPr>
            <w:tcW w:w="993"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Ratio(%)</w:t>
            </w:r>
          </w:p>
        </w:tc>
        <w:tc>
          <w:tcPr>
            <w:tcW w:w="1437"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Amount</w:t>
            </w:r>
          </w:p>
        </w:tc>
        <w:tc>
          <w:tcPr>
            <w:tcW w:w="923"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Ratio(%)</w:t>
            </w:r>
          </w:p>
        </w:tc>
      </w:tr>
      <w:tr w:rsidR="000B15CB" w:rsidRPr="000B15CB" w:rsidTr="000B15CB">
        <w:trPr>
          <w:trHeight w:val="420"/>
        </w:trPr>
        <w:tc>
          <w:tcPr>
            <w:tcW w:w="2840" w:type="dxa"/>
            <w:vMerge/>
            <w:tcBorders>
              <w:top w:val="nil"/>
              <w:left w:val="nil"/>
              <w:bottom w:val="nil"/>
              <w:right w:val="nil"/>
            </w:tcBorders>
            <w:vAlign w:val="center"/>
            <w:hideMark/>
          </w:tcPr>
          <w:p w:rsidR="000B15CB" w:rsidRPr="000B15CB" w:rsidRDefault="000B15CB" w:rsidP="000B15CB">
            <w:pPr>
              <w:rPr>
                <w:rFonts w:ascii="Angsana New" w:eastAsia="Times New Roman" w:hAnsi="Angsana New"/>
                <w:noProof w:val="0"/>
                <w:color w:val="000000"/>
                <w:szCs w:val="28"/>
                <w:lang w:bidi="th-TH"/>
              </w:rPr>
            </w:pPr>
          </w:p>
        </w:tc>
        <w:tc>
          <w:tcPr>
            <w:tcW w:w="1547" w:type="dxa"/>
            <w:tcBorders>
              <w:top w:val="nil"/>
              <w:left w:val="nil"/>
              <w:bottom w:val="nil"/>
              <w:right w:val="nil"/>
            </w:tcBorders>
            <w:shd w:val="clear" w:color="auto" w:fill="auto"/>
            <w:noWrap/>
            <w:vAlign w:val="bottom"/>
            <w:hideMark/>
          </w:tcPr>
          <w:p w:rsidR="000B15CB" w:rsidRPr="000B15CB" w:rsidRDefault="000B15CB" w:rsidP="000B15CB">
            <w:pPr>
              <w:jc w:val="right"/>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(Million Baht)</w:t>
            </w:r>
          </w:p>
        </w:tc>
        <w:tc>
          <w:tcPr>
            <w:tcW w:w="993"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p>
        </w:tc>
        <w:tc>
          <w:tcPr>
            <w:tcW w:w="1437"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(Million Baht)</w:t>
            </w:r>
          </w:p>
        </w:tc>
        <w:tc>
          <w:tcPr>
            <w:tcW w:w="923" w:type="dxa"/>
            <w:tcBorders>
              <w:top w:val="nil"/>
              <w:left w:val="nil"/>
              <w:bottom w:val="nil"/>
              <w:right w:val="nil"/>
            </w:tcBorders>
            <w:shd w:val="clear" w:color="auto" w:fill="auto"/>
            <w:noWrap/>
            <w:vAlign w:val="bottom"/>
            <w:hideMark/>
          </w:tcPr>
          <w:p w:rsidR="000B15CB" w:rsidRPr="000B15CB" w:rsidRDefault="000B15CB" w:rsidP="000B15CB">
            <w:pPr>
              <w:jc w:val="center"/>
              <w:rPr>
                <w:rFonts w:ascii="Angsana New" w:eastAsia="Times New Roman" w:hAnsi="Angsana New"/>
                <w:noProof w:val="0"/>
                <w:color w:val="000000"/>
                <w:szCs w:val="28"/>
                <w:lang w:bidi="th-TH"/>
              </w:rPr>
            </w:pP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Cash</w:t>
            </w:r>
          </w:p>
        </w:tc>
        <w:tc>
          <w:tcPr>
            <w:tcW w:w="1547"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186</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6.8%</w:t>
            </w:r>
          </w:p>
        </w:tc>
        <w:tc>
          <w:tcPr>
            <w:tcW w:w="1437"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336</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13.4</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Bond</w:t>
            </w:r>
          </w:p>
        </w:tc>
        <w:tc>
          <w:tcPr>
            <w:tcW w:w="1547"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290</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10.7%</w:t>
            </w:r>
          </w:p>
        </w:tc>
        <w:tc>
          <w:tcPr>
            <w:tcW w:w="1437"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62</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2.5</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Fixed Income</w:t>
            </w:r>
          </w:p>
        </w:tc>
        <w:tc>
          <w:tcPr>
            <w:tcW w:w="1547"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295</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10.9%</w:t>
            </w:r>
          </w:p>
        </w:tc>
        <w:tc>
          <w:tcPr>
            <w:tcW w:w="1437"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166</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6.6</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Equity</w:t>
            </w:r>
          </w:p>
        </w:tc>
        <w:tc>
          <w:tcPr>
            <w:tcW w:w="1547"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371</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13.7%</w:t>
            </w:r>
          </w:p>
        </w:tc>
        <w:tc>
          <w:tcPr>
            <w:tcW w:w="1437"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413</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16.4</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Unit Trust</w:t>
            </w:r>
          </w:p>
        </w:tc>
        <w:tc>
          <w:tcPr>
            <w:tcW w:w="1547"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1,560</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57.6%</w:t>
            </w:r>
          </w:p>
        </w:tc>
        <w:tc>
          <w:tcPr>
            <w:tcW w:w="1437"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1,530</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60.8</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Other</w:t>
            </w:r>
          </w:p>
        </w:tc>
        <w:tc>
          <w:tcPr>
            <w:tcW w:w="1547" w:type="dxa"/>
            <w:tcBorders>
              <w:top w:val="nil"/>
              <w:left w:val="nil"/>
              <w:bottom w:val="nil"/>
              <w:right w:val="nil"/>
            </w:tcBorders>
            <w:shd w:val="clear" w:color="auto" w:fill="auto"/>
            <w:noWrap/>
            <w:vAlign w:val="bottom"/>
            <w:hideMark/>
          </w:tcPr>
          <w:p w:rsidR="00677458" w:rsidRPr="00677458" w:rsidRDefault="00677458" w:rsidP="000B15CB">
            <w:pPr>
              <w:jc w:val="right"/>
              <w:rPr>
                <w:rFonts w:ascii="Angsana New" w:eastAsia="Times New Roman" w:hAnsi="Angsana New"/>
                <w:noProof w:val="0"/>
                <w:color w:val="000000"/>
                <w:szCs w:val="28"/>
                <w:u w:val="single"/>
                <w:lang w:bidi="th-TH"/>
              </w:rPr>
            </w:pPr>
            <w:r w:rsidRPr="00677458">
              <w:rPr>
                <w:rFonts w:ascii="Angsana New" w:eastAsia="Times New Roman" w:hAnsi="Angsana New"/>
                <w:noProof w:val="0"/>
                <w:color w:val="000000"/>
                <w:szCs w:val="28"/>
                <w:u w:val="single"/>
                <w:lang w:bidi="th-TH"/>
              </w:rPr>
              <w:t>7</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0.3%</w:t>
            </w:r>
          </w:p>
        </w:tc>
        <w:tc>
          <w:tcPr>
            <w:tcW w:w="1437" w:type="dxa"/>
            <w:tcBorders>
              <w:top w:val="nil"/>
              <w:left w:val="nil"/>
              <w:bottom w:val="nil"/>
              <w:right w:val="nil"/>
            </w:tcBorders>
            <w:shd w:val="clear" w:color="auto" w:fill="auto"/>
            <w:noWrap/>
            <w:vAlign w:val="bottom"/>
            <w:hideMark/>
          </w:tcPr>
          <w:p w:rsidR="00677458" w:rsidRPr="00677458" w:rsidRDefault="00677458" w:rsidP="00677458">
            <w:pPr>
              <w:jc w:val="right"/>
              <w:rPr>
                <w:rFonts w:ascii="Angsana New" w:eastAsia="Times New Roman" w:hAnsi="Angsana New"/>
                <w:noProof w:val="0"/>
                <w:color w:val="000000"/>
                <w:szCs w:val="28"/>
                <w:u w:val="single"/>
                <w:lang w:bidi="th-TH"/>
              </w:rPr>
            </w:pPr>
            <w:r w:rsidRPr="00677458">
              <w:rPr>
                <w:rFonts w:ascii="Angsana New" w:eastAsia="Times New Roman" w:hAnsi="Angsana New"/>
                <w:noProof w:val="0"/>
                <w:color w:val="000000"/>
                <w:szCs w:val="28"/>
                <w:u w:val="single"/>
                <w:lang w:bidi="th-TH"/>
              </w:rPr>
              <w:t>8</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0.3</w:t>
            </w:r>
            <w:r w:rsidRPr="000B15CB">
              <w:rPr>
                <w:rFonts w:ascii="Angsana New" w:eastAsia="Times New Roman" w:hAnsi="Angsana New"/>
                <w:noProof w:val="0"/>
                <w:color w:val="000000"/>
                <w:szCs w:val="28"/>
                <w:lang w:bidi="th-TH"/>
              </w:rPr>
              <w:t>%</w:t>
            </w:r>
          </w:p>
        </w:tc>
      </w:tr>
      <w:tr w:rsidR="00677458" w:rsidRPr="000B15CB" w:rsidTr="000B15CB">
        <w:trPr>
          <w:trHeight w:val="420"/>
        </w:trPr>
        <w:tc>
          <w:tcPr>
            <w:tcW w:w="2840" w:type="dxa"/>
            <w:tcBorders>
              <w:top w:val="nil"/>
              <w:left w:val="nil"/>
              <w:bottom w:val="nil"/>
              <w:right w:val="nil"/>
            </w:tcBorders>
            <w:shd w:val="clear" w:color="auto" w:fill="auto"/>
            <w:noWrap/>
            <w:vAlign w:val="bottom"/>
            <w:hideMark/>
          </w:tcPr>
          <w:p w:rsidR="00677458" w:rsidRPr="000B15CB" w:rsidRDefault="00677458" w:rsidP="000B15CB">
            <w:pPr>
              <w:rPr>
                <w:rFonts w:ascii="Angsana New" w:eastAsia="Times New Roman" w:hAnsi="Angsana New"/>
                <w:noProof w:val="0"/>
                <w:color w:val="000000"/>
                <w:szCs w:val="28"/>
                <w:lang w:bidi="th-TH"/>
              </w:rPr>
            </w:pPr>
            <w:r w:rsidRPr="000B15CB">
              <w:rPr>
                <w:rFonts w:ascii="Angsana New" w:eastAsia="Times New Roman" w:hAnsi="Angsana New"/>
                <w:noProof w:val="0"/>
                <w:color w:val="000000"/>
                <w:szCs w:val="28"/>
                <w:lang w:bidi="th-TH"/>
              </w:rPr>
              <w:t>Total</w:t>
            </w:r>
          </w:p>
        </w:tc>
        <w:tc>
          <w:tcPr>
            <w:tcW w:w="1547" w:type="dxa"/>
            <w:tcBorders>
              <w:top w:val="nil"/>
              <w:left w:val="nil"/>
              <w:bottom w:val="nil"/>
              <w:right w:val="nil"/>
            </w:tcBorders>
            <w:shd w:val="clear" w:color="auto" w:fill="auto"/>
            <w:noWrap/>
            <w:vAlign w:val="bottom"/>
            <w:hideMark/>
          </w:tcPr>
          <w:p w:rsidR="00677458" w:rsidRPr="00677458" w:rsidRDefault="00677458" w:rsidP="000B15CB">
            <w:pPr>
              <w:jc w:val="right"/>
              <w:rPr>
                <w:rFonts w:ascii="Angsana New" w:eastAsia="Times New Roman" w:hAnsi="Angsana New"/>
                <w:noProof w:val="0"/>
                <w:color w:val="000000"/>
                <w:szCs w:val="28"/>
                <w:u w:val="double"/>
                <w:lang w:bidi="th-TH"/>
              </w:rPr>
            </w:pPr>
            <w:r w:rsidRPr="00677458">
              <w:rPr>
                <w:rFonts w:ascii="Angsana New" w:eastAsia="Times New Roman" w:hAnsi="Angsana New"/>
                <w:noProof w:val="0"/>
                <w:color w:val="000000"/>
                <w:szCs w:val="28"/>
                <w:u w:val="double"/>
                <w:lang w:bidi="th-TH"/>
              </w:rPr>
              <w:t>2,709</w:t>
            </w:r>
          </w:p>
        </w:tc>
        <w:tc>
          <w:tcPr>
            <w:tcW w:w="993" w:type="dxa"/>
            <w:tcBorders>
              <w:top w:val="nil"/>
              <w:left w:val="nil"/>
              <w:bottom w:val="nil"/>
              <w:right w:val="nil"/>
            </w:tcBorders>
            <w:shd w:val="clear" w:color="auto" w:fill="auto"/>
            <w:noWrap/>
            <w:vAlign w:val="bottom"/>
            <w:hideMark/>
          </w:tcPr>
          <w:p w:rsidR="00677458" w:rsidRPr="000B15CB" w:rsidRDefault="00677458" w:rsidP="000B15CB">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100%</w:t>
            </w:r>
          </w:p>
        </w:tc>
        <w:tc>
          <w:tcPr>
            <w:tcW w:w="1437" w:type="dxa"/>
            <w:tcBorders>
              <w:top w:val="nil"/>
              <w:left w:val="nil"/>
              <w:bottom w:val="nil"/>
              <w:right w:val="nil"/>
            </w:tcBorders>
            <w:shd w:val="clear" w:color="auto" w:fill="auto"/>
            <w:noWrap/>
            <w:vAlign w:val="bottom"/>
            <w:hideMark/>
          </w:tcPr>
          <w:p w:rsidR="00677458" w:rsidRPr="00677458" w:rsidRDefault="00677458" w:rsidP="00677458">
            <w:pPr>
              <w:jc w:val="right"/>
              <w:rPr>
                <w:rFonts w:ascii="Angsana New" w:eastAsia="Times New Roman" w:hAnsi="Angsana New"/>
                <w:noProof w:val="0"/>
                <w:color w:val="000000"/>
                <w:szCs w:val="28"/>
                <w:u w:val="double"/>
                <w:lang w:bidi="th-TH"/>
              </w:rPr>
            </w:pPr>
            <w:r w:rsidRPr="00677458">
              <w:rPr>
                <w:rFonts w:ascii="Angsana New" w:eastAsia="Times New Roman" w:hAnsi="Angsana New"/>
                <w:noProof w:val="0"/>
                <w:color w:val="000000"/>
                <w:szCs w:val="28"/>
                <w:u w:val="double"/>
                <w:lang w:bidi="th-TH"/>
              </w:rPr>
              <w:t>2,515</w:t>
            </w:r>
          </w:p>
        </w:tc>
        <w:tc>
          <w:tcPr>
            <w:tcW w:w="923" w:type="dxa"/>
            <w:tcBorders>
              <w:top w:val="nil"/>
              <w:left w:val="nil"/>
              <w:bottom w:val="nil"/>
              <w:right w:val="nil"/>
            </w:tcBorders>
            <w:shd w:val="clear" w:color="auto" w:fill="auto"/>
            <w:noWrap/>
            <w:vAlign w:val="bottom"/>
            <w:hideMark/>
          </w:tcPr>
          <w:p w:rsidR="00677458" w:rsidRPr="000B15CB"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100.0</w:t>
            </w:r>
            <w:r w:rsidRPr="000B15CB">
              <w:rPr>
                <w:rFonts w:ascii="Angsana New" w:eastAsia="Times New Roman" w:hAnsi="Angsana New"/>
                <w:noProof w:val="0"/>
                <w:color w:val="000000"/>
                <w:szCs w:val="28"/>
                <w:lang w:bidi="th-TH"/>
              </w:rPr>
              <w:t>%</w:t>
            </w:r>
          </w:p>
        </w:tc>
      </w:tr>
    </w:tbl>
    <w:p w:rsidR="0012191A" w:rsidRDefault="0012191A" w:rsidP="0076676C">
      <w:pPr>
        <w:ind w:right="-450"/>
        <w:rPr>
          <w:rFonts w:ascii="Angsana New" w:hAnsi="Angsana New"/>
        </w:rPr>
      </w:pPr>
    </w:p>
    <w:p w:rsidR="009121A1" w:rsidRDefault="009121A1" w:rsidP="0076676C">
      <w:pPr>
        <w:ind w:right="-450"/>
        <w:rPr>
          <w:rFonts w:ascii="Angsana New" w:hAnsi="Angsana New"/>
        </w:rPr>
      </w:pPr>
      <w:r>
        <w:rPr>
          <w:rFonts w:ascii="Angsana New" w:hAnsi="Angsana New"/>
        </w:rPr>
        <w:t>Financial Status</w:t>
      </w:r>
    </w:p>
    <w:p w:rsidR="009121A1" w:rsidRDefault="009121A1" w:rsidP="0076676C">
      <w:pPr>
        <w:ind w:right="-450"/>
        <w:rPr>
          <w:rFonts w:ascii="Angsana New" w:hAnsi="Angsana New"/>
        </w:rPr>
      </w:pPr>
      <w:r>
        <w:rPr>
          <w:rFonts w:ascii="Angsana New" w:hAnsi="Angsana New"/>
        </w:rPr>
        <w:t xml:space="preserve">       The c</w:t>
      </w:r>
      <w:r w:rsidR="009837BC">
        <w:rPr>
          <w:rFonts w:ascii="Angsana New" w:hAnsi="Angsana New"/>
        </w:rPr>
        <w:t>ompany had total assets 4,853.69</w:t>
      </w:r>
      <w:r>
        <w:rPr>
          <w:rFonts w:ascii="Angsana New" w:hAnsi="Angsana New"/>
        </w:rPr>
        <w:t xml:space="preserve"> </w:t>
      </w:r>
      <w:r w:rsidR="009837BC">
        <w:rPr>
          <w:rFonts w:ascii="Angsana New" w:hAnsi="Angsana New"/>
        </w:rPr>
        <w:t>million Baht that increased 5.75% from 2015</w:t>
      </w:r>
      <w:r w:rsidR="00E4094E">
        <w:rPr>
          <w:rFonts w:ascii="Angsana New" w:hAnsi="Angsana New"/>
        </w:rPr>
        <w:t>;</w:t>
      </w:r>
      <w:r>
        <w:rPr>
          <w:rFonts w:ascii="Angsana New" w:hAnsi="Angsana New"/>
        </w:rPr>
        <w:t xml:space="preserve"> </w:t>
      </w:r>
      <w:r w:rsidR="00AD7427">
        <w:rPr>
          <w:rFonts w:ascii="Angsana New" w:hAnsi="Angsana New"/>
        </w:rPr>
        <w:t>cash and cash equivale</w:t>
      </w:r>
      <w:r w:rsidR="009837BC">
        <w:rPr>
          <w:rFonts w:ascii="Angsana New" w:hAnsi="Angsana New"/>
        </w:rPr>
        <w:t>nts 228.89</w:t>
      </w:r>
      <w:r>
        <w:rPr>
          <w:rFonts w:ascii="Angsana New" w:hAnsi="Angsana New"/>
        </w:rPr>
        <w:t xml:space="preserve"> </w:t>
      </w:r>
    </w:p>
    <w:p w:rsidR="008520C3" w:rsidRDefault="009837BC" w:rsidP="0076676C">
      <w:pPr>
        <w:ind w:right="-450"/>
        <w:rPr>
          <w:rFonts w:ascii="Angsana New" w:hAnsi="Angsana New"/>
        </w:rPr>
      </w:pPr>
      <w:r>
        <w:rPr>
          <w:rFonts w:ascii="Angsana New" w:hAnsi="Angsana New"/>
        </w:rPr>
        <w:t>million Baht or 4.7</w:t>
      </w:r>
      <w:r w:rsidR="009121A1">
        <w:rPr>
          <w:rFonts w:ascii="Angsana New" w:hAnsi="Angsana New"/>
        </w:rPr>
        <w:t>2%</w:t>
      </w:r>
      <w:r w:rsidR="00433818">
        <w:rPr>
          <w:rFonts w:ascii="Angsana New" w:hAnsi="Angsana New"/>
        </w:rPr>
        <w:t xml:space="preserve"> of total assets</w:t>
      </w:r>
      <w:r w:rsidR="00E4094E">
        <w:rPr>
          <w:rFonts w:ascii="Angsana New" w:hAnsi="Angsana New"/>
        </w:rPr>
        <w:t>;</w:t>
      </w:r>
      <w:r w:rsidR="009121A1">
        <w:rPr>
          <w:rFonts w:ascii="Angsana New" w:hAnsi="Angsana New"/>
        </w:rPr>
        <w:t xml:space="preserve"> investment assets included</w:t>
      </w:r>
      <w:r w:rsidR="00E4094E">
        <w:rPr>
          <w:rFonts w:ascii="Angsana New" w:hAnsi="Angsana New"/>
        </w:rPr>
        <w:t xml:space="preserve"> bank deposits, fixed income, equity, government bond and other investments</w:t>
      </w:r>
      <w:r w:rsidR="00433818">
        <w:rPr>
          <w:rFonts w:ascii="Angsana New" w:hAnsi="Angsana New"/>
        </w:rPr>
        <w:t xml:space="preserve"> </w:t>
      </w:r>
      <w:r w:rsidR="00E4094E">
        <w:rPr>
          <w:rFonts w:ascii="Angsana New" w:hAnsi="Angsana New"/>
        </w:rPr>
        <w:t>2</w:t>
      </w:r>
      <w:r>
        <w:rPr>
          <w:rFonts w:ascii="Angsana New" w:hAnsi="Angsana New"/>
        </w:rPr>
        <w:t>,709.15 million Baht or 55.82</w:t>
      </w:r>
      <w:r w:rsidR="00E4094E">
        <w:rPr>
          <w:rFonts w:ascii="Angsana New" w:hAnsi="Angsana New"/>
        </w:rPr>
        <w:t>%</w:t>
      </w:r>
      <w:r w:rsidR="008520C3">
        <w:rPr>
          <w:rFonts w:ascii="Angsana New" w:hAnsi="Angsana New"/>
        </w:rPr>
        <w:t>, reinsurance asse</w:t>
      </w:r>
      <w:r>
        <w:rPr>
          <w:rFonts w:ascii="Angsana New" w:hAnsi="Angsana New"/>
        </w:rPr>
        <w:t>ts and premium receivables 907.45 million Baht or 18.70</w:t>
      </w:r>
      <w:r w:rsidR="008520C3">
        <w:rPr>
          <w:rFonts w:ascii="Angsana New" w:hAnsi="Angsana New"/>
        </w:rPr>
        <w:t>%, property, buildings,</w:t>
      </w:r>
      <w:r w:rsidR="00433818">
        <w:rPr>
          <w:rFonts w:ascii="Angsana New" w:hAnsi="Angsana New"/>
        </w:rPr>
        <w:t xml:space="preserve"> </w:t>
      </w:r>
      <w:r w:rsidR="008520C3">
        <w:rPr>
          <w:rFonts w:ascii="Angsana New" w:hAnsi="Angsana New"/>
        </w:rPr>
        <w:t>e</w:t>
      </w:r>
      <w:r w:rsidR="00AD7427">
        <w:rPr>
          <w:rFonts w:ascii="Angsana New" w:hAnsi="Angsana New"/>
        </w:rPr>
        <w:t>quipment</w:t>
      </w:r>
      <w:r>
        <w:rPr>
          <w:rFonts w:ascii="Angsana New" w:hAnsi="Angsana New"/>
        </w:rPr>
        <w:t xml:space="preserve"> and other assets 1,008.19 million Baht or 20.76</w:t>
      </w:r>
      <w:r w:rsidR="008520C3">
        <w:rPr>
          <w:rFonts w:ascii="Angsana New" w:hAnsi="Angsana New"/>
        </w:rPr>
        <w:t>%</w:t>
      </w:r>
    </w:p>
    <w:p w:rsidR="008520C3" w:rsidRDefault="008520C3" w:rsidP="0076676C">
      <w:pPr>
        <w:ind w:right="-450"/>
        <w:rPr>
          <w:rFonts w:ascii="Angsana New" w:hAnsi="Angsana New"/>
        </w:rPr>
      </w:pPr>
      <w:r>
        <w:rPr>
          <w:rFonts w:ascii="Angsana New" w:hAnsi="Angsana New"/>
        </w:rPr>
        <w:t xml:space="preserve">       For liabilities, the compan</w:t>
      </w:r>
      <w:r w:rsidR="009837BC">
        <w:rPr>
          <w:rFonts w:ascii="Angsana New" w:hAnsi="Angsana New"/>
        </w:rPr>
        <w:t>y had total liabilities 3,749.11</w:t>
      </w:r>
      <w:r>
        <w:rPr>
          <w:rFonts w:ascii="Angsana New" w:hAnsi="Angsana New"/>
        </w:rPr>
        <w:t xml:space="preserve"> milli</w:t>
      </w:r>
      <w:r w:rsidR="009837BC">
        <w:rPr>
          <w:rFonts w:ascii="Angsana New" w:hAnsi="Angsana New"/>
        </w:rPr>
        <w:t>on Baht, increasing 7.27</w:t>
      </w:r>
      <w:r w:rsidR="00AD7427">
        <w:rPr>
          <w:rFonts w:ascii="Angsana New" w:hAnsi="Angsana New"/>
        </w:rPr>
        <w:t>% from 201</w:t>
      </w:r>
      <w:r w:rsidR="009837BC">
        <w:rPr>
          <w:rFonts w:ascii="Angsana New" w:hAnsi="Angsana New"/>
        </w:rPr>
        <w:t>5</w:t>
      </w:r>
      <w:r w:rsidR="00CA33CF">
        <w:rPr>
          <w:rFonts w:ascii="Angsana New" w:hAnsi="Angsana New"/>
        </w:rPr>
        <w:t>.  The main items of insurance contract liabilities</w:t>
      </w:r>
      <w:r>
        <w:rPr>
          <w:rFonts w:ascii="Angsana New" w:hAnsi="Angsana New"/>
        </w:rPr>
        <w:t xml:space="preserve"> </w:t>
      </w:r>
      <w:r w:rsidR="00CA33CF">
        <w:rPr>
          <w:rFonts w:ascii="Angsana New" w:hAnsi="Angsana New"/>
        </w:rPr>
        <w:t>included loss reserves, outstanding cla</w:t>
      </w:r>
      <w:r w:rsidR="009837BC">
        <w:rPr>
          <w:rFonts w:ascii="Angsana New" w:hAnsi="Angsana New"/>
        </w:rPr>
        <w:t>im and premium reserves 2,576.14</w:t>
      </w:r>
      <w:r w:rsidR="00AD7427">
        <w:rPr>
          <w:rFonts w:ascii="Angsana New" w:hAnsi="Angsana New"/>
        </w:rPr>
        <w:t xml:space="preserve"> million Baht, in</w:t>
      </w:r>
      <w:r w:rsidR="00CA33CF">
        <w:rPr>
          <w:rFonts w:ascii="Angsana New" w:hAnsi="Angsana New"/>
        </w:rPr>
        <w:t>creasing</w:t>
      </w:r>
    </w:p>
    <w:p w:rsidR="00CA33CF" w:rsidRDefault="009837BC" w:rsidP="0076676C">
      <w:pPr>
        <w:ind w:right="-450"/>
        <w:rPr>
          <w:rFonts w:ascii="Angsana New" w:hAnsi="Angsana New"/>
        </w:rPr>
      </w:pPr>
      <w:r>
        <w:rPr>
          <w:rFonts w:ascii="Angsana New" w:hAnsi="Angsana New"/>
        </w:rPr>
        <w:t>3.81% from 2015</w:t>
      </w:r>
      <w:r w:rsidR="00CA33CF">
        <w:rPr>
          <w:rFonts w:ascii="Angsana New" w:hAnsi="Angsana New"/>
        </w:rPr>
        <w:t>.</w:t>
      </w:r>
      <w:r w:rsidR="003826F7">
        <w:rPr>
          <w:rFonts w:ascii="Angsana New" w:hAnsi="Angsana New"/>
        </w:rPr>
        <w:t xml:space="preserve">  </w:t>
      </w:r>
      <w:r w:rsidR="008E2E41">
        <w:rPr>
          <w:rFonts w:ascii="Angsana New" w:hAnsi="Angsana New"/>
        </w:rPr>
        <w:t>Furthermore, the company had the reinsur</w:t>
      </w:r>
      <w:r w:rsidR="00D937BE">
        <w:rPr>
          <w:rFonts w:ascii="Angsana New" w:hAnsi="Angsana New"/>
        </w:rPr>
        <w:t>ance</w:t>
      </w:r>
      <w:r w:rsidR="008E2E41">
        <w:rPr>
          <w:rFonts w:ascii="Angsana New" w:hAnsi="Angsana New"/>
        </w:rPr>
        <w:t xml:space="preserve"> liabilities and other lia</w:t>
      </w:r>
      <w:r>
        <w:rPr>
          <w:rFonts w:ascii="Angsana New" w:hAnsi="Angsana New"/>
        </w:rPr>
        <w:t>bilities 1,172.97</w:t>
      </w:r>
      <w:r w:rsidR="00AD7427">
        <w:rPr>
          <w:rFonts w:ascii="Angsana New" w:hAnsi="Angsana New"/>
        </w:rPr>
        <w:t xml:space="preserve"> million  Baht, in</w:t>
      </w:r>
      <w:r w:rsidR="00D937BE">
        <w:rPr>
          <w:rFonts w:ascii="Angsana New" w:hAnsi="Angsana New"/>
        </w:rPr>
        <w:t>creasing</w:t>
      </w:r>
    </w:p>
    <w:p w:rsidR="00D937BE" w:rsidRDefault="009837BC" w:rsidP="0076676C">
      <w:pPr>
        <w:ind w:right="-450"/>
        <w:rPr>
          <w:rFonts w:ascii="Angsana New" w:hAnsi="Angsana New"/>
        </w:rPr>
      </w:pPr>
      <w:r>
        <w:rPr>
          <w:rFonts w:ascii="Angsana New" w:hAnsi="Angsana New"/>
        </w:rPr>
        <w:t>15.74% from 2015</w:t>
      </w:r>
      <w:r w:rsidR="00D937BE">
        <w:rPr>
          <w:rFonts w:ascii="Angsana New" w:hAnsi="Angsana New"/>
        </w:rPr>
        <w:t>.</w:t>
      </w:r>
    </w:p>
    <w:p w:rsidR="00E3044E" w:rsidRDefault="00E3044E" w:rsidP="0076676C">
      <w:pPr>
        <w:ind w:right="-450"/>
        <w:rPr>
          <w:rFonts w:ascii="Angsana New" w:hAnsi="Angsana New"/>
        </w:rPr>
      </w:pPr>
      <w:r>
        <w:rPr>
          <w:rFonts w:ascii="Angsana New" w:hAnsi="Angsana New"/>
        </w:rPr>
        <w:t xml:space="preserve">      </w:t>
      </w:r>
      <w:r w:rsidR="00AD7427">
        <w:rPr>
          <w:rFonts w:ascii="Angsana New" w:hAnsi="Angsana New"/>
        </w:rPr>
        <w:t xml:space="preserve"> The company had eq</w:t>
      </w:r>
      <w:r w:rsidR="003A0328">
        <w:rPr>
          <w:rFonts w:ascii="Angsana New" w:hAnsi="Angsana New"/>
        </w:rPr>
        <w:t>u</w:t>
      </w:r>
      <w:r w:rsidR="00C36F3C">
        <w:rPr>
          <w:rFonts w:ascii="Angsana New" w:hAnsi="Angsana New"/>
        </w:rPr>
        <w:t>ity 1,104.58 million Baht, in</w:t>
      </w:r>
      <w:r w:rsidR="003A0328">
        <w:rPr>
          <w:rFonts w:ascii="Angsana New" w:hAnsi="Angsana New"/>
        </w:rPr>
        <w:t>creasing 0.</w:t>
      </w:r>
      <w:r w:rsidR="00AD7427">
        <w:rPr>
          <w:rFonts w:ascii="Angsana New" w:hAnsi="Angsana New"/>
        </w:rPr>
        <w:t>9</w:t>
      </w:r>
      <w:r w:rsidR="003A0328">
        <w:rPr>
          <w:rFonts w:ascii="Angsana New" w:hAnsi="Angsana New"/>
        </w:rPr>
        <w:t>0% from 2015</w:t>
      </w:r>
      <w:r w:rsidR="00433818">
        <w:rPr>
          <w:rFonts w:ascii="Angsana New" w:hAnsi="Angsana New"/>
        </w:rPr>
        <w:t>.  The</w:t>
      </w:r>
      <w:r>
        <w:rPr>
          <w:rFonts w:ascii="Angsana New" w:hAnsi="Angsana New"/>
        </w:rPr>
        <w:t xml:space="preserve"> compa</w:t>
      </w:r>
      <w:r w:rsidR="00AD7427">
        <w:rPr>
          <w:rFonts w:ascii="Angsana New" w:hAnsi="Angsana New"/>
        </w:rPr>
        <w:t xml:space="preserve">ny </w:t>
      </w:r>
      <w:r w:rsidR="00433818">
        <w:rPr>
          <w:rFonts w:ascii="Angsana New" w:hAnsi="Angsana New"/>
        </w:rPr>
        <w:t xml:space="preserve">had </w:t>
      </w:r>
      <w:r w:rsidR="003A0328">
        <w:rPr>
          <w:rFonts w:ascii="Angsana New" w:hAnsi="Angsana New"/>
        </w:rPr>
        <w:t>profit from operations 25.10</w:t>
      </w:r>
    </w:p>
    <w:p w:rsidR="00E3044E" w:rsidRDefault="00E3044E" w:rsidP="0076676C">
      <w:pPr>
        <w:ind w:right="-450"/>
        <w:rPr>
          <w:rFonts w:ascii="Angsana New" w:hAnsi="Angsana New"/>
        </w:rPr>
      </w:pPr>
      <w:r>
        <w:rPr>
          <w:rFonts w:ascii="Angsana New" w:hAnsi="Angsana New"/>
        </w:rPr>
        <w:t>million Baht and oth</w:t>
      </w:r>
      <w:r w:rsidR="00AD7427">
        <w:rPr>
          <w:rFonts w:ascii="Angsana New" w:hAnsi="Angsana New"/>
        </w:rPr>
        <w:t xml:space="preserve">er comprehensive income </w:t>
      </w:r>
      <w:r>
        <w:rPr>
          <w:rFonts w:ascii="Angsana New" w:hAnsi="Angsana New"/>
        </w:rPr>
        <w:t xml:space="preserve"> in values of available-for-sale investments </w:t>
      </w:r>
      <w:r w:rsidR="00AD7427">
        <w:rPr>
          <w:rFonts w:ascii="Angsana New" w:hAnsi="Angsana New"/>
        </w:rPr>
        <w:t xml:space="preserve">together with actuarial estimate </w:t>
      </w:r>
      <w:r w:rsidR="003A0328">
        <w:rPr>
          <w:rFonts w:ascii="Angsana New" w:hAnsi="Angsana New"/>
        </w:rPr>
        <w:t>of employee benefit obligation (0.14)</w:t>
      </w:r>
      <w:r w:rsidR="00AD7427">
        <w:rPr>
          <w:rFonts w:ascii="Angsana New" w:hAnsi="Angsana New"/>
        </w:rPr>
        <w:t xml:space="preserve"> million baht</w:t>
      </w:r>
      <w:r>
        <w:rPr>
          <w:rFonts w:ascii="Angsana New" w:hAnsi="Angsana New"/>
        </w:rPr>
        <w:t>.</w:t>
      </w:r>
    </w:p>
    <w:p w:rsidR="00E3044E" w:rsidRDefault="00AA6F1F" w:rsidP="0076676C">
      <w:pPr>
        <w:ind w:right="-450"/>
        <w:rPr>
          <w:rFonts w:ascii="Angsana New" w:hAnsi="Angsana New"/>
        </w:rPr>
      </w:pPr>
      <w:r>
        <w:rPr>
          <w:rFonts w:ascii="Angsana New" w:hAnsi="Angsana New"/>
        </w:rPr>
        <w:t xml:space="preserve">        In 2016</w:t>
      </w:r>
      <w:r w:rsidR="00E3044E">
        <w:rPr>
          <w:rFonts w:ascii="Angsana New" w:hAnsi="Angsana New"/>
        </w:rPr>
        <w:t xml:space="preserve">, the company </w:t>
      </w:r>
      <w:r>
        <w:rPr>
          <w:rFonts w:ascii="Angsana New" w:hAnsi="Angsana New"/>
        </w:rPr>
        <w:t>had direct premium written 3,229.23 million Baht with growth rate 3.34</w:t>
      </w:r>
      <w:r w:rsidR="00E3044E">
        <w:rPr>
          <w:rFonts w:ascii="Angsana New" w:hAnsi="Angsana New"/>
        </w:rPr>
        <w:t xml:space="preserve">% which was </w:t>
      </w:r>
      <w:r w:rsidR="0014361D">
        <w:rPr>
          <w:rFonts w:ascii="Angsana New" w:hAnsi="Angsana New"/>
        </w:rPr>
        <w:t>same as</w:t>
      </w:r>
    </w:p>
    <w:p w:rsidR="00E3044E" w:rsidRDefault="00981F3D" w:rsidP="0076676C">
      <w:pPr>
        <w:ind w:right="-450"/>
        <w:rPr>
          <w:rFonts w:ascii="Angsana New" w:hAnsi="Angsana New"/>
        </w:rPr>
      </w:pPr>
      <w:r>
        <w:rPr>
          <w:rFonts w:ascii="Angsana New" w:hAnsi="Angsana New"/>
        </w:rPr>
        <w:t>the growth rate of total n</w:t>
      </w:r>
      <w:r w:rsidR="002326F1">
        <w:rPr>
          <w:rFonts w:ascii="Angsana New" w:hAnsi="Angsana New"/>
        </w:rPr>
        <w:t xml:space="preserve">on-life insurance business </w:t>
      </w:r>
      <w:r>
        <w:rPr>
          <w:rFonts w:ascii="Angsana New" w:hAnsi="Angsana New"/>
        </w:rPr>
        <w:t xml:space="preserve"> and the company had market share o</w:t>
      </w:r>
      <w:r w:rsidR="0014361D">
        <w:rPr>
          <w:rFonts w:ascii="Angsana New" w:hAnsi="Angsana New"/>
        </w:rPr>
        <w:t>f comprehensive motor insurance ’</w:t>
      </w:r>
      <w:r w:rsidR="00AA6F1F">
        <w:rPr>
          <w:rFonts w:ascii="Angsana New" w:hAnsi="Angsana New"/>
        </w:rPr>
        <w:t>2016</w:t>
      </w:r>
    </w:p>
    <w:p w:rsidR="00E4094E" w:rsidRDefault="00090928" w:rsidP="0076676C">
      <w:pPr>
        <w:ind w:right="-450"/>
        <w:rPr>
          <w:rFonts w:ascii="Angsana New" w:hAnsi="Angsana New"/>
        </w:rPr>
      </w:pPr>
      <w:r>
        <w:rPr>
          <w:rFonts w:ascii="Angsana New" w:hAnsi="Angsana New"/>
        </w:rPr>
        <w:t>i</w:t>
      </w:r>
      <w:r w:rsidR="00435446">
        <w:rPr>
          <w:rFonts w:ascii="Angsana New" w:hAnsi="Angsana New"/>
        </w:rPr>
        <w:t xml:space="preserve">n </w:t>
      </w:r>
      <w:r>
        <w:rPr>
          <w:rFonts w:ascii="Angsana New" w:hAnsi="Angsana New"/>
        </w:rPr>
        <w:t xml:space="preserve">the </w:t>
      </w:r>
      <w:r w:rsidR="00435446">
        <w:rPr>
          <w:rFonts w:ascii="Angsana New" w:hAnsi="Angsana New"/>
        </w:rPr>
        <w:t>1</w:t>
      </w:r>
      <w:r w:rsidR="00AA6F1F">
        <w:rPr>
          <w:rFonts w:ascii="Angsana New" w:hAnsi="Angsana New"/>
        </w:rPr>
        <w:t>2</w:t>
      </w:r>
      <w:r w:rsidR="00435446" w:rsidRPr="00435446">
        <w:rPr>
          <w:rFonts w:ascii="Angsana New" w:hAnsi="Angsana New"/>
          <w:vertAlign w:val="superscript"/>
        </w:rPr>
        <w:t>th</w:t>
      </w:r>
      <w:r>
        <w:rPr>
          <w:rFonts w:ascii="Angsana New" w:hAnsi="Angsana New"/>
          <w:vertAlign w:val="superscript"/>
        </w:rPr>
        <w:t xml:space="preserve">  </w:t>
      </w:r>
      <w:r>
        <w:rPr>
          <w:rFonts w:ascii="Angsana New" w:hAnsi="Angsana New"/>
        </w:rPr>
        <w:t>number</w:t>
      </w:r>
      <w:r w:rsidR="00435446">
        <w:rPr>
          <w:rFonts w:ascii="Angsana New" w:hAnsi="Angsana New"/>
        </w:rPr>
        <w:t>.</w:t>
      </w:r>
    </w:p>
    <w:p w:rsidR="00A73775" w:rsidRDefault="00A73775" w:rsidP="0076676C">
      <w:pPr>
        <w:ind w:right="-450"/>
        <w:rPr>
          <w:rFonts w:ascii="Angsana New" w:hAnsi="Angsana New"/>
        </w:rPr>
      </w:pPr>
    </w:p>
    <w:p w:rsidR="00A73775" w:rsidRDefault="00A73775" w:rsidP="0076676C">
      <w:pPr>
        <w:ind w:right="-450"/>
        <w:rPr>
          <w:rFonts w:ascii="Angsana New" w:hAnsi="Angsana New"/>
        </w:rPr>
      </w:pPr>
    </w:p>
    <w:tbl>
      <w:tblPr>
        <w:tblW w:w="9880" w:type="dxa"/>
        <w:tblInd w:w="93" w:type="dxa"/>
        <w:tblLook w:val="04A0"/>
      </w:tblPr>
      <w:tblGrid>
        <w:gridCol w:w="2880"/>
        <w:gridCol w:w="1200"/>
        <w:gridCol w:w="1200"/>
        <w:gridCol w:w="1200"/>
        <w:gridCol w:w="1120"/>
        <w:gridCol w:w="1099"/>
        <w:gridCol w:w="1181"/>
      </w:tblGrid>
      <w:tr w:rsidR="00E4094E" w:rsidRPr="00E4094E" w:rsidTr="00E4094E">
        <w:trPr>
          <w:trHeight w:val="420"/>
        </w:trPr>
        <w:tc>
          <w:tcPr>
            <w:tcW w:w="2880" w:type="dxa"/>
            <w:tcBorders>
              <w:top w:val="nil"/>
              <w:left w:val="nil"/>
              <w:bottom w:val="nil"/>
              <w:right w:val="nil"/>
            </w:tcBorders>
            <w:shd w:val="clear" w:color="auto" w:fill="auto"/>
            <w:noWrap/>
            <w:vAlign w:val="bottom"/>
            <w:hideMark/>
          </w:tcPr>
          <w:p w:rsidR="00E4094E" w:rsidRPr="00E4094E" w:rsidRDefault="00E4094E" w:rsidP="00E4094E">
            <w:pPr>
              <w:rPr>
                <w:rFonts w:ascii="Angsana New" w:eastAsia="Times New Roman" w:hAnsi="Angsana New"/>
                <w:noProof w:val="0"/>
                <w:color w:val="000000"/>
                <w:szCs w:val="28"/>
                <w:lang w:bidi="th-TH"/>
              </w:rPr>
            </w:pPr>
          </w:p>
        </w:tc>
        <w:tc>
          <w:tcPr>
            <w:tcW w:w="1200" w:type="dxa"/>
            <w:tcBorders>
              <w:top w:val="nil"/>
              <w:left w:val="nil"/>
              <w:bottom w:val="nil"/>
              <w:right w:val="nil"/>
            </w:tcBorders>
            <w:shd w:val="clear" w:color="auto" w:fill="auto"/>
            <w:noWrap/>
            <w:vAlign w:val="bottom"/>
            <w:hideMark/>
          </w:tcPr>
          <w:p w:rsidR="00E4094E" w:rsidRPr="00E4094E" w:rsidRDefault="00E4094E" w:rsidP="00E4094E">
            <w:pPr>
              <w:rPr>
                <w:rFonts w:ascii="Angsana New" w:eastAsia="Times New Roman" w:hAnsi="Angsana New"/>
                <w:noProof w:val="0"/>
                <w:color w:val="000000"/>
                <w:szCs w:val="28"/>
                <w:lang w:bidi="th-TH"/>
              </w:rPr>
            </w:pPr>
          </w:p>
        </w:tc>
        <w:tc>
          <w:tcPr>
            <w:tcW w:w="1200" w:type="dxa"/>
            <w:tcBorders>
              <w:top w:val="nil"/>
              <w:left w:val="nil"/>
              <w:bottom w:val="nil"/>
              <w:right w:val="nil"/>
            </w:tcBorders>
            <w:shd w:val="clear" w:color="auto" w:fill="auto"/>
            <w:noWrap/>
            <w:vAlign w:val="bottom"/>
            <w:hideMark/>
          </w:tcPr>
          <w:p w:rsidR="00E4094E" w:rsidRPr="00E4094E" w:rsidRDefault="00E4094E" w:rsidP="00E4094E">
            <w:pPr>
              <w:rPr>
                <w:rFonts w:ascii="Angsana New" w:eastAsia="Times New Roman" w:hAnsi="Angsana New"/>
                <w:noProof w:val="0"/>
                <w:color w:val="000000"/>
                <w:szCs w:val="28"/>
                <w:lang w:bidi="th-TH"/>
              </w:rPr>
            </w:pPr>
          </w:p>
        </w:tc>
        <w:tc>
          <w:tcPr>
            <w:tcW w:w="1200" w:type="dxa"/>
            <w:tcBorders>
              <w:top w:val="nil"/>
              <w:left w:val="nil"/>
              <w:bottom w:val="nil"/>
              <w:right w:val="nil"/>
            </w:tcBorders>
            <w:shd w:val="clear" w:color="auto" w:fill="auto"/>
            <w:noWrap/>
            <w:vAlign w:val="bottom"/>
            <w:hideMark/>
          </w:tcPr>
          <w:p w:rsidR="00E4094E" w:rsidRPr="00E4094E" w:rsidRDefault="00E4094E" w:rsidP="00E4094E">
            <w:pPr>
              <w:rPr>
                <w:rFonts w:ascii="Angsana New" w:eastAsia="Times New Roman" w:hAnsi="Angsana New"/>
                <w:noProof w:val="0"/>
                <w:color w:val="000000"/>
                <w:szCs w:val="28"/>
                <w:lang w:bidi="th-TH"/>
              </w:rPr>
            </w:pPr>
          </w:p>
        </w:tc>
        <w:tc>
          <w:tcPr>
            <w:tcW w:w="1120" w:type="dxa"/>
            <w:tcBorders>
              <w:top w:val="nil"/>
              <w:left w:val="nil"/>
              <w:bottom w:val="nil"/>
              <w:right w:val="nil"/>
            </w:tcBorders>
            <w:shd w:val="clear" w:color="auto" w:fill="auto"/>
            <w:noWrap/>
            <w:vAlign w:val="bottom"/>
            <w:hideMark/>
          </w:tcPr>
          <w:p w:rsidR="00E4094E" w:rsidRPr="00E4094E" w:rsidRDefault="00E4094E" w:rsidP="00E4094E">
            <w:pPr>
              <w:rPr>
                <w:rFonts w:ascii="Angsana New" w:eastAsia="Times New Roman" w:hAnsi="Angsana New"/>
                <w:noProof w:val="0"/>
                <w:color w:val="000000"/>
                <w:szCs w:val="28"/>
                <w:lang w:bidi="th-TH"/>
              </w:rPr>
            </w:pPr>
          </w:p>
        </w:tc>
        <w:tc>
          <w:tcPr>
            <w:tcW w:w="2280" w:type="dxa"/>
            <w:gridSpan w:val="2"/>
            <w:tcBorders>
              <w:top w:val="nil"/>
              <w:left w:val="nil"/>
              <w:bottom w:val="nil"/>
              <w:right w:val="nil"/>
            </w:tcBorders>
            <w:shd w:val="clear" w:color="auto" w:fill="auto"/>
            <w:noWrap/>
            <w:vAlign w:val="bottom"/>
            <w:hideMark/>
          </w:tcPr>
          <w:p w:rsidR="00E4094E" w:rsidRPr="00E4094E" w:rsidRDefault="00E4094E" w:rsidP="00E4094E">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Unit: Million Baht</w:t>
            </w:r>
          </w:p>
        </w:tc>
      </w:tr>
      <w:tr w:rsidR="00E4094E" w:rsidRPr="00E4094E" w:rsidTr="00E4094E">
        <w:trPr>
          <w:trHeight w:val="420"/>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4E" w:rsidRPr="00E4094E" w:rsidRDefault="00E4094E" w:rsidP="00E4094E">
            <w:pPr>
              <w:jc w:val="cente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w:t>
            </w:r>
          </w:p>
        </w:tc>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4E" w:rsidRPr="002B1553" w:rsidRDefault="00E4094E" w:rsidP="00C12110">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201</w:t>
            </w:r>
            <w:r w:rsidR="00677458" w:rsidRPr="002B1553">
              <w:rPr>
                <w:rFonts w:ascii="Angsana New" w:eastAsia="Times New Roman" w:hAnsi="Angsana New"/>
                <w:b/>
                <w:bCs/>
                <w:noProof w:val="0"/>
                <w:color w:val="000000"/>
                <w:sz w:val="32"/>
                <w:szCs w:val="32"/>
                <w:lang w:bidi="th-TH"/>
              </w:rPr>
              <w:t>6</w:t>
            </w:r>
          </w:p>
        </w:tc>
        <w:tc>
          <w:tcPr>
            <w:tcW w:w="23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4094E" w:rsidRPr="002B1553" w:rsidRDefault="00C12110"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201</w:t>
            </w:r>
            <w:r w:rsidR="00677458" w:rsidRPr="002B1553">
              <w:rPr>
                <w:rFonts w:ascii="Angsana New" w:eastAsia="Times New Roman" w:hAnsi="Angsana New"/>
                <w:b/>
                <w:bCs/>
                <w:noProof w:val="0"/>
                <w:color w:val="000000"/>
                <w:sz w:val="32"/>
                <w:szCs w:val="32"/>
                <w:lang w:bidi="th-TH"/>
              </w:rPr>
              <w:t>5</w:t>
            </w:r>
          </w:p>
        </w:tc>
        <w:tc>
          <w:tcPr>
            <w:tcW w:w="2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E4094E" w:rsidRPr="002B1553" w:rsidRDefault="00C12110"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201</w:t>
            </w:r>
            <w:r w:rsidR="00677458" w:rsidRPr="002B1553">
              <w:rPr>
                <w:rFonts w:ascii="Angsana New" w:eastAsia="Times New Roman" w:hAnsi="Angsana New"/>
                <w:b/>
                <w:bCs/>
                <w:noProof w:val="0"/>
                <w:color w:val="000000"/>
                <w:sz w:val="32"/>
                <w:szCs w:val="32"/>
                <w:lang w:bidi="th-TH"/>
              </w:rPr>
              <w:t>4</w:t>
            </w:r>
          </w:p>
        </w:tc>
      </w:tr>
      <w:tr w:rsidR="00E4094E" w:rsidRPr="00E4094E" w:rsidTr="00E4094E">
        <w:trPr>
          <w:trHeight w:val="378"/>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Business</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Thaivivat</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Business</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Thaivivat</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Business</w:t>
            </w:r>
          </w:p>
        </w:tc>
        <w:tc>
          <w:tcPr>
            <w:tcW w:w="11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4094E" w:rsidRPr="002B1553" w:rsidRDefault="00E4094E" w:rsidP="00E4094E">
            <w:pPr>
              <w:jc w:val="center"/>
              <w:rPr>
                <w:rFonts w:ascii="Angsana New" w:eastAsia="Times New Roman" w:hAnsi="Angsana New"/>
                <w:b/>
                <w:bCs/>
                <w:noProof w:val="0"/>
                <w:color w:val="000000"/>
                <w:sz w:val="32"/>
                <w:szCs w:val="32"/>
                <w:lang w:bidi="th-TH"/>
              </w:rPr>
            </w:pPr>
            <w:r w:rsidRPr="002B1553">
              <w:rPr>
                <w:rFonts w:ascii="Angsana New" w:eastAsia="Times New Roman" w:hAnsi="Angsana New"/>
                <w:b/>
                <w:bCs/>
                <w:noProof w:val="0"/>
                <w:color w:val="000000"/>
                <w:sz w:val="32"/>
                <w:szCs w:val="32"/>
                <w:lang w:bidi="th-TH"/>
              </w:rPr>
              <w:t>Thaivivat</w:t>
            </w:r>
          </w:p>
        </w:tc>
      </w:tr>
      <w:tr w:rsidR="00E4094E" w:rsidRPr="00E4094E" w:rsidTr="00E4094E">
        <w:trPr>
          <w:trHeight w:val="378"/>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200"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200"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200"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120"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099"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c>
          <w:tcPr>
            <w:tcW w:w="1181" w:type="dxa"/>
            <w:vMerge/>
            <w:tcBorders>
              <w:top w:val="nil"/>
              <w:left w:val="single" w:sz="4" w:space="0" w:color="auto"/>
              <w:bottom w:val="single" w:sz="4" w:space="0" w:color="000000"/>
              <w:right w:val="single" w:sz="4" w:space="0" w:color="auto"/>
            </w:tcBorders>
            <w:vAlign w:val="center"/>
            <w:hideMark/>
          </w:tcPr>
          <w:p w:rsidR="00E4094E" w:rsidRPr="00E4094E" w:rsidRDefault="00E4094E" w:rsidP="00E4094E">
            <w:pPr>
              <w:rPr>
                <w:rFonts w:ascii="Angsana New" w:eastAsia="Times New Roman" w:hAnsi="Angsana New"/>
                <w:noProof w:val="0"/>
                <w:color w:val="000000"/>
                <w:szCs w:val="28"/>
                <w:lang w:bidi="th-TH"/>
              </w:rPr>
            </w:pP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 Total direct premium written</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212</w:t>
            </w:r>
            <w:r w:rsidR="00677458">
              <w:rPr>
                <w:rFonts w:ascii="Angsana New" w:eastAsia="Times New Roman" w:hAnsi="Angsana New"/>
                <w:noProof w:val="0"/>
                <w:color w:val="000000"/>
                <w:szCs w:val="28"/>
                <w:lang w:bidi="th-TH"/>
              </w:rPr>
              <w:t>,</w:t>
            </w:r>
            <w:r>
              <w:rPr>
                <w:rFonts w:ascii="Angsana New" w:eastAsia="Times New Roman" w:hAnsi="Angsana New"/>
                <w:noProof w:val="0"/>
                <w:color w:val="000000"/>
                <w:szCs w:val="28"/>
                <w:lang w:bidi="th-TH"/>
              </w:rPr>
              <w:t>000</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3,229</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209,278</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3,125</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205,247</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3,049</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1.3</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3.34%</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1.9%</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2.5%</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1.1%</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5.5%</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2. Fire</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w:t>
            </w:r>
            <w:r w:rsidR="000F16D4">
              <w:rPr>
                <w:rFonts w:ascii="Angsana New" w:eastAsia="Times New Roman" w:hAnsi="Angsana New"/>
                <w:noProof w:val="0"/>
                <w:color w:val="000000"/>
                <w:szCs w:val="28"/>
                <w:lang w:bidi="th-TH"/>
              </w:rPr>
              <w:t>700</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169</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10,484</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176</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11,058</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176</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2.0</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-4.16%</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-5.2%</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0.0%</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-6.4%</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5.4%</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3. Marine</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5,</w:t>
            </w:r>
            <w:r w:rsidR="000F16D4">
              <w:rPr>
                <w:rFonts w:ascii="Angsana New" w:eastAsia="Times New Roman" w:hAnsi="Angsana New"/>
                <w:noProof w:val="0"/>
                <w:color w:val="000000"/>
                <w:szCs w:val="28"/>
                <w:lang w:bidi="th-TH"/>
              </w:rPr>
              <w:t>288</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18</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5,342</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16</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5,293</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14</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-1.0</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2B1553"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9.45</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0.9%</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14.3%</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-0.1%</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38.5%</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4. Motor</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122</w:t>
            </w:r>
            <w:r w:rsidR="00677458">
              <w:rPr>
                <w:rFonts w:ascii="Angsana New" w:eastAsia="Times New Roman" w:hAnsi="Angsana New"/>
                <w:noProof w:val="0"/>
                <w:color w:val="000000"/>
                <w:szCs w:val="28"/>
                <w:lang w:bidi="th-TH"/>
              </w:rPr>
              <w:t>,</w:t>
            </w:r>
            <w:r>
              <w:rPr>
                <w:rFonts w:ascii="Angsana New" w:eastAsia="Times New Roman" w:hAnsi="Angsana New"/>
                <w:noProof w:val="0"/>
                <w:color w:val="000000"/>
                <w:szCs w:val="28"/>
                <w:lang w:bidi="th-TH"/>
              </w:rPr>
              <w:t>000</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2B1553"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2,33</w:t>
            </w:r>
            <w:r w:rsidR="00677458">
              <w:rPr>
                <w:rFonts w:ascii="Angsana New" w:eastAsia="Times New Roman" w:hAnsi="Angsana New"/>
                <w:noProof w:val="0"/>
                <w:color w:val="000000"/>
                <w:szCs w:val="28"/>
                <w:lang w:bidi="th-TH"/>
              </w:rPr>
              <w:t>7</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120,423</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2,367</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117,903</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2,278</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1.3</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2B1553"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-1.26</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2.1%</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3.9%</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-0.4%</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-1.2%</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 Miscellaneous</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74</w:t>
            </w:r>
            <w:r w:rsidR="00677458">
              <w:rPr>
                <w:rFonts w:ascii="Angsana New" w:eastAsia="Times New Roman" w:hAnsi="Angsana New"/>
                <w:noProof w:val="0"/>
                <w:color w:val="000000"/>
                <w:szCs w:val="28"/>
                <w:lang w:bidi="th-TH"/>
              </w:rPr>
              <w:t>,0</w:t>
            </w:r>
            <w:r>
              <w:rPr>
                <w:rFonts w:ascii="Angsana New" w:eastAsia="Times New Roman" w:hAnsi="Angsana New"/>
                <w:noProof w:val="0"/>
                <w:color w:val="000000"/>
                <w:szCs w:val="28"/>
                <w:lang w:bidi="th-TH"/>
              </w:rPr>
              <w:t>11</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2B1553" w:rsidP="00C46959">
            <w:pPr>
              <w:jc w:val="center"/>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 xml:space="preserve">            70</w:t>
            </w:r>
            <w:r w:rsidR="00677458">
              <w:rPr>
                <w:rFonts w:ascii="Angsana New" w:eastAsia="Times New Roman" w:hAnsi="Angsana New"/>
                <w:noProof w:val="0"/>
                <w:color w:val="000000"/>
                <w:szCs w:val="28"/>
                <w:lang w:bidi="th-TH"/>
              </w:rPr>
              <w:t>6</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73,027</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center"/>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 xml:space="preserve">            566</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70,993</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581</w:t>
            </w:r>
          </w:p>
        </w:tc>
      </w:tr>
      <w:tr w:rsidR="00677458" w:rsidRPr="00E4094E" w:rsidTr="00E4094E">
        <w:trPr>
          <w:trHeight w:val="420"/>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rsidR="00677458" w:rsidRPr="00E4094E" w:rsidRDefault="00677458" w:rsidP="00E4094E">
            <w:pPr>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 xml:space="preserve">     % Growth</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0F16D4"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1.3</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2B1553" w:rsidP="00C46959">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24.71</w:t>
            </w:r>
            <w:r w:rsidR="00677458">
              <w:rPr>
                <w:rFonts w:ascii="Angsana New" w:eastAsia="Times New Roman" w:hAnsi="Angsana New"/>
                <w:noProof w:val="0"/>
                <w:color w:val="000000"/>
                <w:szCs w:val="28"/>
                <w:lang w:bidi="th-TH"/>
              </w:rPr>
              <w:t>%</w:t>
            </w:r>
          </w:p>
        </w:tc>
        <w:tc>
          <w:tcPr>
            <w:tcW w:w="120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2.8%</w:t>
            </w:r>
          </w:p>
        </w:tc>
        <w:tc>
          <w:tcPr>
            <w:tcW w:w="1120" w:type="dxa"/>
            <w:tcBorders>
              <w:top w:val="nil"/>
              <w:left w:val="nil"/>
              <w:bottom w:val="single" w:sz="4" w:space="0" w:color="auto"/>
              <w:right w:val="single" w:sz="4" w:space="0" w:color="auto"/>
            </w:tcBorders>
            <w:shd w:val="clear" w:color="auto" w:fill="auto"/>
            <w:noWrap/>
            <w:vAlign w:val="bottom"/>
            <w:hideMark/>
          </w:tcPr>
          <w:p w:rsidR="00677458" w:rsidRPr="00D74335" w:rsidRDefault="00677458" w:rsidP="00677458">
            <w:pPr>
              <w:jc w:val="right"/>
              <w:rPr>
                <w:rFonts w:ascii="Angsana New" w:eastAsia="Times New Roman" w:hAnsi="Angsana New"/>
                <w:noProof w:val="0"/>
                <w:color w:val="000000"/>
                <w:szCs w:val="28"/>
                <w:lang w:bidi="th-TH"/>
              </w:rPr>
            </w:pPr>
            <w:r>
              <w:rPr>
                <w:rFonts w:ascii="Angsana New" w:eastAsia="Times New Roman" w:hAnsi="Angsana New"/>
                <w:noProof w:val="0"/>
                <w:color w:val="000000"/>
                <w:szCs w:val="28"/>
                <w:lang w:bidi="th-TH"/>
              </w:rPr>
              <w:t>-2.6%</w:t>
            </w:r>
          </w:p>
        </w:tc>
        <w:tc>
          <w:tcPr>
            <w:tcW w:w="1099"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5.2%</w:t>
            </w:r>
          </w:p>
        </w:tc>
        <w:tc>
          <w:tcPr>
            <w:tcW w:w="1181" w:type="dxa"/>
            <w:tcBorders>
              <w:top w:val="nil"/>
              <w:left w:val="nil"/>
              <w:bottom w:val="single" w:sz="4" w:space="0" w:color="auto"/>
              <w:right w:val="single" w:sz="4" w:space="0" w:color="auto"/>
            </w:tcBorders>
            <w:shd w:val="clear" w:color="auto" w:fill="auto"/>
            <w:noWrap/>
            <w:vAlign w:val="bottom"/>
            <w:hideMark/>
          </w:tcPr>
          <w:p w:rsidR="00677458" w:rsidRPr="00E4094E" w:rsidRDefault="00677458" w:rsidP="00677458">
            <w:pPr>
              <w:jc w:val="right"/>
              <w:rPr>
                <w:rFonts w:ascii="Angsana New" w:eastAsia="Times New Roman" w:hAnsi="Angsana New"/>
                <w:noProof w:val="0"/>
                <w:color w:val="000000"/>
                <w:szCs w:val="28"/>
                <w:lang w:bidi="th-TH"/>
              </w:rPr>
            </w:pPr>
            <w:r w:rsidRPr="00E4094E">
              <w:rPr>
                <w:rFonts w:ascii="Angsana New" w:eastAsia="Times New Roman" w:hAnsi="Angsana New"/>
                <w:noProof w:val="0"/>
                <w:color w:val="000000"/>
                <w:szCs w:val="28"/>
                <w:lang w:bidi="th-TH"/>
              </w:rPr>
              <w:t>42.9%</w:t>
            </w:r>
          </w:p>
        </w:tc>
      </w:tr>
    </w:tbl>
    <w:p w:rsidR="0012191A" w:rsidRDefault="0012191A" w:rsidP="00AD57EF">
      <w:pPr>
        <w:pStyle w:val="Default"/>
        <w:jc w:val="thaiDistribute"/>
        <w:rPr>
          <w:rFonts w:ascii="Cordia New" w:eastAsia="Cordia New" w:hAnsi="Cordia New" w:cs="Angsana New"/>
          <w:noProof/>
          <w:color w:val="auto"/>
          <w:sz w:val="28"/>
          <w:szCs w:val="20"/>
          <w:lang w:bidi="ar-SA"/>
        </w:rPr>
      </w:pPr>
    </w:p>
    <w:p w:rsidR="00AD57EF" w:rsidRPr="00AD57EF" w:rsidRDefault="00B9179F" w:rsidP="00AD57EF">
      <w:pPr>
        <w:pStyle w:val="Default"/>
        <w:jc w:val="thaiDistribute"/>
        <w:rPr>
          <w:rFonts w:ascii="Angsana New" w:hAnsi="Angsana New" w:cs="Angsana New"/>
          <w:b/>
          <w:bCs/>
          <w:color w:val="auto"/>
          <w:sz w:val="32"/>
          <w:szCs w:val="32"/>
        </w:rPr>
      </w:pPr>
      <w:r>
        <w:t xml:space="preserve">       </w:t>
      </w:r>
      <w:r w:rsidR="007432D4">
        <w:t xml:space="preserve"> </w:t>
      </w:r>
      <w:r w:rsidR="00936916" w:rsidRPr="00A14018">
        <w:rPr>
          <w:rFonts w:ascii="Times New Roman" w:cs="Times New Roman"/>
          <w:color w:val="0000FF"/>
        </w:rPr>
        <w:br/>
      </w:r>
      <w:r w:rsidR="00936916" w:rsidRPr="00936916">
        <w:rPr>
          <w:rStyle w:val="hps"/>
          <w:rFonts w:asciiTheme="majorBidi" w:hAnsiTheme="majorBidi" w:cstheme="majorBidi"/>
          <w:color w:val="auto"/>
          <w:sz w:val="28"/>
          <w:szCs w:val="28"/>
        </w:rPr>
        <w:t xml:space="preserve">     </w:t>
      </w:r>
      <w:r w:rsidR="00AD57EF" w:rsidRPr="00AD57EF">
        <w:rPr>
          <w:rFonts w:ascii="Angsana New" w:hAnsi="Angsana New" w:cs="Angsana New"/>
          <w:b/>
          <w:bCs/>
          <w:color w:val="auto"/>
          <w:sz w:val="32"/>
          <w:szCs w:val="32"/>
        </w:rPr>
        <w:t>Economic Situation</w:t>
      </w:r>
    </w:p>
    <w:p w:rsidR="00105841"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In 2016, Thailand’s economy displayed a positive growth by 3.2 percent comparing to the previous year which expanded by only 2.9 percent. Key factors supporting such growth include continuously increasing governmental expenditures and investments and rising revenue from tourism sector due to higher number of foreign tourists which reaches as high as 32.2 million, which is an increase by 8 percent when compared to the previous year of only 29.8 million. Also, the country’s exports value remained relatively stable as it is nearly equivalent to that of the year 2015. However; in spite of the positive growth in major markets namely USA, Japan and EU, the country’s exports value in China and the Middle East continued to remain low. Meanwhile, the exports value of products that are dependent on oil price such as plastics and rubber products showed positive trend in line with rising oil price which jumped from US$26 to US$53 per barrel during the second half of the year after OPEC and non-OPEC countries led by Russia decided to established an agreement to cut down oil production for the time in 8 years. Also, the exports of seafood products such as canned and frozen seafood or frozen prawns showed a positive growth after dead prawns issue had been properly handled. Consumption rate, on the other hand, remained relatively low especially in the private sector due to low level </w:t>
      </w:r>
      <w:r w:rsidRPr="00AD57EF">
        <w:rPr>
          <w:rFonts w:ascii="Angsana New" w:hAnsi="Angsana New" w:cs="Angsana New"/>
          <w:color w:val="auto"/>
          <w:sz w:val="32"/>
          <w:szCs w:val="32"/>
        </w:rPr>
        <w:lastRenderedPageBreak/>
        <w:t xml:space="preserve">of confidence among both agriculture and non-agriculture household sectors. In spite of positive yields after recovering from severe drought crisis which strikes at the beginning of the year, the declining agricultural </w:t>
      </w:r>
    </w:p>
    <w:p w:rsidR="00105841" w:rsidRDefault="00105841" w:rsidP="00AD57EF">
      <w:pPr>
        <w:pStyle w:val="Default"/>
        <w:jc w:val="thaiDistribute"/>
        <w:rPr>
          <w:rFonts w:ascii="Angsana New" w:hAnsi="Angsana New" w:cs="Angsana New"/>
          <w:color w:val="auto"/>
          <w:sz w:val="32"/>
          <w:szCs w:val="32"/>
        </w:rPr>
      </w:pPr>
    </w:p>
    <w:p w:rsidR="00105841" w:rsidRDefault="00105841"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product prices had immensely affected the income of agricultural sector not to mention the passing of the late King Bhumibol Adulyadej which has brought tremendous grief among the Thai people. Fortunately, economic promotion measures implemented by the Government to boost the country’s economy such as assisting the agricultural sector or low-income farmers, supporting SME entrepreneurs or real estate sector, including measures for boosting Thailand’s tourism industry and economic, all of which are contributing factors which helped to drive the country’s overall economy. Private investment, on the other hand, remained relatively low and mostly focused on certain industries such as renewable energy, trading, restaurant and real estate sectors.     </w:t>
      </w:r>
      <w:r w:rsidRPr="00AD57EF">
        <w:rPr>
          <w:rFonts w:ascii="Angsana New" w:hAnsi="Angsana New" w:cs="Angsana New"/>
          <w:color w:val="auto"/>
          <w:sz w:val="32"/>
          <w:szCs w:val="32"/>
          <w:cs/>
        </w:rPr>
        <w:t xml:space="preserve"> </w:t>
      </w: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cs/>
        </w:rPr>
        <w:t xml:space="preserve"> </w:t>
      </w: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New car distribution volume in the automobile industry had declined by 7 percent from 0.79 million units in 2015 down to 0.74 million units in 2016 and continued to be affected by first car scheme for the third consecutive year in spite of the modifications and new models introduced by various brands in hope to boost market demands. Motorcycles, on the other hand, showed positive sign of recovery for the first time in three years with distribution volume of 1.7 million units, or an increase by 4 percent, in line with the economic promotion measures implemented in provincial areas.  </w:t>
      </w:r>
    </w:p>
    <w:p w:rsidR="00AD57EF" w:rsidRDefault="00AD57EF" w:rsidP="00AD57EF">
      <w:pPr>
        <w:pStyle w:val="Default"/>
        <w:jc w:val="thaiDistribute"/>
        <w:rPr>
          <w:rFonts w:ascii="Angsana New" w:hAnsi="Angsana New" w:cs="Angsana New"/>
          <w:color w:val="auto"/>
          <w:sz w:val="32"/>
          <w:szCs w:val="32"/>
        </w:rPr>
      </w:pPr>
    </w:p>
    <w:p w:rsidR="0012191A" w:rsidRPr="00AD57EF" w:rsidRDefault="0012191A" w:rsidP="00AD57EF">
      <w:pPr>
        <w:pStyle w:val="Default"/>
        <w:jc w:val="thaiDistribute"/>
        <w:rPr>
          <w:rFonts w:ascii="Angsana New" w:hAnsi="Angsana New" w:cs="Angsana New"/>
          <w:color w:val="auto"/>
          <w:sz w:val="32"/>
          <w:szCs w:val="32"/>
        </w:rPr>
      </w:pPr>
    </w:p>
    <w:p w:rsid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Federal Open Market Committee</w:t>
      </w:r>
      <w:r w:rsidRPr="00AD57EF">
        <w:rPr>
          <w:rFonts w:ascii="Angsana New" w:hAnsi="Angsana New" w:cs="Angsana New"/>
          <w:color w:val="auto"/>
          <w:sz w:val="32"/>
          <w:szCs w:val="32"/>
          <w:cs/>
        </w:rPr>
        <w:t xml:space="preserve"> (</w:t>
      </w:r>
      <w:r w:rsidRPr="00AD57EF">
        <w:rPr>
          <w:rFonts w:ascii="Angsana New" w:hAnsi="Angsana New" w:cs="Angsana New"/>
          <w:color w:val="auto"/>
          <w:sz w:val="32"/>
          <w:szCs w:val="32"/>
        </w:rPr>
        <w:t xml:space="preserve">FOMC) passed a resolution to raise the interest rates level from 0.25 percent to 0.50 – 0.75 percent after having been initially raised at the end of 2015 as a result from strengthened labor market. The unemployment rate is below 5 percent, reflecting positive economic trend and signaling the third raise in interest rates which is to be expected in 2017. The Monetary Policy Committee (MPC) continued to fix the interest rates at 1.50 percent per annum in order to promote continuous economic recovery and at the same time maintaining price stability which is in line with the financial policy implemented in other countries namely EU and Japan which continue to execute expansionary monetary policy. Meanwhile, European Central Bank announced to extend the timeframe for bond purchase program, a program carried out as part of QE measure, from March 2017 to December 2017, including continuously implementing 0% interest rate which is the lowest rate in history in order to promote economic recovery whereas other countries such as Russia, Taiwan, Australia and New Zealand decided to further ease its financial policy. Nevertheless, the effectiveness of Thailand’s QE measures on real economy is still limited. </w:t>
      </w:r>
      <w:r w:rsidRPr="00AD57EF">
        <w:rPr>
          <w:rFonts w:ascii="Angsana New" w:hAnsi="Angsana New" w:cs="Angsana New"/>
          <w:color w:val="auto"/>
          <w:sz w:val="32"/>
          <w:szCs w:val="32"/>
        </w:rPr>
        <w:lastRenderedPageBreak/>
        <w:t xml:space="preserve">This is partially due to the fact that commercial banks have become more cautious on giving out loans due to the fear of NPLs especially when household debts remain at high level while commercial banks are experiencing high liquidity.       </w:t>
      </w:r>
    </w:p>
    <w:p w:rsidR="00105841" w:rsidRPr="00AD57EF" w:rsidRDefault="00105841"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cs/>
        </w:rPr>
        <w:t xml:space="preserve"> </w:t>
      </w: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In respect to price stability, average inflation rate remained at 0.2 percent, which has increased from -0.9 percent in 2015 in line with current gas price. In regards to external stability, Thailand continues to gain surplus as the country’s international reserves remain higher than short-term external debt by roughly 3.3 times whereas the exchange rates are still good for exports.    </w:t>
      </w:r>
    </w:p>
    <w:p w:rsidR="00AD57EF" w:rsidRPr="00AD57EF" w:rsidRDefault="00AD57EF"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b/>
          <w:bCs/>
          <w:color w:val="auto"/>
          <w:sz w:val="32"/>
          <w:szCs w:val="32"/>
        </w:rPr>
      </w:pPr>
      <w:r w:rsidRPr="00AD57EF">
        <w:rPr>
          <w:rFonts w:ascii="Angsana New" w:hAnsi="Angsana New" w:cs="Angsana New"/>
          <w:b/>
          <w:bCs/>
          <w:color w:val="auto"/>
          <w:sz w:val="32"/>
          <w:szCs w:val="32"/>
        </w:rPr>
        <w:t>Securities Market Situation</w:t>
      </w:r>
    </w:p>
    <w:p w:rsidR="0012191A"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Throughout 2016, SET Index had faced constant fluctuations due to declining gas price at the beginning of the year and 4G auction which resulted in higher-than-expected license value before economic recovery began to take place after European Central Bank decided to add more measures for economic promotion. The increasing gas price together with positive GDP trend have allowed Thailand’s SET Index to increase by 19.79 percent comparing to the year 2015 which closed at </w:t>
      </w:r>
      <w:r w:rsidRPr="00AD57EF">
        <w:rPr>
          <w:rFonts w:ascii="Angsana New" w:hAnsi="Angsana New" w:cs="Angsana New"/>
          <w:color w:val="auto"/>
          <w:sz w:val="32"/>
          <w:szCs w:val="32"/>
          <w:cs/>
        </w:rPr>
        <w:t xml:space="preserve">1,542.94 </w:t>
      </w:r>
      <w:r w:rsidRPr="00AD57EF">
        <w:rPr>
          <w:rFonts w:ascii="Angsana New" w:hAnsi="Angsana New" w:cs="Angsana New"/>
          <w:color w:val="auto"/>
          <w:sz w:val="32"/>
          <w:szCs w:val="32"/>
        </w:rPr>
        <w:t xml:space="preserve">points, including profit growth among registered companies positive economic expectations. Meanwhile, Forward P/E remained at 15.69 times whereas Dividend Yield and Net Buy equaling to 3.10 and Bt 77,927 million, in respective order, after three consecutive years. Investor confidence had also improved after the government sector announced additional economic promotion measures. The increasing gas price is another contributing factor that helped to create </w:t>
      </w:r>
    </w:p>
    <w:p w:rsidR="0012191A" w:rsidRDefault="0012191A" w:rsidP="00AD57EF">
      <w:pPr>
        <w:pStyle w:val="Default"/>
        <w:jc w:val="thaiDistribute"/>
        <w:rPr>
          <w:rFonts w:ascii="Angsana New" w:hAnsi="Angsana New" w:cs="Angsana New"/>
          <w:color w:val="auto"/>
          <w:sz w:val="32"/>
          <w:szCs w:val="32"/>
        </w:rPr>
      </w:pPr>
    </w:p>
    <w:p w:rsidR="0012191A" w:rsidRDefault="0012191A" w:rsidP="00AD57EF">
      <w:pPr>
        <w:pStyle w:val="Default"/>
        <w:jc w:val="thaiDistribute"/>
        <w:rPr>
          <w:rFonts w:ascii="Angsana New" w:hAnsi="Angsana New" w:cs="Angsana New"/>
          <w:color w:val="auto"/>
          <w:sz w:val="32"/>
          <w:szCs w:val="32"/>
        </w:rPr>
      </w:pPr>
    </w:p>
    <w:p w:rsid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positive trend for share prices in the energy sector. Meanwhile, the top three core industries with high level of fluctuations in terms of shares in comparison to SET Index in 2016 included agricultural industry </w:t>
      </w:r>
      <w:r w:rsidRPr="00AD57EF">
        <w:rPr>
          <w:rFonts w:ascii="Angsana New" w:hAnsi="Angsana New" w:cs="Angsana New"/>
          <w:color w:val="auto"/>
          <w:sz w:val="32"/>
          <w:szCs w:val="32"/>
          <w:cs/>
        </w:rPr>
        <w:t>(+57.78%)</w:t>
      </w:r>
      <w:r w:rsidRPr="00AD57EF">
        <w:rPr>
          <w:rFonts w:ascii="Angsana New" w:hAnsi="Angsana New" w:cs="Angsana New"/>
          <w:color w:val="auto"/>
          <w:sz w:val="32"/>
          <w:szCs w:val="32"/>
        </w:rPr>
        <w:t>, iron industry</w:t>
      </w:r>
      <w:r w:rsidRPr="00AD57EF">
        <w:rPr>
          <w:rFonts w:ascii="Angsana New" w:hAnsi="Angsana New" w:cs="Angsana New"/>
          <w:color w:val="auto"/>
          <w:sz w:val="32"/>
          <w:szCs w:val="32"/>
          <w:cs/>
        </w:rPr>
        <w:t xml:space="preserve"> (+46.12%)</w:t>
      </w:r>
      <w:r w:rsidRPr="00AD57EF">
        <w:rPr>
          <w:rFonts w:ascii="Angsana New" w:hAnsi="Angsana New" w:cs="Angsana New" w:hint="cs"/>
          <w:color w:val="auto"/>
          <w:sz w:val="32"/>
          <w:szCs w:val="32"/>
          <w:cs/>
        </w:rPr>
        <w:t xml:space="preserve"> </w:t>
      </w:r>
      <w:r w:rsidRPr="00AD57EF">
        <w:rPr>
          <w:rFonts w:ascii="Angsana New" w:hAnsi="Angsana New" w:cs="Angsana New"/>
          <w:color w:val="auto"/>
          <w:sz w:val="32"/>
          <w:szCs w:val="32"/>
        </w:rPr>
        <w:t>and commercial industry</w:t>
      </w:r>
      <w:r w:rsidRPr="00AD57EF">
        <w:rPr>
          <w:rFonts w:ascii="Angsana New" w:hAnsi="Angsana New" w:cs="Angsana New"/>
          <w:color w:val="auto"/>
          <w:sz w:val="32"/>
          <w:szCs w:val="32"/>
          <w:cs/>
        </w:rPr>
        <w:t xml:space="preserve"> (+40.98%)</w:t>
      </w:r>
      <w:r w:rsidRPr="00AD57EF">
        <w:rPr>
          <w:rFonts w:ascii="Angsana New" w:hAnsi="Angsana New" w:cs="Angsana New"/>
          <w:color w:val="auto"/>
          <w:sz w:val="32"/>
          <w:szCs w:val="32"/>
        </w:rPr>
        <w:t xml:space="preserve">. Daily average buying-selling value in 2016 rose by 22.1 percent to Bt 50,245 million per day comparing to the year 2015, which is the highest record since the opening of the Stock Market. </w:t>
      </w:r>
      <w:r w:rsidRPr="00AD57EF">
        <w:rPr>
          <w:rFonts w:ascii="Angsana New" w:hAnsi="Angsana New" w:cs="Angsana New"/>
          <w:color w:val="auto"/>
          <w:sz w:val="32"/>
          <w:szCs w:val="32"/>
          <w:cs/>
        </w:rPr>
        <w:t xml:space="preserve"> </w:t>
      </w:r>
      <w:r w:rsidRPr="00AD57EF">
        <w:rPr>
          <w:rFonts w:ascii="Angsana New" w:hAnsi="Angsana New" w:cs="Angsana New"/>
          <w:color w:val="auto"/>
          <w:sz w:val="32"/>
          <w:szCs w:val="32"/>
        </w:rPr>
        <w:t xml:space="preserve">Stable growth of the US economy together with positive response toward Trump’s economic promotion policy has allowed Dow Jones Index to hit its new highest record of 20,000 points, leading to capital investment expansion in high-risk assets and brighter future for the global stock market.  </w:t>
      </w:r>
    </w:p>
    <w:p w:rsidR="00105841" w:rsidRPr="00AD57EF" w:rsidRDefault="00105841"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b/>
          <w:bCs/>
          <w:color w:val="auto"/>
          <w:sz w:val="32"/>
          <w:szCs w:val="32"/>
        </w:rPr>
      </w:pPr>
      <w:r w:rsidRPr="00AD57EF">
        <w:rPr>
          <w:rFonts w:ascii="Angsana New" w:hAnsi="Angsana New" w:cs="Angsana New"/>
          <w:b/>
          <w:bCs/>
          <w:color w:val="auto"/>
          <w:sz w:val="32"/>
          <w:szCs w:val="32"/>
        </w:rPr>
        <w:lastRenderedPageBreak/>
        <w:t>Trend</w:t>
      </w:r>
    </w:p>
    <w:p w:rsidR="00105841"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According to the Bank of Thailand and World Bank, Thailand’s economy is expected to grow by 3.2 percent in 2017 due to several contributing factors including tourism industry and investment continuity carried out under Transport Infrastructure Development Strategy 2015 – 2022 which comprises of 20 development projects totaling Bt 20 trillion. Meanwhile, Eastern Economic Corridor Development (EEC) carried out in </w:t>
      </w:r>
    </w:p>
    <w:p w:rsidR="00105841" w:rsidRDefault="00105841" w:rsidP="00AD57EF">
      <w:pPr>
        <w:pStyle w:val="Default"/>
        <w:jc w:val="thaiDistribute"/>
        <w:rPr>
          <w:rFonts w:ascii="Angsana New" w:hAnsi="Angsana New" w:cs="Angsana New"/>
          <w:color w:val="auto"/>
          <w:sz w:val="32"/>
          <w:szCs w:val="32"/>
        </w:rPr>
      </w:pPr>
    </w:p>
    <w:p w:rsidR="00105841" w:rsidRDefault="00105841"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three provinces which included Chachoengsao Province, Chonburi Province and Rayong Province, including Special Border Economic Zone (Border SEZs) covering 10 provinces are expected to help drive private investments in response to special economic zone investment acceleration measures. Under these measures, additional investment benefits are provided, particularly tax benefits for promoting investments in 10 targeted industries are expected to be used as key factor in driving New Engine of Growth. At the same time, investment in technology and innovation for value creation shall also be emphasized in order to drive Thailand toward becoming “Thailand 4.0”, enabling overall positive ecosystem for investments.         </w:t>
      </w:r>
      <w:r w:rsidRPr="00AD57EF">
        <w:rPr>
          <w:rFonts w:ascii="Angsana New" w:hAnsi="Angsana New" w:cs="Angsana New"/>
          <w:color w:val="auto"/>
          <w:sz w:val="32"/>
          <w:szCs w:val="32"/>
          <w:cs/>
        </w:rPr>
        <w:t xml:space="preserve"> </w:t>
      </w:r>
    </w:p>
    <w:p w:rsidR="00AD57EF" w:rsidRPr="00AD57EF" w:rsidRDefault="00AD57EF" w:rsidP="00AD57EF">
      <w:pPr>
        <w:pStyle w:val="Default"/>
        <w:jc w:val="thaiDistribute"/>
        <w:rPr>
          <w:rFonts w:ascii="Angsana New" w:hAnsi="Angsana New" w:cs="Angsana New"/>
          <w:color w:val="auto"/>
          <w:sz w:val="32"/>
          <w:szCs w:val="32"/>
        </w:rPr>
      </w:pPr>
    </w:p>
    <w:p w:rsidR="0012191A"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Key risks to be expected in 2017 would still be originating from China’s significant economic slowdown as a result from the government’s emphasis on reforming the economic structure rather than creating economic growth, causing declining commodity prices and preventing recovery in Thailand’s exports industry not to mention low consumption rate in private sector due to high level of household debt which already exceeded 80 percent of the country’s GDP. Meanwhile, public investments in transportation infrastructures whether it is land, water, air or railway transports, including public transports development in Bangkok and the expansion of Suvarnabhumi International Airport in order to connect between Thailand and neighboring countries are still facing delays. However, these projects remain as key factors in driving overall economic recovery for the country in the future. Additional risk factors to keep an eye on are insufficient global economic recovery to allow global market expansion, unclear trade barrier policy of the US which will potentially intensify the </w:t>
      </w:r>
    </w:p>
    <w:p w:rsidR="0012191A" w:rsidRDefault="0012191A" w:rsidP="00AD57EF">
      <w:pPr>
        <w:pStyle w:val="Default"/>
        <w:jc w:val="thaiDistribute"/>
        <w:rPr>
          <w:rFonts w:ascii="Angsana New" w:hAnsi="Angsana New" w:cs="Angsana New"/>
          <w:color w:val="auto"/>
          <w:sz w:val="32"/>
          <w:szCs w:val="32"/>
        </w:rPr>
      </w:pP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pressure on global trading, England’s decision to leave Brexit has raised concerns that other EU member countries might take the same footsteps and eventually endangering the future of EU and its sense of unity which has existed for over 60 years, including changes in economic policy due to the elections in many European countries such as France, Germany and Italy. </w:t>
      </w:r>
    </w:p>
    <w:p w:rsidR="00AD57EF" w:rsidRPr="00AD57EF"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Improved economic stability of the US together with positive trend in the labor market and rapidly increasing inflation rate has led FED to make a clear stance by raising interest rates faster which further tightens global </w:t>
      </w:r>
      <w:r w:rsidRPr="00AD57EF">
        <w:rPr>
          <w:rFonts w:ascii="Angsana New" w:hAnsi="Angsana New" w:cs="Angsana New"/>
          <w:color w:val="auto"/>
          <w:sz w:val="32"/>
          <w:szCs w:val="32"/>
        </w:rPr>
        <w:lastRenderedPageBreak/>
        <w:t xml:space="preserve">financial condition. In addition, US economic policy has shown high level of uncertainty while its execution of tax reduction measures and investment in infrastructure development projects tend to intensify under the rule of new government which might be beneficial to its trade partners in terms of exports. However, changes in the US trade and investment policies and its attitudes toward trade agreements might cause all of its production bases to be moved back to the US and therefore impacting Asia’s exportation.     </w:t>
      </w:r>
    </w:p>
    <w:p w:rsidR="00105841" w:rsidRDefault="00105841" w:rsidP="00AD57EF">
      <w:pPr>
        <w:pStyle w:val="Default"/>
        <w:jc w:val="thaiDistribute"/>
        <w:rPr>
          <w:rFonts w:ascii="Angsana New" w:hAnsi="Angsana New" w:cs="Angsana New"/>
          <w:color w:val="auto"/>
          <w:sz w:val="32"/>
          <w:szCs w:val="32"/>
        </w:rPr>
      </w:pPr>
    </w:p>
    <w:p w:rsidR="00105841" w:rsidRDefault="00105841" w:rsidP="00AD57EF">
      <w:pPr>
        <w:pStyle w:val="Default"/>
        <w:jc w:val="thaiDistribute"/>
        <w:rPr>
          <w:rFonts w:ascii="Angsana New" w:hAnsi="Angsana New" w:cs="Angsana New"/>
          <w:color w:val="auto"/>
          <w:sz w:val="32"/>
          <w:szCs w:val="32"/>
        </w:rPr>
      </w:pPr>
    </w:p>
    <w:p w:rsidR="00105841" w:rsidRPr="00AD57EF" w:rsidRDefault="00105841" w:rsidP="00AD57EF">
      <w:pPr>
        <w:pStyle w:val="Default"/>
        <w:jc w:val="thaiDistribute"/>
        <w:rPr>
          <w:rFonts w:ascii="Angsana New" w:hAnsi="Angsana New" w:cs="Angsana New"/>
          <w:color w:val="auto"/>
          <w:sz w:val="32"/>
          <w:szCs w:val="32"/>
        </w:rPr>
      </w:pPr>
    </w:p>
    <w:p w:rsidR="00105841" w:rsidRDefault="00AD57EF" w:rsidP="00AD57EF">
      <w:pPr>
        <w:pStyle w:val="Default"/>
        <w:jc w:val="thaiDistribute"/>
        <w:rPr>
          <w:rFonts w:ascii="Angsana New" w:hAnsi="Angsana New" w:cs="Angsana New"/>
          <w:color w:val="auto"/>
          <w:sz w:val="32"/>
          <w:szCs w:val="32"/>
        </w:rPr>
      </w:pPr>
      <w:r w:rsidRPr="00AD57EF">
        <w:rPr>
          <w:rFonts w:ascii="Angsana New" w:hAnsi="Angsana New" w:cs="Angsana New"/>
          <w:color w:val="auto"/>
          <w:sz w:val="32"/>
          <w:szCs w:val="32"/>
        </w:rPr>
        <w:t xml:space="preserve">Regarding non-life insurance business trend in 2017, an increase in insurance premium by 2 percent can be expected which is nearly equivalent to that of the year 2016. Meanwhile, the government’s rice insurance </w:t>
      </w:r>
    </w:p>
    <w:p w:rsidR="00AD57EF" w:rsidRPr="00AD57EF" w:rsidRDefault="00AD57EF" w:rsidP="00AD57EF">
      <w:pPr>
        <w:pStyle w:val="Default"/>
        <w:jc w:val="thaiDistribute"/>
        <w:rPr>
          <w:rFonts w:ascii="Angsana New" w:hAnsi="Angsana New"/>
          <w:color w:val="auto"/>
          <w:sz w:val="32"/>
          <w:szCs w:val="32"/>
        </w:rPr>
      </w:pPr>
      <w:r w:rsidRPr="00AD57EF">
        <w:rPr>
          <w:rFonts w:ascii="Angsana New" w:hAnsi="Angsana New" w:cs="Angsana New"/>
          <w:color w:val="auto"/>
          <w:sz w:val="32"/>
          <w:szCs w:val="32"/>
        </w:rPr>
        <w:t xml:space="preserve">scheme have received more positive response from farmers as it can help to manage risks due to natural disasters and slight growth can be expected in new car market due to the fact that 1.1 million cars (1500 cc or below) purchased under first car scheme are about to reach the expiration of its 5-year term of no selling-buying of new cars which is expected to end in mid 2017, allowing some consumers to consider buying a new car. Also, under improved economic condition together with relatively low interest rates, positive growth in pickup truck and trailer markets can be expected. Meanwhile, public investment in the transportation system, including investment in Special Border Economic Zone and free trade under the AEC framework will pay a vital role in the expansion of transportation sector. Motorcycle market trend in 2017, on the other hand, will experience no growth due to limitations in terms of the number of population and increasing ownership proportion. Decreasing trend in property insurance premium can be expected as many reinsurance companies decided to cut down the premium of its natural disaster insurance program in case of no severe natural disaster. Also, the government has decided to adopt health insurance program covering up to Bt 60,000 million in replacement of giving medical allowance as welfare for civil servants, which will likely boost the growth of non-life insurance industry by over 15 percent.       </w:t>
      </w:r>
    </w:p>
    <w:p w:rsidR="00346D96" w:rsidRPr="00AD57EF" w:rsidRDefault="00346D96" w:rsidP="00AD57EF">
      <w:pPr>
        <w:pStyle w:val="Default"/>
        <w:rPr>
          <w:sz w:val="32"/>
          <w:szCs w:val="32"/>
        </w:rPr>
      </w:pPr>
    </w:p>
    <w:sectPr w:rsidR="00346D96" w:rsidRPr="00AD57EF" w:rsidSect="009E0147">
      <w:headerReference w:type="default" r:id="rId8"/>
      <w:pgSz w:w="12240" w:h="15840"/>
      <w:pgMar w:top="773" w:right="1440" w:bottom="810" w:left="1440" w:header="426" w:footer="330" w:gutter="0"/>
      <w:pgNumType w:start="6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5DB" w:rsidRDefault="004D55DB" w:rsidP="00A85E81">
      <w:r>
        <w:separator/>
      </w:r>
    </w:p>
  </w:endnote>
  <w:endnote w:type="continuationSeparator" w:id="1">
    <w:p w:rsidR="004D55DB" w:rsidRDefault="004D55DB" w:rsidP="00A85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5DB" w:rsidRDefault="004D55DB" w:rsidP="00A85E81">
      <w:r>
        <w:separator/>
      </w:r>
    </w:p>
  </w:footnote>
  <w:footnote w:type="continuationSeparator" w:id="1">
    <w:p w:rsidR="004D55DB" w:rsidRDefault="004D55DB" w:rsidP="00A85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37" w:rsidRDefault="003A7E77">
    <w:pPr>
      <w:pStyle w:val="Header"/>
      <w:jc w:val="center"/>
    </w:pPr>
    <w:sdt>
      <w:sdtPr>
        <w:id w:val="22198680"/>
        <w:docPartObj>
          <w:docPartGallery w:val="Page Numbers (Top of Page)"/>
          <w:docPartUnique/>
        </w:docPartObj>
      </w:sdtPr>
      <w:sdtContent>
        <w:r w:rsidR="008A4137">
          <w:t>-</w:t>
        </w:r>
        <w:fldSimple w:instr=" PAGE   \* MERGEFORMAT ">
          <w:r w:rsidR="009E0147">
            <w:rPr>
              <w:noProof/>
            </w:rPr>
            <w:t>79</w:t>
          </w:r>
        </w:fldSimple>
      </w:sdtContent>
    </w:sdt>
    <w:r w:rsidR="008A4137">
      <w:t>-</w:t>
    </w:r>
  </w:p>
  <w:p w:rsidR="009E0147" w:rsidRDefault="009E014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0D06"/>
    <w:multiLevelType w:val="multilevel"/>
    <w:tmpl w:val="997E1066"/>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1635"/>
        </w:tabs>
        <w:ind w:left="1635" w:hanging="36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1">
    <w:nsid w:val="038658DA"/>
    <w:multiLevelType w:val="singleLevel"/>
    <w:tmpl w:val="E9C001BA"/>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2">
    <w:nsid w:val="07DB05EB"/>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
    <w:nsid w:val="08AA053E"/>
    <w:multiLevelType w:val="singleLevel"/>
    <w:tmpl w:val="AE4C3726"/>
    <w:lvl w:ilvl="0">
      <w:start w:val="3"/>
      <w:numFmt w:val="decimal"/>
      <w:lvlText w:val="(%1)"/>
      <w:lvlJc w:val="left"/>
      <w:pPr>
        <w:tabs>
          <w:tab w:val="num" w:pos="1230"/>
        </w:tabs>
        <w:ind w:left="1230" w:hanging="360"/>
      </w:pPr>
      <w:rPr>
        <w:rFonts w:hint="default"/>
      </w:rPr>
    </w:lvl>
  </w:abstractNum>
  <w:abstractNum w:abstractNumId="4">
    <w:nsid w:val="0B70057B"/>
    <w:multiLevelType w:val="singleLevel"/>
    <w:tmpl w:val="02AC0334"/>
    <w:lvl w:ilvl="0">
      <w:start w:val="12"/>
      <w:numFmt w:val="decimal"/>
      <w:lvlText w:val="%1."/>
      <w:lvlJc w:val="left"/>
      <w:pPr>
        <w:tabs>
          <w:tab w:val="num" w:pos="405"/>
        </w:tabs>
        <w:ind w:left="405" w:hanging="405"/>
      </w:pPr>
      <w:rPr>
        <w:rFonts w:hint="default"/>
        <w:u w:val="none"/>
      </w:rPr>
    </w:lvl>
  </w:abstractNum>
  <w:abstractNum w:abstractNumId="5">
    <w:nsid w:val="10BA7528"/>
    <w:multiLevelType w:val="hybridMultilevel"/>
    <w:tmpl w:val="7E3E9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241BC"/>
    <w:multiLevelType w:val="hybridMultilevel"/>
    <w:tmpl w:val="9274EEE6"/>
    <w:lvl w:ilvl="0" w:tplc="F9FAB86C">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
    <w:nsid w:val="1EE03B0E"/>
    <w:multiLevelType w:val="hybridMultilevel"/>
    <w:tmpl w:val="A1B05E52"/>
    <w:lvl w:ilvl="0" w:tplc="093461F0">
      <w:start w:val="1"/>
      <w:numFmt w:val="decimal"/>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8">
    <w:nsid w:val="240053C8"/>
    <w:multiLevelType w:val="multilevel"/>
    <w:tmpl w:val="E9F28ED2"/>
    <w:lvl w:ilvl="0">
      <w:start w:val="11"/>
      <w:numFmt w:val="decimal"/>
      <w:lvlText w:val="%1"/>
      <w:lvlJc w:val="left"/>
      <w:pPr>
        <w:tabs>
          <w:tab w:val="num" w:pos="510"/>
        </w:tabs>
        <w:ind w:left="510" w:hanging="510"/>
      </w:pPr>
      <w:rPr>
        <w:rFonts w:hint="default"/>
      </w:rPr>
    </w:lvl>
    <w:lvl w:ilvl="1">
      <w:start w:val="11"/>
      <w:numFmt w:val="decimal"/>
      <w:lvlText w:val="%1.%2"/>
      <w:lvlJc w:val="left"/>
      <w:pPr>
        <w:tabs>
          <w:tab w:val="num" w:pos="1725"/>
        </w:tabs>
        <w:ind w:left="1725" w:hanging="510"/>
      </w:pPr>
      <w:rPr>
        <w:rFonts w:hint="default"/>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4365"/>
        </w:tabs>
        <w:ind w:left="4365" w:hanging="720"/>
      </w:pPr>
      <w:rPr>
        <w:rFonts w:hint="default"/>
      </w:rPr>
    </w:lvl>
    <w:lvl w:ilvl="4">
      <w:start w:val="1"/>
      <w:numFmt w:val="decimal"/>
      <w:lvlText w:val="%1.%2.%3.%4.%5"/>
      <w:lvlJc w:val="left"/>
      <w:pPr>
        <w:tabs>
          <w:tab w:val="num" w:pos="5580"/>
        </w:tabs>
        <w:ind w:left="5580" w:hanging="720"/>
      </w:pPr>
      <w:rPr>
        <w:rFonts w:hint="default"/>
      </w:rPr>
    </w:lvl>
    <w:lvl w:ilvl="5">
      <w:start w:val="1"/>
      <w:numFmt w:val="decimal"/>
      <w:lvlText w:val="%1.%2.%3.%4.%5.%6"/>
      <w:lvlJc w:val="left"/>
      <w:pPr>
        <w:tabs>
          <w:tab w:val="num" w:pos="7155"/>
        </w:tabs>
        <w:ind w:left="7155" w:hanging="1080"/>
      </w:pPr>
      <w:rPr>
        <w:rFonts w:hint="default"/>
      </w:rPr>
    </w:lvl>
    <w:lvl w:ilvl="6">
      <w:start w:val="1"/>
      <w:numFmt w:val="decimal"/>
      <w:lvlText w:val="%1.%2.%3.%4.%5.%6.%7"/>
      <w:lvlJc w:val="left"/>
      <w:pPr>
        <w:tabs>
          <w:tab w:val="num" w:pos="8370"/>
        </w:tabs>
        <w:ind w:left="8370" w:hanging="1080"/>
      </w:pPr>
      <w:rPr>
        <w:rFonts w:hint="default"/>
      </w:rPr>
    </w:lvl>
    <w:lvl w:ilvl="7">
      <w:start w:val="1"/>
      <w:numFmt w:val="decimal"/>
      <w:lvlText w:val="%1.%2.%3.%4.%5.%6.%7.%8"/>
      <w:lvlJc w:val="left"/>
      <w:pPr>
        <w:tabs>
          <w:tab w:val="num" w:pos="9585"/>
        </w:tabs>
        <w:ind w:left="9585" w:hanging="1080"/>
      </w:pPr>
      <w:rPr>
        <w:rFonts w:hint="default"/>
      </w:rPr>
    </w:lvl>
    <w:lvl w:ilvl="8">
      <w:start w:val="1"/>
      <w:numFmt w:val="decimal"/>
      <w:lvlText w:val="%1.%2.%3.%4.%5.%6.%7.%8.%9"/>
      <w:lvlJc w:val="left"/>
      <w:pPr>
        <w:tabs>
          <w:tab w:val="num" w:pos="11160"/>
        </w:tabs>
        <w:ind w:left="11160" w:hanging="1440"/>
      </w:pPr>
      <w:rPr>
        <w:rFonts w:hint="default"/>
      </w:rPr>
    </w:lvl>
  </w:abstractNum>
  <w:abstractNum w:abstractNumId="9">
    <w:nsid w:val="2A24590C"/>
    <w:multiLevelType w:val="singleLevel"/>
    <w:tmpl w:val="041E000F"/>
    <w:lvl w:ilvl="0">
      <w:start w:val="1"/>
      <w:numFmt w:val="decimal"/>
      <w:lvlText w:val="%1."/>
      <w:lvlJc w:val="left"/>
      <w:pPr>
        <w:tabs>
          <w:tab w:val="num" w:pos="360"/>
        </w:tabs>
        <w:ind w:left="360" w:hanging="360"/>
      </w:pPr>
    </w:lvl>
  </w:abstractNum>
  <w:abstractNum w:abstractNumId="10">
    <w:nsid w:val="32871C69"/>
    <w:multiLevelType w:val="singleLevel"/>
    <w:tmpl w:val="5B38FD06"/>
    <w:lvl w:ilvl="0">
      <w:start w:val="1"/>
      <w:numFmt w:val="decimal"/>
      <w:lvlText w:val="%1."/>
      <w:lvlJc w:val="left"/>
      <w:pPr>
        <w:tabs>
          <w:tab w:val="num" w:pos="1830"/>
        </w:tabs>
        <w:ind w:left="1830" w:hanging="360"/>
      </w:pPr>
      <w:rPr>
        <w:rFonts w:hint="default"/>
      </w:rPr>
    </w:lvl>
  </w:abstractNum>
  <w:abstractNum w:abstractNumId="11">
    <w:nsid w:val="395D586E"/>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2">
    <w:nsid w:val="39E007AA"/>
    <w:multiLevelType w:val="singleLevel"/>
    <w:tmpl w:val="88E2D1D6"/>
    <w:lvl w:ilvl="0">
      <w:start w:val="3"/>
      <w:numFmt w:val="decimal"/>
      <w:lvlText w:val="(%1)"/>
      <w:lvlJc w:val="left"/>
      <w:pPr>
        <w:tabs>
          <w:tab w:val="num" w:pos="675"/>
        </w:tabs>
        <w:ind w:left="675" w:hanging="675"/>
      </w:pPr>
      <w:rPr>
        <w:rFonts w:hint="default"/>
        <w:u w:val="none"/>
      </w:rPr>
    </w:lvl>
  </w:abstractNum>
  <w:abstractNum w:abstractNumId="13">
    <w:nsid w:val="3DA348E8"/>
    <w:multiLevelType w:val="hybridMultilevel"/>
    <w:tmpl w:val="E2B27174"/>
    <w:lvl w:ilvl="0" w:tplc="90E40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B809CB"/>
    <w:multiLevelType w:val="hybridMultilevel"/>
    <w:tmpl w:val="D24E7B4E"/>
    <w:lvl w:ilvl="0" w:tplc="04090001">
      <w:start w:val="1"/>
      <w:numFmt w:val="bullet"/>
      <w:lvlText w:val=""/>
      <w:lvlJc w:val="left"/>
      <w:pPr>
        <w:ind w:left="2370" w:hanging="360"/>
      </w:pPr>
      <w:rPr>
        <w:rFonts w:ascii="Symbol" w:hAnsi="Symbol" w:hint="default"/>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15">
    <w:nsid w:val="46B840EF"/>
    <w:multiLevelType w:val="multilevel"/>
    <w:tmpl w:val="CA4C5D66"/>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2700"/>
        </w:tabs>
        <w:ind w:left="2700" w:hanging="72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545"/>
        </w:tabs>
        <w:ind w:left="4545" w:hanging="1080"/>
      </w:pPr>
      <w:rPr>
        <w:rFonts w:hint="default"/>
      </w:rPr>
    </w:lvl>
    <w:lvl w:ilvl="8">
      <w:start w:val="1"/>
      <w:numFmt w:val="decimal"/>
      <w:lvlText w:val="%1.%2.%3.%4.%5.%6.%7.%8.%9"/>
      <w:lvlJc w:val="left"/>
      <w:pPr>
        <w:tabs>
          <w:tab w:val="num" w:pos="5400"/>
        </w:tabs>
        <w:ind w:left="5400" w:hanging="1440"/>
      </w:pPr>
      <w:rPr>
        <w:rFonts w:hint="default"/>
      </w:rPr>
    </w:lvl>
  </w:abstractNum>
  <w:abstractNum w:abstractNumId="16">
    <w:nsid w:val="47955E7A"/>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17">
    <w:nsid w:val="4F1A6C7E"/>
    <w:multiLevelType w:val="multilevel"/>
    <w:tmpl w:val="D1C27932"/>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1830"/>
        </w:tabs>
        <w:ind w:left="1830" w:hanging="360"/>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18">
    <w:nsid w:val="514E664E"/>
    <w:multiLevelType w:val="singleLevel"/>
    <w:tmpl w:val="15F488DE"/>
    <w:lvl w:ilvl="0">
      <w:start w:val="3"/>
      <w:numFmt w:val="decimal"/>
      <w:lvlText w:val="(%1)"/>
      <w:lvlJc w:val="left"/>
      <w:pPr>
        <w:tabs>
          <w:tab w:val="num" w:pos="1230"/>
        </w:tabs>
        <w:ind w:left="1230" w:hanging="360"/>
      </w:pPr>
      <w:rPr>
        <w:rFonts w:hint="default"/>
      </w:rPr>
    </w:lvl>
  </w:abstractNum>
  <w:abstractNum w:abstractNumId="19">
    <w:nsid w:val="54CE252E"/>
    <w:multiLevelType w:val="hybridMultilevel"/>
    <w:tmpl w:val="48E00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3076C"/>
    <w:multiLevelType w:val="multilevel"/>
    <w:tmpl w:val="C0200F34"/>
    <w:lvl w:ilvl="0">
      <w:start w:val="10"/>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1">
    <w:nsid w:val="5A8E3DF6"/>
    <w:multiLevelType w:val="singleLevel"/>
    <w:tmpl w:val="A9106B10"/>
    <w:lvl w:ilvl="0">
      <w:start w:val="1"/>
      <w:numFmt w:val="decimal"/>
      <w:lvlText w:val="(%1)"/>
      <w:lvlJc w:val="left"/>
      <w:pPr>
        <w:tabs>
          <w:tab w:val="num" w:pos="825"/>
        </w:tabs>
        <w:ind w:left="825" w:hanging="435"/>
      </w:pPr>
      <w:rPr>
        <w:rFonts w:hint="default"/>
      </w:rPr>
    </w:lvl>
  </w:abstractNum>
  <w:abstractNum w:abstractNumId="22">
    <w:nsid w:val="61542F85"/>
    <w:multiLevelType w:val="hybridMultilevel"/>
    <w:tmpl w:val="6FD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BC19B6"/>
    <w:multiLevelType w:val="singleLevel"/>
    <w:tmpl w:val="47FAB3EE"/>
    <w:lvl w:ilvl="0">
      <w:start w:val="8"/>
      <w:numFmt w:val="hebrew2"/>
      <w:lvlText w:val="%1)"/>
      <w:lvlJc w:val="left"/>
      <w:pPr>
        <w:tabs>
          <w:tab w:val="num" w:pos="1635"/>
        </w:tabs>
        <w:ind w:left="1635" w:hanging="375"/>
      </w:pPr>
      <w:rPr>
        <w:rFonts w:hint="default"/>
      </w:rPr>
    </w:lvl>
  </w:abstractNum>
  <w:abstractNum w:abstractNumId="24">
    <w:nsid w:val="685D14B3"/>
    <w:multiLevelType w:val="singleLevel"/>
    <w:tmpl w:val="7F88E9AE"/>
    <w:lvl w:ilvl="0">
      <w:start w:val="2"/>
      <w:numFmt w:val="decimal"/>
      <w:lvlText w:val="(%1)"/>
      <w:lvlJc w:val="left"/>
      <w:pPr>
        <w:tabs>
          <w:tab w:val="num" w:pos="810"/>
        </w:tabs>
        <w:ind w:left="810" w:hanging="450"/>
      </w:pPr>
      <w:rPr>
        <w:rFonts w:hint="default"/>
        <w:u w:val="none"/>
      </w:rPr>
    </w:lvl>
  </w:abstractNum>
  <w:abstractNum w:abstractNumId="25">
    <w:nsid w:val="69163A52"/>
    <w:multiLevelType w:val="multilevel"/>
    <w:tmpl w:val="51CC5B1E"/>
    <w:lvl w:ilvl="0">
      <w:start w:val="116"/>
      <w:numFmt w:val="decimal"/>
      <w:lvlText w:val="%1"/>
      <w:lvlJc w:val="left"/>
      <w:pPr>
        <w:tabs>
          <w:tab w:val="num" w:pos="510"/>
        </w:tabs>
        <w:ind w:left="510" w:hanging="510"/>
      </w:pPr>
      <w:rPr>
        <w:rFonts w:hint="default"/>
      </w:rPr>
    </w:lvl>
    <w:lvl w:ilvl="1">
      <w:start w:val="6"/>
      <w:numFmt w:val="decimal"/>
      <w:lvlText w:val="%1.%2"/>
      <w:lvlJc w:val="left"/>
      <w:pPr>
        <w:tabs>
          <w:tab w:val="num" w:pos="1785"/>
        </w:tabs>
        <w:ind w:left="1785" w:hanging="51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26">
    <w:nsid w:val="69941BB2"/>
    <w:multiLevelType w:val="singleLevel"/>
    <w:tmpl w:val="653891DA"/>
    <w:lvl w:ilvl="0">
      <w:start w:val="1"/>
      <w:numFmt w:val="decimal"/>
      <w:lvlText w:val="%1"/>
      <w:lvlJc w:val="left"/>
      <w:pPr>
        <w:tabs>
          <w:tab w:val="num" w:pos="360"/>
        </w:tabs>
        <w:ind w:left="360" w:hanging="360"/>
      </w:pPr>
      <w:rPr>
        <w:rFonts w:hint="default"/>
      </w:rPr>
    </w:lvl>
  </w:abstractNum>
  <w:abstractNum w:abstractNumId="27">
    <w:nsid w:val="69A81FB7"/>
    <w:multiLevelType w:val="multilevel"/>
    <w:tmpl w:val="DD0006C0"/>
    <w:lvl w:ilvl="0">
      <w:start w:val="3"/>
      <w:numFmt w:val="decimal"/>
      <w:lvlText w:val="%1"/>
      <w:lvlJc w:val="left"/>
      <w:pPr>
        <w:tabs>
          <w:tab w:val="num" w:pos="555"/>
        </w:tabs>
        <w:ind w:left="555" w:hanging="555"/>
      </w:pPr>
      <w:rPr>
        <w:rFonts w:hint="default"/>
      </w:rPr>
    </w:lvl>
    <w:lvl w:ilvl="1">
      <w:start w:val="7"/>
      <w:numFmt w:val="decimal"/>
      <w:lvlText w:val="%1.%2"/>
      <w:lvlJc w:val="left"/>
      <w:pPr>
        <w:tabs>
          <w:tab w:val="num" w:pos="1155"/>
        </w:tabs>
        <w:ind w:left="1155" w:hanging="55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120"/>
        </w:tabs>
        <w:ind w:left="3120" w:hanging="72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28">
    <w:nsid w:val="6D7C75FC"/>
    <w:multiLevelType w:val="hybridMultilevel"/>
    <w:tmpl w:val="510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07F5D"/>
    <w:multiLevelType w:val="hybridMultilevel"/>
    <w:tmpl w:val="A8EC1B0E"/>
    <w:lvl w:ilvl="0" w:tplc="0584E4B6">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30">
    <w:nsid w:val="729C26A9"/>
    <w:multiLevelType w:val="hybridMultilevel"/>
    <w:tmpl w:val="D1EE1F4A"/>
    <w:lvl w:ilvl="0" w:tplc="E3B40F56">
      <w:start w:val="1"/>
      <w:numFmt w:val="decimal"/>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31">
    <w:nsid w:val="747A33FC"/>
    <w:multiLevelType w:val="hybridMultilevel"/>
    <w:tmpl w:val="7F9E2CE0"/>
    <w:lvl w:ilvl="0" w:tplc="81004E54">
      <w:start w:val="1"/>
      <w:numFmt w:val="decimal"/>
      <w:lvlText w:val="(%1)"/>
      <w:lvlJc w:val="left"/>
      <w:pPr>
        <w:ind w:left="2370" w:hanging="360"/>
      </w:pPr>
      <w:rPr>
        <w:rFonts w:hint="default"/>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32">
    <w:nsid w:val="74FE7B7F"/>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33">
    <w:nsid w:val="76ED3085"/>
    <w:multiLevelType w:val="hybridMultilevel"/>
    <w:tmpl w:val="241470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6D32FF"/>
    <w:multiLevelType w:val="multilevel"/>
    <w:tmpl w:val="39F6001C"/>
    <w:lvl w:ilvl="0">
      <w:start w:val="3"/>
      <w:numFmt w:val="decimal"/>
      <w:lvlText w:val="%1"/>
      <w:lvlJc w:val="left"/>
      <w:pPr>
        <w:tabs>
          <w:tab w:val="num" w:pos="375"/>
        </w:tabs>
        <w:ind w:left="375" w:hanging="375"/>
      </w:pPr>
      <w:rPr>
        <w:rFonts w:hint="default"/>
      </w:rPr>
    </w:lvl>
    <w:lvl w:ilvl="1">
      <w:start w:val="8"/>
      <w:numFmt w:val="decimal"/>
      <w:lvlText w:val="%1.%2"/>
      <w:lvlJc w:val="left"/>
      <w:pPr>
        <w:tabs>
          <w:tab w:val="num" w:pos="1845"/>
        </w:tabs>
        <w:ind w:left="1845" w:hanging="375"/>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35">
    <w:nsid w:val="7D2A0AA5"/>
    <w:multiLevelType w:val="singleLevel"/>
    <w:tmpl w:val="40D491DA"/>
    <w:lvl w:ilvl="0">
      <w:start w:val="11"/>
      <w:numFmt w:val="decimal"/>
      <w:lvlText w:val="%1. "/>
      <w:legacy w:legacy="1" w:legacySpace="0" w:legacyIndent="360"/>
      <w:lvlJc w:val="left"/>
      <w:pPr>
        <w:ind w:left="-900" w:hanging="360"/>
      </w:pPr>
      <w:rPr>
        <w:rFonts w:ascii="AngsanaUPC" w:hAnsi="AngsanaUPC" w:hint="default"/>
        <w:b/>
        <w:i w:val="0"/>
        <w:sz w:val="28"/>
        <w:u w:val="none"/>
      </w:rPr>
    </w:lvl>
  </w:abstractNum>
  <w:abstractNum w:abstractNumId="36">
    <w:nsid w:val="7DED426C"/>
    <w:multiLevelType w:val="singleLevel"/>
    <w:tmpl w:val="041E000F"/>
    <w:lvl w:ilvl="0">
      <w:start w:val="1"/>
      <w:numFmt w:val="decimal"/>
      <w:lvlText w:val="%1."/>
      <w:lvlJc w:val="left"/>
      <w:pPr>
        <w:tabs>
          <w:tab w:val="num" w:pos="360"/>
        </w:tabs>
        <w:ind w:left="360" w:hanging="360"/>
      </w:pPr>
    </w:lvl>
  </w:abstractNum>
  <w:num w:numId="1">
    <w:abstractNumId w:val="4"/>
  </w:num>
  <w:num w:numId="2">
    <w:abstractNumId w:val="12"/>
  </w:num>
  <w:num w:numId="3">
    <w:abstractNumId w:val="9"/>
  </w:num>
  <w:num w:numId="4">
    <w:abstractNumId w:val="20"/>
  </w:num>
  <w:num w:numId="5">
    <w:abstractNumId w:val="21"/>
  </w:num>
  <w:num w:numId="6">
    <w:abstractNumId w:val="23"/>
  </w:num>
  <w:num w:numId="7">
    <w:abstractNumId w:val="27"/>
  </w:num>
  <w:num w:numId="8">
    <w:abstractNumId w:val="1"/>
  </w:num>
  <w:num w:numId="9">
    <w:abstractNumId w:val="26"/>
  </w:num>
  <w:num w:numId="10">
    <w:abstractNumId w:val="16"/>
  </w:num>
  <w:num w:numId="11">
    <w:abstractNumId w:val="32"/>
  </w:num>
  <w:num w:numId="12">
    <w:abstractNumId w:val="35"/>
  </w:num>
  <w:num w:numId="13">
    <w:abstractNumId w:val="15"/>
  </w:num>
  <w:num w:numId="14">
    <w:abstractNumId w:val="36"/>
  </w:num>
  <w:num w:numId="15">
    <w:abstractNumId w:val="24"/>
  </w:num>
  <w:num w:numId="16">
    <w:abstractNumId w:val="8"/>
  </w:num>
  <w:num w:numId="17">
    <w:abstractNumId w:val="25"/>
  </w:num>
  <w:num w:numId="18">
    <w:abstractNumId w:val="34"/>
  </w:num>
  <w:num w:numId="19">
    <w:abstractNumId w:val="17"/>
  </w:num>
  <w:num w:numId="20">
    <w:abstractNumId w:val="18"/>
  </w:num>
  <w:num w:numId="21">
    <w:abstractNumId w:val="3"/>
  </w:num>
  <w:num w:numId="22">
    <w:abstractNumId w:val="10"/>
  </w:num>
  <w:num w:numId="23">
    <w:abstractNumId w:val="0"/>
  </w:num>
  <w:num w:numId="24">
    <w:abstractNumId w:val="30"/>
  </w:num>
  <w:num w:numId="25">
    <w:abstractNumId w:val="19"/>
  </w:num>
  <w:num w:numId="26">
    <w:abstractNumId w:val="6"/>
  </w:num>
  <w:num w:numId="27">
    <w:abstractNumId w:val="13"/>
  </w:num>
  <w:num w:numId="28">
    <w:abstractNumId w:val="31"/>
  </w:num>
  <w:num w:numId="29">
    <w:abstractNumId w:val="14"/>
  </w:num>
  <w:num w:numId="30">
    <w:abstractNumId w:val="29"/>
  </w:num>
  <w:num w:numId="31">
    <w:abstractNumId w:val="2"/>
  </w:num>
  <w:num w:numId="32">
    <w:abstractNumId w:val="11"/>
  </w:num>
  <w:num w:numId="33">
    <w:abstractNumId w:val="7"/>
  </w:num>
  <w:num w:numId="34">
    <w:abstractNumId w:val="28"/>
  </w:num>
  <w:num w:numId="35">
    <w:abstractNumId w:val="22"/>
  </w:num>
  <w:num w:numId="36">
    <w:abstractNumId w:val="5"/>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applyBreakingRules/>
  </w:compat>
  <w:rsids>
    <w:rsidRoot w:val="008363BF"/>
    <w:rsid w:val="00002627"/>
    <w:rsid w:val="00012C5C"/>
    <w:rsid w:val="000166CB"/>
    <w:rsid w:val="00036B87"/>
    <w:rsid w:val="00042A95"/>
    <w:rsid w:val="00043247"/>
    <w:rsid w:val="00085934"/>
    <w:rsid w:val="00085CF8"/>
    <w:rsid w:val="00090928"/>
    <w:rsid w:val="000B15CB"/>
    <w:rsid w:val="000B2FD0"/>
    <w:rsid w:val="000B34F7"/>
    <w:rsid w:val="000B65A5"/>
    <w:rsid w:val="000C3F3F"/>
    <w:rsid w:val="000C4116"/>
    <w:rsid w:val="000E137B"/>
    <w:rsid w:val="000E15D6"/>
    <w:rsid w:val="000F0FF5"/>
    <w:rsid w:val="000F16D4"/>
    <w:rsid w:val="00105841"/>
    <w:rsid w:val="00112F38"/>
    <w:rsid w:val="0012191A"/>
    <w:rsid w:val="00134D86"/>
    <w:rsid w:val="0014361D"/>
    <w:rsid w:val="00147213"/>
    <w:rsid w:val="001503BE"/>
    <w:rsid w:val="00155A9B"/>
    <w:rsid w:val="00164EDD"/>
    <w:rsid w:val="001831C0"/>
    <w:rsid w:val="001B024C"/>
    <w:rsid w:val="001C159B"/>
    <w:rsid w:val="001C4A5D"/>
    <w:rsid w:val="001D7581"/>
    <w:rsid w:val="001E02FA"/>
    <w:rsid w:val="002312C0"/>
    <w:rsid w:val="0023250F"/>
    <w:rsid w:val="002326F1"/>
    <w:rsid w:val="002335E4"/>
    <w:rsid w:val="0025247E"/>
    <w:rsid w:val="0026360F"/>
    <w:rsid w:val="00274093"/>
    <w:rsid w:val="00274532"/>
    <w:rsid w:val="00283658"/>
    <w:rsid w:val="002A000D"/>
    <w:rsid w:val="002B1553"/>
    <w:rsid w:val="002C1346"/>
    <w:rsid w:val="002F43CC"/>
    <w:rsid w:val="003018D0"/>
    <w:rsid w:val="00306A8B"/>
    <w:rsid w:val="00341D9E"/>
    <w:rsid w:val="00346D96"/>
    <w:rsid w:val="00353041"/>
    <w:rsid w:val="00363C47"/>
    <w:rsid w:val="00366676"/>
    <w:rsid w:val="0037273C"/>
    <w:rsid w:val="003826F7"/>
    <w:rsid w:val="003A0328"/>
    <w:rsid w:val="003A7327"/>
    <w:rsid w:val="003A7E77"/>
    <w:rsid w:val="003C6B1E"/>
    <w:rsid w:val="003D0239"/>
    <w:rsid w:val="003E687A"/>
    <w:rsid w:val="004039F1"/>
    <w:rsid w:val="004121C0"/>
    <w:rsid w:val="00433818"/>
    <w:rsid w:val="00435446"/>
    <w:rsid w:val="0043747D"/>
    <w:rsid w:val="00444D1F"/>
    <w:rsid w:val="00450755"/>
    <w:rsid w:val="00470332"/>
    <w:rsid w:val="0047195E"/>
    <w:rsid w:val="00480BB8"/>
    <w:rsid w:val="0049495F"/>
    <w:rsid w:val="004A53D0"/>
    <w:rsid w:val="004B72A5"/>
    <w:rsid w:val="004C7EBD"/>
    <w:rsid w:val="004D0999"/>
    <w:rsid w:val="004D315E"/>
    <w:rsid w:val="004D5052"/>
    <w:rsid w:val="004D55DB"/>
    <w:rsid w:val="004D58AF"/>
    <w:rsid w:val="004E19DF"/>
    <w:rsid w:val="0052648B"/>
    <w:rsid w:val="005512AA"/>
    <w:rsid w:val="00553593"/>
    <w:rsid w:val="005558A7"/>
    <w:rsid w:val="00562BA9"/>
    <w:rsid w:val="00570F5F"/>
    <w:rsid w:val="005A203A"/>
    <w:rsid w:val="005D0D1F"/>
    <w:rsid w:val="005F1445"/>
    <w:rsid w:val="005F1647"/>
    <w:rsid w:val="005F1C73"/>
    <w:rsid w:val="006265C1"/>
    <w:rsid w:val="006268BC"/>
    <w:rsid w:val="00630F3A"/>
    <w:rsid w:val="00631539"/>
    <w:rsid w:val="0063561D"/>
    <w:rsid w:val="0064662C"/>
    <w:rsid w:val="00665F57"/>
    <w:rsid w:val="00667B6D"/>
    <w:rsid w:val="00667ED1"/>
    <w:rsid w:val="0067238B"/>
    <w:rsid w:val="0067332A"/>
    <w:rsid w:val="00677458"/>
    <w:rsid w:val="00682BB1"/>
    <w:rsid w:val="0068723D"/>
    <w:rsid w:val="00692700"/>
    <w:rsid w:val="0069421F"/>
    <w:rsid w:val="006B4FE6"/>
    <w:rsid w:val="007144BF"/>
    <w:rsid w:val="007432D4"/>
    <w:rsid w:val="007442CB"/>
    <w:rsid w:val="007479D1"/>
    <w:rsid w:val="007625FA"/>
    <w:rsid w:val="0076676C"/>
    <w:rsid w:val="0076755A"/>
    <w:rsid w:val="00767EC3"/>
    <w:rsid w:val="007701BA"/>
    <w:rsid w:val="00784EEC"/>
    <w:rsid w:val="00790108"/>
    <w:rsid w:val="007B0622"/>
    <w:rsid w:val="007D6B56"/>
    <w:rsid w:val="008010FA"/>
    <w:rsid w:val="008020FB"/>
    <w:rsid w:val="00831074"/>
    <w:rsid w:val="008363BF"/>
    <w:rsid w:val="00836EE6"/>
    <w:rsid w:val="00840D00"/>
    <w:rsid w:val="008445A2"/>
    <w:rsid w:val="008520C3"/>
    <w:rsid w:val="00852707"/>
    <w:rsid w:val="0086609B"/>
    <w:rsid w:val="00870541"/>
    <w:rsid w:val="00894832"/>
    <w:rsid w:val="0089659C"/>
    <w:rsid w:val="008A4137"/>
    <w:rsid w:val="008B167A"/>
    <w:rsid w:val="008C4026"/>
    <w:rsid w:val="008C66AC"/>
    <w:rsid w:val="008E0DFB"/>
    <w:rsid w:val="008E2E41"/>
    <w:rsid w:val="008E65F4"/>
    <w:rsid w:val="008F1F64"/>
    <w:rsid w:val="00903880"/>
    <w:rsid w:val="009121A1"/>
    <w:rsid w:val="00927BDD"/>
    <w:rsid w:val="00931D67"/>
    <w:rsid w:val="00936916"/>
    <w:rsid w:val="00942145"/>
    <w:rsid w:val="00952CCC"/>
    <w:rsid w:val="00960931"/>
    <w:rsid w:val="00963952"/>
    <w:rsid w:val="00981F3D"/>
    <w:rsid w:val="009837BC"/>
    <w:rsid w:val="009875C6"/>
    <w:rsid w:val="00987BF7"/>
    <w:rsid w:val="00990C7F"/>
    <w:rsid w:val="0099745E"/>
    <w:rsid w:val="009A0AC9"/>
    <w:rsid w:val="009A2814"/>
    <w:rsid w:val="009D106A"/>
    <w:rsid w:val="009D2D2F"/>
    <w:rsid w:val="009E0147"/>
    <w:rsid w:val="009E2FEE"/>
    <w:rsid w:val="00A24CED"/>
    <w:rsid w:val="00A41F33"/>
    <w:rsid w:val="00A45450"/>
    <w:rsid w:val="00A5567E"/>
    <w:rsid w:val="00A6381F"/>
    <w:rsid w:val="00A73775"/>
    <w:rsid w:val="00A76E01"/>
    <w:rsid w:val="00A775F2"/>
    <w:rsid w:val="00A8283A"/>
    <w:rsid w:val="00A85E81"/>
    <w:rsid w:val="00A959CB"/>
    <w:rsid w:val="00A96148"/>
    <w:rsid w:val="00AA31A6"/>
    <w:rsid w:val="00AA6F1F"/>
    <w:rsid w:val="00AB27A7"/>
    <w:rsid w:val="00AB51C9"/>
    <w:rsid w:val="00AC56B8"/>
    <w:rsid w:val="00AD57EF"/>
    <w:rsid w:val="00AD7427"/>
    <w:rsid w:val="00AF29A3"/>
    <w:rsid w:val="00AF2A03"/>
    <w:rsid w:val="00AF60EF"/>
    <w:rsid w:val="00B131D5"/>
    <w:rsid w:val="00B71622"/>
    <w:rsid w:val="00B9179F"/>
    <w:rsid w:val="00B92B9E"/>
    <w:rsid w:val="00B94D1A"/>
    <w:rsid w:val="00B960C6"/>
    <w:rsid w:val="00BA502C"/>
    <w:rsid w:val="00BB4631"/>
    <w:rsid w:val="00BC3938"/>
    <w:rsid w:val="00BD2B8E"/>
    <w:rsid w:val="00C11AC3"/>
    <w:rsid w:val="00C12110"/>
    <w:rsid w:val="00C3052B"/>
    <w:rsid w:val="00C32EC1"/>
    <w:rsid w:val="00C36F3C"/>
    <w:rsid w:val="00C41236"/>
    <w:rsid w:val="00C42522"/>
    <w:rsid w:val="00C46959"/>
    <w:rsid w:val="00C47C47"/>
    <w:rsid w:val="00C5235F"/>
    <w:rsid w:val="00C6230B"/>
    <w:rsid w:val="00C630EC"/>
    <w:rsid w:val="00C660CA"/>
    <w:rsid w:val="00C73DE1"/>
    <w:rsid w:val="00C85E9A"/>
    <w:rsid w:val="00C86147"/>
    <w:rsid w:val="00C879B6"/>
    <w:rsid w:val="00CA33CF"/>
    <w:rsid w:val="00CB7060"/>
    <w:rsid w:val="00CF6DB3"/>
    <w:rsid w:val="00CF7FAC"/>
    <w:rsid w:val="00D05863"/>
    <w:rsid w:val="00D0795E"/>
    <w:rsid w:val="00D25259"/>
    <w:rsid w:val="00D3134B"/>
    <w:rsid w:val="00D36805"/>
    <w:rsid w:val="00D41267"/>
    <w:rsid w:val="00D44493"/>
    <w:rsid w:val="00D514C1"/>
    <w:rsid w:val="00D764D9"/>
    <w:rsid w:val="00D80273"/>
    <w:rsid w:val="00D8109E"/>
    <w:rsid w:val="00D90449"/>
    <w:rsid w:val="00D9354F"/>
    <w:rsid w:val="00D937BE"/>
    <w:rsid w:val="00D94184"/>
    <w:rsid w:val="00D94488"/>
    <w:rsid w:val="00DD78E7"/>
    <w:rsid w:val="00DE08D2"/>
    <w:rsid w:val="00DE23D8"/>
    <w:rsid w:val="00DE3AC6"/>
    <w:rsid w:val="00E03BE5"/>
    <w:rsid w:val="00E3044E"/>
    <w:rsid w:val="00E4094E"/>
    <w:rsid w:val="00E47777"/>
    <w:rsid w:val="00E50411"/>
    <w:rsid w:val="00E65DA0"/>
    <w:rsid w:val="00E860D5"/>
    <w:rsid w:val="00E96A0E"/>
    <w:rsid w:val="00E97ED1"/>
    <w:rsid w:val="00EC43D4"/>
    <w:rsid w:val="00EC6D21"/>
    <w:rsid w:val="00EF2F66"/>
    <w:rsid w:val="00F17DD8"/>
    <w:rsid w:val="00F32845"/>
    <w:rsid w:val="00F46754"/>
    <w:rsid w:val="00F52222"/>
    <w:rsid w:val="00F570A6"/>
    <w:rsid w:val="00F83127"/>
    <w:rsid w:val="00F97C6A"/>
    <w:rsid w:val="00FB1D0E"/>
    <w:rsid w:val="00FB36C7"/>
    <w:rsid w:val="00FB5330"/>
    <w:rsid w:val="00FB7DAC"/>
    <w:rsid w:val="00FE0844"/>
    <w:rsid w:val="00FE44C7"/>
    <w:rsid w:val="00FE7E6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BF"/>
    <w:pPr>
      <w:spacing w:after="0" w:line="240" w:lineRule="auto"/>
    </w:pPr>
    <w:rPr>
      <w:rFonts w:ascii="Cordia New" w:eastAsia="Cordia New" w:hAnsi="Cordia New" w:cs="Angsana New"/>
      <w:noProof/>
      <w:sz w:val="28"/>
      <w:szCs w:val="20"/>
      <w:lang w:bidi="ar-SA"/>
    </w:rPr>
  </w:style>
  <w:style w:type="paragraph" w:styleId="Heading1">
    <w:name w:val="heading 1"/>
    <w:basedOn w:val="Normal"/>
    <w:next w:val="Normal"/>
    <w:link w:val="Heading1Char"/>
    <w:qFormat/>
    <w:rsid w:val="008363BF"/>
    <w:pPr>
      <w:keepNext/>
      <w:ind w:left="405"/>
      <w:outlineLvl w:val="0"/>
    </w:pPr>
    <w:rPr>
      <w:b/>
    </w:rPr>
  </w:style>
  <w:style w:type="paragraph" w:styleId="Heading2">
    <w:name w:val="heading 2"/>
    <w:basedOn w:val="Normal"/>
    <w:next w:val="Normal"/>
    <w:link w:val="Heading2Char"/>
    <w:qFormat/>
    <w:rsid w:val="008363BF"/>
    <w:pPr>
      <w:keepNext/>
      <w:tabs>
        <w:tab w:val="left" w:pos="1440"/>
        <w:tab w:val="left" w:pos="2880"/>
        <w:tab w:val="right" w:pos="7200"/>
        <w:tab w:val="right" w:pos="8540"/>
      </w:tabs>
      <w:ind w:left="2160" w:hanging="2160"/>
      <w:jc w:val="both"/>
      <w:outlineLvl w:val="1"/>
    </w:pPr>
    <w:rPr>
      <w:rFonts w:ascii="AngsanaUPC" w:hAnsi="AngsanaUPC"/>
      <w:noProof w:val="0"/>
      <w:sz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63B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8363BF"/>
    <w:rPr>
      <w:rFonts w:ascii="AngsanaUPC" w:eastAsia="Cordia New" w:hAnsi="AngsanaUPC" w:cs="Angsana New"/>
      <w:sz w:val="32"/>
      <w:szCs w:val="20"/>
      <w:lang w:eastAsia="th-TH" w:bidi="ar-SA"/>
    </w:rPr>
  </w:style>
  <w:style w:type="paragraph" w:styleId="PlainText">
    <w:name w:val="Plain Text"/>
    <w:basedOn w:val="Normal"/>
    <w:link w:val="PlainTextChar"/>
    <w:semiHidden/>
    <w:rsid w:val="008363BF"/>
    <w:rPr>
      <w:rFonts w:ascii="Times New Roman" w:hAnsi="Times New Roman"/>
      <w:noProof w:val="0"/>
      <w:lang w:eastAsia="th-TH"/>
    </w:rPr>
  </w:style>
  <w:style w:type="character" w:customStyle="1" w:styleId="PlainTextChar">
    <w:name w:val="Plain Text Char"/>
    <w:basedOn w:val="DefaultParagraphFont"/>
    <w:link w:val="PlainText"/>
    <w:semiHidden/>
    <w:rsid w:val="008363BF"/>
    <w:rPr>
      <w:rFonts w:ascii="Times New Roman" w:eastAsia="Cordia New" w:hAnsi="Times New Roman" w:cs="Angsana New"/>
      <w:sz w:val="28"/>
      <w:szCs w:val="20"/>
      <w:lang w:eastAsia="th-TH" w:bidi="ar-SA"/>
    </w:rPr>
  </w:style>
  <w:style w:type="paragraph" w:styleId="Header">
    <w:name w:val="header"/>
    <w:basedOn w:val="Normal"/>
    <w:link w:val="HeaderChar"/>
    <w:uiPriority w:val="99"/>
    <w:rsid w:val="008363BF"/>
    <w:pPr>
      <w:tabs>
        <w:tab w:val="center" w:pos="4153"/>
        <w:tab w:val="right" w:pos="8306"/>
      </w:tabs>
    </w:pPr>
    <w:rPr>
      <w:rFonts w:ascii="AngsanaUPC" w:hAnsi="AngsanaUPC"/>
      <w:noProof w:val="0"/>
      <w:lang w:eastAsia="th-TH"/>
    </w:rPr>
  </w:style>
  <w:style w:type="character" w:customStyle="1" w:styleId="HeaderChar">
    <w:name w:val="Header Char"/>
    <w:basedOn w:val="DefaultParagraphFont"/>
    <w:link w:val="Header"/>
    <w:uiPriority w:val="99"/>
    <w:rsid w:val="008363BF"/>
    <w:rPr>
      <w:rFonts w:ascii="AngsanaUPC" w:eastAsia="Cordia New" w:hAnsi="AngsanaUPC" w:cs="Angsana New"/>
      <w:sz w:val="28"/>
      <w:szCs w:val="20"/>
      <w:lang w:eastAsia="th-TH" w:bidi="ar-SA"/>
    </w:rPr>
  </w:style>
  <w:style w:type="paragraph" w:styleId="BodyTextIndent2">
    <w:name w:val="Body Text Indent 2"/>
    <w:basedOn w:val="Normal"/>
    <w:link w:val="BodyTextIndent2Char"/>
    <w:semiHidden/>
    <w:rsid w:val="008363BF"/>
    <w:pPr>
      <w:ind w:firstLine="720"/>
    </w:pPr>
    <w:rPr>
      <w:rFonts w:ascii="AngsanaUPC" w:hAnsi="AngsanaUPC"/>
      <w:noProof w:val="0"/>
      <w:lang w:eastAsia="th-TH"/>
    </w:rPr>
  </w:style>
  <w:style w:type="character" w:customStyle="1" w:styleId="BodyTextIndent2Char">
    <w:name w:val="Body Text Indent 2 Char"/>
    <w:basedOn w:val="DefaultParagraphFont"/>
    <w:link w:val="BodyTextIndent2"/>
    <w:semiHidden/>
    <w:rsid w:val="008363BF"/>
    <w:rPr>
      <w:rFonts w:ascii="AngsanaUPC" w:eastAsia="Cordia New" w:hAnsi="AngsanaUPC" w:cs="Angsana New"/>
      <w:sz w:val="28"/>
      <w:szCs w:val="20"/>
      <w:lang w:eastAsia="th-TH" w:bidi="ar-SA"/>
    </w:rPr>
  </w:style>
  <w:style w:type="paragraph" w:styleId="BodyText">
    <w:name w:val="Body Text"/>
    <w:basedOn w:val="Normal"/>
    <w:link w:val="BodyTextChar"/>
    <w:semiHidden/>
    <w:rsid w:val="008363BF"/>
    <w:pPr>
      <w:spacing w:line="240" w:lineRule="atLeast"/>
      <w:jc w:val="both"/>
    </w:pPr>
    <w:rPr>
      <w:rFonts w:ascii="AngsanaUPC" w:hAnsi="AngsanaUPC"/>
      <w:noProof w:val="0"/>
      <w:lang w:eastAsia="th-TH"/>
    </w:rPr>
  </w:style>
  <w:style w:type="character" w:customStyle="1" w:styleId="BodyTextChar">
    <w:name w:val="Body Text Char"/>
    <w:basedOn w:val="DefaultParagraphFont"/>
    <w:link w:val="BodyText"/>
    <w:semiHidden/>
    <w:rsid w:val="008363BF"/>
    <w:rPr>
      <w:rFonts w:ascii="AngsanaUPC" w:eastAsia="Cordia New" w:hAnsi="AngsanaUPC" w:cs="Angsana New"/>
      <w:sz w:val="28"/>
      <w:szCs w:val="20"/>
      <w:lang w:eastAsia="th-TH" w:bidi="ar-SA"/>
    </w:rPr>
  </w:style>
  <w:style w:type="paragraph" w:styleId="Footer">
    <w:name w:val="footer"/>
    <w:basedOn w:val="Normal"/>
    <w:link w:val="FooterChar"/>
    <w:semiHidden/>
    <w:rsid w:val="008363BF"/>
    <w:pPr>
      <w:tabs>
        <w:tab w:val="center" w:pos="4153"/>
        <w:tab w:val="right" w:pos="8306"/>
      </w:tabs>
    </w:pPr>
  </w:style>
  <w:style w:type="character" w:customStyle="1" w:styleId="FooterChar">
    <w:name w:val="Footer Char"/>
    <w:basedOn w:val="DefaultParagraphFont"/>
    <w:link w:val="Footer"/>
    <w:semiHidden/>
    <w:rsid w:val="008363BF"/>
    <w:rPr>
      <w:rFonts w:ascii="Cordia New" w:eastAsia="Cordia New" w:hAnsi="Cordia New" w:cs="Angsana New"/>
      <w:noProof/>
      <w:sz w:val="28"/>
      <w:szCs w:val="20"/>
      <w:lang w:bidi="ar-SA"/>
    </w:rPr>
  </w:style>
  <w:style w:type="character" w:styleId="PageNumber">
    <w:name w:val="page number"/>
    <w:basedOn w:val="DefaultParagraphFont"/>
    <w:semiHidden/>
    <w:rsid w:val="008363BF"/>
  </w:style>
  <w:style w:type="paragraph" w:styleId="BodyTextIndent">
    <w:name w:val="Body Text Indent"/>
    <w:basedOn w:val="Normal"/>
    <w:link w:val="BodyTextIndentChar"/>
    <w:semiHidden/>
    <w:rsid w:val="008363BF"/>
    <w:pPr>
      <w:ind w:left="1440" w:firstLine="720"/>
    </w:pPr>
  </w:style>
  <w:style w:type="character" w:customStyle="1" w:styleId="BodyTextIndentChar">
    <w:name w:val="Body Text Indent Char"/>
    <w:basedOn w:val="DefaultParagraphFont"/>
    <w:link w:val="BodyTextIndent"/>
    <w:semiHidden/>
    <w:rsid w:val="008363B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8363BF"/>
    <w:pPr>
      <w:spacing w:line="240" w:lineRule="atLeast"/>
      <w:ind w:left="2880" w:hanging="720"/>
    </w:pPr>
  </w:style>
  <w:style w:type="character" w:customStyle="1" w:styleId="BodyTextIndent3Char">
    <w:name w:val="Body Text Indent 3 Char"/>
    <w:basedOn w:val="DefaultParagraphFont"/>
    <w:link w:val="BodyTextIndent3"/>
    <w:semiHidden/>
    <w:rsid w:val="008363BF"/>
    <w:rPr>
      <w:rFonts w:ascii="Cordia New" w:eastAsia="Cordia New" w:hAnsi="Cordia New" w:cs="Angsana New"/>
      <w:noProof/>
      <w:sz w:val="28"/>
      <w:szCs w:val="20"/>
      <w:lang w:bidi="ar-SA"/>
    </w:rPr>
  </w:style>
  <w:style w:type="table" w:styleId="TableGrid">
    <w:name w:val="Table Grid"/>
    <w:basedOn w:val="TableNormal"/>
    <w:uiPriority w:val="59"/>
    <w:rsid w:val="008363B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8363BF"/>
    <w:pPr>
      <w:spacing w:before="100" w:beforeAutospacing="1" w:after="100" w:afterAutospacing="1"/>
    </w:pPr>
    <w:rPr>
      <w:rFonts w:ascii="Tahoma" w:eastAsia="Times New Roman" w:hAnsi="Tahoma" w:cs="Tahoma"/>
      <w:noProof w:val="0"/>
      <w:sz w:val="24"/>
      <w:szCs w:val="24"/>
      <w:lang w:bidi="th-TH"/>
    </w:rPr>
  </w:style>
  <w:style w:type="paragraph" w:styleId="NoSpacing">
    <w:name w:val="No Spacing"/>
    <w:uiPriority w:val="1"/>
    <w:qFormat/>
    <w:rsid w:val="008363BF"/>
    <w:pPr>
      <w:spacing w:after="0" w:line="240" w:lineRule="auto"/>
    </w:pPr>
    <w:rPr>
      <w:rFonts w:ascii="Cordia New" w:eastAsia="Cordia New" w:hAnsi="Cordia New" w:cs="Angsana New"/>
      <w:noProof/>
      <w:sz w:val="28"/>
      <w:szCs w:val="20"/>
      <w:lang w:bidi="ar-SA"/>
    </w:rPr>
  </w:style>
  <w:style w:type="paragraph" w:customStyle="1" w:styleId="Default">
    <w:name w:val="Default"/>
    <w:rsid w:val="008363B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8363BF"/>
    <w:rPr>
      <w:rFonts w:ascii="Tahoma" w:hAnsi="Tahoma" w:cs="Tahoma"/>
      <w:sz w:val="16"/>
      <w:szCs w:val="16"/>
    </w:rPr>
  </w:style>
  <w:style w:type="character" w:customStyle="1" w:styleId="BalloonTextChar">
    <w:name w:val="Balloon Text Char"/>
    <w:basedOn w:val="DefaultParagraphFont"/>
    <w:link w:val="BalloonText"/>
    <w:uiPriority w:val="99"/>
    <w:semiHidden/>
    <w:rsid w:val="008363BF"/>
    <w:rPr>
      <w:rFonts w:ascii="Tahoma" w:eastAsia="Cordia New" w:hAnsi="Tahoma" w:cs="Tahoma"/>
      <w:noProof/>
      <w:sz w:val="16"/>
      <w:szCs w:val="16"/>
      <w:lang w:bidi="ar-SA"/>
    </w:rPr>
  </w:style>
  <w:style w:type="paragraph" w:styleId="ListParagraph">
    <w:name w:val="List Paragraph"/>
    <w:basedOn w:val="Normal"/>
    <w:uiPriority w:val="34"/>
    <w:qFormat/>
    <w:rsid w:val="00936916"/>
    <w:pPr>
      <w:ind w:left="720"/>
      <w:contextualSpacing/>
    </w:pPr>
    <w:rPr>
      <w:rFonts w:ascii="Times New Roman" w:eastAsia="MS Mincho" w:hAnsi="Times New Roman"/>
      <w:noProof w:val="0"/>
      <w:sz w:val="24"/>
      <w:szCs w:val="28"/>
      <w:lang w:eastAsia="ja-JP" w:bidi="th-TH"/>
    </w:rPr>
  </w:style>
  <w:style w:type="character" w:customStyle="1" w:styleId="hps">
    <w:name w:val="hps"/>
    <w:basedOn w:val="DefaultParagraphFont"/>
    <w:rsid w:val="00936916"/>
  </w:style>
</w:styles>
</file>

<file path=word/webSettings.xml><?xml version="1.0" encoding="utf-8"?>
<w:webSettings xmlns:r="http://schemas.openxmlformats.org/officeDocument/2006/relationships" xmlns:w="http://schemas.openxmlformats.org/wordprocessingml/2006/main">
  <w:divs>
    <w:div w:id="12656461">
      <w:bodyDiv w:val="1"/>
      <w:marLeft w:val="0"/>
      <w:marRight w:val="0"/>
      <w:marTop w:val="0"/>
      <w:marBottom w:val="0"/>
      <w:divBdr>
        <w:top w:val="none" w:sz="0" w:space="0" w:color="auto"/>
        <w:left w:val="none" w:sz="0" w:space="0" w:color="auto"/>
        <w:bottom w:val="none" w:sz="0" w:space="0" w:color="auto"/>
        <w:right w:val="none" w:sz="0" w:space="0" w:color="auto"/>
      </w:divBdr>
    </w:div>
    <w:div w:id="239606184">
      <w:bodyDiv w:val="1"/>
      <w:marLeft w:val="0"/>
      <w:marRight w:val="0"/>
      <w:marTop w:val="0"/>
      <w:marBottom w:val="0"/>
      <w:divBdr>
        <w:top w:val="none" w:sz="0" w:space="0" w:color="auto"/>
        <w:left w:val="none" w:sz="0" w:space="0" w:color="auto"/>
        <w:bottom w:val="none" w:sz="0" w:space="0" w:color="auto"/>
        <w:right w:val="none" w:sz="0" w:space="0" w:color="auto"/>
      </w:divBdr>
    </w:div>
    <w:div w:id="273099364">
      <w:bodyDiv w:val="1"/>
      <w:marLeft w:val="0"/>
      <w:marRight w:val="0"/>
      <w:marTop w:val="0"/>
      <w:marBottom w:val="0"/>
      <w:divBdr>
        <w:top w:val="none" w:sz="0" w:space="0" w:color="auto"/>
        <w:left w:val="none" w:sz="0" w:space="0" w:color="auto"/>
        <w:bottom w:val="none" w:sz="0" w:space="0" w:color="auto"/>
        <w:right w:val="none" w:sz="0" w:space="0" w:color="auto"/>
      </w:divBdr>
    </w:div>
    <w:div w:id="341589953">
      <w:bodyDiv w:val="1"/>
      <w:marLeft w:val="0"/>
      <w:marRight w:val="0"/>
      <w:marTop w:val="0"/>
      <w:marBottom w:val="0"/>
      <w:divBdr>
        <w:top w:val="none" w:sz="0" w:space="0" w:color="auto"/>
        <w:left w:val="none" w:sz="0" w:space="0" w:color="auto"/>
        <w:bottom w:val="none" w:sz="0" w:space="0" w:color="auto"/>
        <w:right w:val="none" w:sz="0" w:space="0" w:color="auto"/>
      </w:divBdr>
    </w:div>
    <w:div w:id="467746150">
      <w:bodyDiv w:val="1"/>
      <w:marLeft w:val="0"/>
      <w:marRight w:val="0"/>
      <w:marTop w:val="0"/>
      <w:marBottom w:val="0"/>
      <w:divBdr>
        <w:top w:val="none" w:sz="0" w:space="0" w:color="auto"/>
        <w:left w:val="none" w:sz="0" w:space="0" w:color="auto"/>
        <w:bottom w:val="none" w:sz="0" w:space="0" w:color="auto"/>
        <w:right w:val="none" w:sz="0" w:space="0" w:color="auto"/>
      </w:divBdr>
    </w:div>
    <w:div w:id="1076170194">
      <w:bodyDiv w:val="1"/>
      <w:marLeft w:val="0"/>
      <w:marRight w:val="0"/>
      <w:marTop w:val="0"/>
      <w:marBottom w:val="0"/>
      <w:divBdr>
        <w:top w:val="none" w:sz="0" w:space="0" w:color="auto"/>
        <w:left w:val="none" w:sz="0" w:space="0" w:color="auto"/>
        <w:bottom w:val="none" w:sz="0" w:space="0" w:color="auto"/>
        <w:right w:val="none" w:sz="0" w:space="0" w:color="auto"/>
      </w:divBdr>
    </w:div>
    <w:div w:id="1282225162">
      <w:bodyDiv w:val="1"/>
      <w:marLeft w:val="0"/>
      <w:marRight w:val="0"/>
      <w:marTop w:val="0"/>
      <w:marBottom w:val="0"/>
      <w:divBdr>
        <w:top w:val="none" w:sz="0" w:space="0" w:color="auto"/>
        <w:left w:val="none" w:sz="0" w:space="0" w:color="auto"/>
        <w:bottom w:val="none" w:sz="0" w:space="0" w:color="auto"/>
        <w:right w:val="none" w:sz="0" w:space="0" w:color="auto"/>
      </w:divBdr>
    </w:div>
    <w:div w:id="2048290469">
      <w:bodyDiv w:val="1"/>
      <w:marLeft w:val="0"/>
      <w:marRight w:val="0"/>
      <w:marTop w:val="0"/>
      <w:marBottom w:val="0"/>
      <w:divBdr>
        <w:top w:val="none" w:sz="0" w:space="0" w:color="auto"/>
        <w:left w:val="none" w:sz="0" w:space="0" w:color="auto"/>
        <w:bottom w:val="none" w:sz="0" w:space="0" w:color="auto"/>
        <w:right w:val="none" w:sz="0" w:space="0" w:color="auto"/>
      </w:divBdr>
    </w:div>
    <w:div w:id="207384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1DC54-1FDD-4492-A4AD-A4CFAC80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11</Pages>
  <Words>3553</Words>
  <Characters>20256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155</cp:revision>
  <cp:lastPrinted>2017-03-08T08:26:00Z</cp:lastPrinted>
  <dcterms:created xsi:type="dcterms:W3CDTF">2015-03-09T08:50:00Z</dcterms:created>
  <dcterms:modified xsi:type="dcterms:W3CDTF">2017-03-14T08:01:00Z</dcterms:modified>
</cp:coreProperties>
</file>