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ED3" w:rsidRPr="009159D4" w:rsidRDefault="007913C1" w:rsidP="00F67AF3">
      <w:pPr>
        <w:pStyle w:val="Caption"/>
        <w:spacing w:line="240" w:lineRule="auto"/>
        <w:ind w:left="720"/>
        <w:rPr>
          <w:rFonts w:ascii="Arial" w:hAnsi="Arial" w:cs="Arial"/>
          <w:sz w:val="20"/>
          <w:szCs w:val="20"/>
          <w:lang w:val="en-GB"/>
        </w:rPr>
      </w:pPr>
      <w:r w:rsidRPr="009159D4">
        <w:rPr>
          <w:rFonts w:ascii="Arial" w:hAnsi="Arial" w:cs="Arial"/>
          <w:sz w:val="20"/>
          <w:szCs w:val="20"/>
          <w:lang w:val="en-GB"/>
        </w:rPr>
        <w:t xml:space="preserve">PADAENG INDUSTRY </w:t>
      </w:r>
      <w:r w:rsidR="00FA6ED3" w:rsidRPr="009159D4">
        <w:rPr>
          <w:rFonts w:ascii="Arial" w:hAnsi="Arial" w:cs="Arial"/>
          <w:sz w:val="20"/>
          <w:szCs w:val="20"/>
          <w:lang w:val="en-GB"/>
        </w:rPr>
        <w:t xml:space="preserve">PUBLIC COMPANY LIMITED </w:t>
      </w:r>
    </w:p>
    <w:p w:rsidR="00FA6ED3" w:rsidRPr="009159D4" w:rsidRDefault="00FA6ED3" w:rsidP="00F67AF3">
      <w:pPr>
        <w:suppressAutoHyphens/>
        <w:spacing w:after="0" w:line="240" w:lineRule="auto"/>
        <w:ind w:left="720"/>
        <w:rPr>
          <w:rFonts w:ascii="Arial" w:hAnsi="Arial" w:cs="Arial"/>
          <w:b/>
          <w:bCs/>
          <w:sz w:val="20"/>
          <w:szCs w:val="20"/>
        </w:rPr>
      </w:pPr>
    </w:p>
    <w:p w:rsidR="00FA6ED3" w:rsidRPr="009159D4" w:rsidRDefault="00FA6ED3" w:rsidP="00F67AF3">
      <w:pPr>
        <w:suppressAutoHyphens/>
        <w:spacing w:after="0" w:line="240" w:lineRule="auto"/>
        <w:ind w:left="720"/>
        <w:rPr>
          <w:rFonts w:ascii="Arial" w:hAnsi="Arial" w:cs="Arial"/>
          <w:b/>
          <w:bCs/>
          <w:sz w:val="20"/>
          <w:szCs w:val="20"/>
        </w:rPr>
      </w:pPr>
    </w:p>
    <w:p w:rsidR="00FA6ED3" w:rsidRPr="009159D4" w:rsidRDefault="00FA6ED3" w:rsidP="00F67AF3">
      <w:pPr>
        <w:keepNext/>
        <w:spacing w:after="0" w:line="240" w:lineRule="auto"/>
        <w:ind w:left="720"/>
        <w:rPr>
          <w:rFonts w:ascii="Arial" w:hAnsi="Arial" w:cs="Arial"/>
          <w:b/>
          <w:bCs/>
          <w:sz w:val="20"/>
          <w:szCs w:val="20"/>
        </w:rPr>
      </w:pPr>
      <w:r w:rsidRPr="009159D4">
        <w:rPr>
          <w:rFonts w:ascii="Arial" w:hAnsi="Arial" w:cs="Arial"/>
          <w:b/>
          <w:bCs/>
          <w:sz w:val="20"/>
          <w:szCs w:val="20"/>
        </w:rPr>
        <w:t>CONSOLIDATED AND SEPARATE FINANCIAL STATEMENTS</w:t>
      </w:r>
    </w:p>
    <w:p w:rsidR="00FA6ED3" w:rsidRPr="009159D4" w:rsidRDefault="00FA6ED3" w:rsidP="00F67AF3">
      <w:pPr>
        <w:suppressAutoHyphens/>
        <w:spacing w:after="0" w:line="240" w:lineRule="auto"/>
        <w:ind w:left="720"/>
        <w:rPr>
          <w:rFonts w:ascii="Arial" w:hAnsi="Arial" w:cs="Arial"/>
          <w:b/>
          <w:bCs/>
          <w:sz w:val="20"/>
          <w:szCs w:val="20"/>
        </w:rPr>
      </w:pPr>
    </w:p>
    <w:p w:rsidR="00FA6ED3" w:rsidRPr="009159D4" w:rsidRDefault="007913C1" w:rsidP="00F67AF3">
      <w:pPr>
        <w:suppressAutoHyphens/>
        <w:spacing w:after="0" w:line="240" w:lineRule="auto"/>
        <w:ind w:left="720"/>
        <w:rPr>
          <w:rFonts w:ascii="Arial" w:hAnsi="Arial" w:cs="Arial"/>
          <w:b/>
          <w:bCs/>
          <w:sz w:val="20"/>
          <w:szCs w:val="20"/>
        </w:rPr>
      </w:pPr>
      <w:r w:rsidRPr="009159D4">
        <w:rPr>
          <w:rFonts w:ascii="Arial" w:hAnsi="Arial" w:cs="Arial"/>
          <w:b/>
          <w:bCs/>
          <w:sz w:val="20"/>
          <w:szCs w:val="20"/>
        </w:rPr>
        <w:t>31 DECEMBER 2016</w:t>
      </w:r>
    </w:p>
    <w:p w:rsidR="00FA6ED3" w:rsidRPr="009159D4" w:rsidRDefault="00FA6ED3">
      <w:pPr>
        <w:pStyle w:val="Default"/>
        <w:rPr>
          <w:b/>
          <w:bCs/>
          <w:color w:val="C00000"/>
          <w:sz w:val="18"/>
          <w:szCs w:val="18"/>
        </w:rPr>
      </w:pPr>
    </w:p>
    <w:p w:rsidR="00FA6ED3" w:rsidRPr="009159D4" w:rsidRDefault="00FA6ED3">
      <w:pPr>
        <w:pStyle w:val="Default"/>
        <w:rPr>
          <w:b/>
          <w:bCs/>
          <w:color w:val="C00000"/>
          <w:sz w:val="18"/>
          <w:szCs w:val="18"/>
        </w:rPr>
      </w:pPr>
    </w:p>
    <w:p w:rsidR="00254692" w:rsidRPr="009159D4" w:rsidRDefault="00254692">
      <w:pPr>
        <w:pStyle w:val="Default"/>
        <w:rPr>
          <w:b/>
          <w:bCs/>
          <w:color w:val="C00000"/>
          <w:sz w:val="18"/>
          <w:szCs w:val="18"/>
        </w:rPr>
        <w:sectPr w:rsidR="00254692" w:rsidRPr="009159D4" w:rsidSect="00F67AF3">
          <w:pgSz w:w="11909" w:h="16834" w:code="9"/>
          <w:pgMar w:top="4176" w:right="2880" w:bottom="10080" w:left="1728" w:header="706" w:footer="706" w:gutter="0"/>
          <w:pgNumType w:start="0"/>
          <w:cols w:space="708"/>
          <w:docGrid w:linePitch="360"/>
        </w:sectPr>
      </w:pPr>
    </w:p>
    <w:p w:rsidR="00790517" w:rsidRPr="009159D4" w:rsidRDefault="00790517">
      <w:pPr>
        <w:pStyle w:val="Default"/>
        <w:rPr>
          <w:rFonts w:eastAsia="Calibri"/>
          <w:b/>
          <w:bCs/>
          <w:color w:val="C00000"/>
          <w:sz w:val="28"/>
          <w:szCs w:val="28"/>
        </w:rPr>
      </w:pPr>
      <w:r w:rsidRPr="009159D4">
        <w:rPr>
          <w:rFonts w:eastAsia="Calibri"/>
          <w:b/>
          <w:bCs/>
          <w:color w:val="C00000"/>
          <w:sz w:val="28"/>
          <w:szCs w:val="28"/>
        </w:rPr>
        <w:lastRenderedPageBreak/>
        <w:t>I</w:t>
      </w:r>
      <w:r w:rsidR="00886FDA" w:rsidRPr="009159D4">
        <w:rPr>
          <w:rFonts w:eastAsia="Calibri"/>
          <w:b/>
          <w:bCs/>
          <w:color w:val="C00000"/>
          <w:sz w:val="28"/>
          <w:szCs w:val="28"/>
        </w:rPr>
        <w:t>ndependent</w:t>
      </w:r>
      <w:r w:rsidRPr="009159D4">
        <w:rPr>
          <w:rFonts w:eastAsia="Calibri"/>
          <w:b/>
          <w:bCs/>
          <w:color w:val="C00000"/>
          <w:sz w:val="28"/>
          <w:szCs w:val="28"/>
        </w:rPr>
        <w:t xml:space="preserve"> </w:t>
      </w:r>
      <w:r w:rsidR="008E0FC2" w:rsidRPr="009159D4">
        <w:rPr>
          <w:rFonts w:eastAsia="Calibri"/>
          <w:b/>
          <w:bCs/>
          <w:color w:val="C00000"/>
          <w:sz w:val="28"/>
          <w:szCs w:val="28"/>
        </w:rPr>
        <w:t>A</w:t>
      </w:r>
      <w:r w:rsidR="00886FDA" w:rsidRPr="009159D4">
        <w:rPr>
          <w:rFonts w:eastAsia="Calibri"/>
          <w:b/>
          <w:bCs/>
          <w:color w:val="C00000"/>
          <w:sz w:val="28"/>
          <w:szCs w:val="28"/>
        </w:rPr>
        <w:t>uditor</w:t>
      </w:r>
      <w:r w:rsidRPr="009159D4">
        <w:rPr>
          <w:rFonts w:eastAsia="Calibri"/>
          <w:b/>
          <w:bCs/>
          <w:color w:val="C00000"/>
          <w:sz w:val="28"/>
          <w:szCs w:val="28"/>
        </w:rPr>
        <w:t>’</w:t>
      </w:r>
      <w:r w:rsidR="00886FDA" w:rsidRPr="009159D4">
        <w:rPr>
          <w:rFonts w:eastAsia="Calibri"/>
          <w:b/>
          <w:bCs/>
          <w:color w:val="C00000"/>
          <w:sz w:val="28"/>
          <w:szCs w:val="28"/>
        </w:rPr>
        <w:t xml:space="preserve">s </w:t>
      </w:r>
      <w:r w:rsidR="008E0FC2" w:rsidRPr="009159D4">
        <w:rPr>
          <w:rFonts w:eastAsia="Calibri"/>
          <w:b/>
          <w:bCs/>
          <w:color w:val="C00000"/>
          <w:sz w:val="28"/>
          <w:szCs w:val="28"/>
        </w:rPr>
        <w:t>R</w:t>
      </w:r>
      <w:r w:rsidR="00886FDA" w:rsidRPr="009159D4">
        <w:rPr>
          <w:rFonts w:eastAsia="Calibri"/>
          <w:b/>
          <w:bCs/>
          <w:color w:val="C00000"/>
          <w:sz w:val="28"/>
          <w:szCs w:val="28"/>
        </w:rPr>
        <w:t>eport</w:t>
      </w:r>
      <w:r w:rsidRPr="009159D4">
        <w:rPr>
          <w:rFonts w:eastAsia="Calibri"/>
          <w:b/>
          <w:bCs/>
          <w:color w:val="C00000"/>
          <w:sz w:val="28"/>
          <w:szCs w:val="28"/>
        </w:rPr>
        <w:t xml:space="preserve"> </w:t>
      </w:r>
    </w:p>
    <w:p w:rsidR="000D55B0" w:rsidRPr="009159D4" w:rsidRDefault="000D55B0">
      <w:pPr>
        <w:pStyle w:val="Default"/>
        <w:rPr>
          <w:b/>
          <w:bCs/>
          <w:color w:val="C00000"/>
          <w:sz w:val="18"/>
          <w:szCs w:val="18"/>
        </w:rPr>
      </w:pPr>
    </w:p>
    <w:p w:rsidR="000D55B0" w:rsidRPr="009159D4" w:rsidRDefault="000D55B0">
      <w:pPr>
        <w:pStyle w:val="Default"/>
        <w:rPr>
          <w:color w:val="C00000"/>
          <w:sz w:val="18"/>
          <w:szCs w:val="18"/>
        </w:rPr>
      </w:pPr>
    </w:p>
    <w:p w:rsidR="00790517" w:rsidRPr="009159D4" w:rsidRDefault="00E07F94">
      <w:pPr>
        <w:pStyle w:val="Default"/>
        <w:rPr>
          <w:rFonts w:eastAsia="Calibri"/>
          <w:color w:val="C00000"/>
          <w:sz w:val="20"/>
          <w:szCs w:val="20"/>
        </w:rPr>
      </w:pPr>
      <w:r w:rsidRPr="009159D4">
        <w:rPr>
          <w:rFonts w:eastAsia="Calibri"/>
          <w:color w:val="C00000"/>
          <w:sz w:val="20"/>
          <w:szCs w:val="20"/>
        </w:rPr>
        <w:t>To the s</w:t>
      </w:r>
      <w:r w:rsidR="00790517" w:rsidRPr="009159D4">
        <w:rPr>
          <w:rFonts w:eastAsia="Calibri"/>
          <w:color w:val="C00000"/>
          <w:sz w:val="20"/>
          <w:szCs w:val="20"/>
        </w:rPr>
        <w:t xml:space="preserve">hareholders </w:t>
      </w:r>
      <w:r w:rsidR="00D11F81" w:rsidRPr="009159D4">
        <w:rPr>
          <w:rFonts w:eastAsia="Calibri"/>
          <w:color w:val="C00000"/>
          <w:sz w:val="20"/>
          <w:szCs w:val="20"/>
        </w:rPr>
        <w:t>and the Board of Directors</w:t>
      </w:r>
      <w:r w:rsidR="005F1C97" w:rsidRPr="009159D4">
        <w:rPr>
          <w:rFonts w:eastAsia="Calibri"/>
          <w:color w:val="C00000"/>
          <w:sz w:val="20"/>
          <w:szCs w:val="20"/>
        </w:rPr>
        <w:t xml:space="preserve"> of </w:t>
      </w:r>
      <w:proofErr w:type="spellStart"/>
      <w:r w:rsidR="00670E08" w:rsidRPr="009159D4">
        <w:rPr>
          <w:rFonts w:eastAsia="Calibri"/>
          <w:color w:val="C00000"/>
          <w:sz w:val="20"/>
          <w:szCs w:val="20"/>
        </w:rPr>
        <w:t>Padaeng</w:t>
      </w:r>
      <w:proofErr w:type="spellEnd"/>
      <w:r w:rsidR="00670E08" w:rsidRPr="009159D4">
        <w:rPr>
          <w:rFonts w:eastAsia="Calibri"/>
          <w:color w:val="C00000"/>
          <w:sz w:val="20"/>
          <w:szCs w:val="20"/>
        </w:rPr>
        <w:t xml:space="preserve"> Industry Public Company Limited</w:t>
      </w:r>
      <w:r w:rsidR="00790517" w:rsidRPr="009159D4">
        <w:rPr>
          <w:rFonts w:eastAsia="Calibri"/>
          <w:color w:val="C00000"/>
          <w:sz w:val="20"/>
          <w:szCs w:val="20"/>
        </w:rPr>
        <w:t xml:space="preserve"> </w:t>
      </w:r>
    </w:p>
    <w:p w:rsidR="00790517" w:rsidRPr="009159D4" w:rsidRDefault="00790517">
      <w:pPr>
        <w:pStyle w:val="Default"/>
        <w:rPr>
          <w:b/>
          <w:bCs/>
          <w:sz w:val="18"/>
          <w:szCs w:val="18"/>
        </w:rPr>
      </w:pPr>
    </w:p>
    <w:p w:rsidR="00790517" w:rsidRPr="009159D4" w:rsidRDefault="00790517">
      <w:pPr>
        <w:pStyle w:val="Default"/>
        <w:rPr>
          <w:b/>
          <w:bCs/>
          <w:sz w:val="18"/>
          <w:szCs w:val="18"/>
        </w:rPr>
      </w:pPr>
    </w:p>
    <w:p w:rsidR="00790517" w:rsidRPr="003245F3" w:rsidRDefault="009D6C4B" w:rsidP="00F67AF3">
      <w:pPr>
        <w:pStyle w:val="Default"/>
        <w:jc w:val="thaiDistribute"/>
        <w:rPr>
          <w:rFonts w:eastAsia="Calibri"/>
          <w:b/>
          <w:bCs/>
          <w:color w:val="C00000"/>
          <w:sz w:val="20"/>
          <w:szCs w:val="20"/>
        </w:rPr>
      </w:pPr>
      <w:r w:rsidRPr="009159D4">
        <w:rPr>
          <w:rFonts w:eastAsia="Calibri"/>
          <w:b/>
          <w:bCs/>
          <w:color w:val="C00000"/>
          <w:sz w:val="20"/>
          <w:szCs w:val="20"/>
        </w:rPr>
        <w:t>My o</w:t>
      </w:r>
      <w:r w:rsidR="00790517" w:rsidRPr="009159D4">
        <w:rPr>
          <w:rFonts w:eastAsia="Calibri"/>
          <w:b/>
          <w:bCs/>
          <w:color w:val="C00000"/>
          <w:sz w:val="20"/>
          <w:szCs w:val="20"/>
        </w:rPr>
        <w:t xml:space="preserve">pinion </w:t>
      </w:r>
    </w:p>
    <w:p w:rsidR="00E3702E" w:rsidRPr="003245F3" w:rsidRDefault="00E3702E" w:rsidP="00F67AF3">
      <w:pPr>
        <w:pStyle w:val="Default"/>
        <w:jc w:val="thaiDistribute"/>
        <w:rPr>
          <w:rFonts w:eastAsia="Calibri"/>
          <w:b/>
          <w:bCs/>
          <w:color w:val="C00000"/>
          <w:sz w:val="12"/>
          <w:szCs w:val="12"/>
        </w:rPr>
      </w:pPr>
    </w:p>
    <w:p w:rsidR="009D6C4B" w:rsidRPr="009159D4" w:rsidRDefault="009D6C4B" w:rsidP="003245F3">
      <w:pPr>
        <w:spacing w:after="0" w:line="240" w:lineRule="auto"/>
        <w:rPr>
          <w:rFonts w:ascii="Arial" w:hAnsi="Arial" w:cs="Arial"/>
          <w:color w:val="000000"/>
          <w:sz w:val="18"/>
          <w:szCs w:val="18"/>
        </w:rPr>
      </w:pPr>
      <w:r w:rsidRPr="009159D4">
        <w:rPr>
          <w:rFonts w:ascii="Arial" w:hAnsi="Arial" w:cs="Arial"/>
          <w:color w:val="000000"/>
          <w:sz w:val="18"/>
          <w:szCs w:val="18"/>
        </w:rPr>
        <w:t xml:space="preserve">In my opinion, the consolidated </w:t>
      </w:r>
      <w:r w:rsidR="00AF7479" w:rsidRPr="009159D4">
        <w:rPr>
          <w:rFonts w:ascii="Arial" w:hAnsi="Arial" w:cs="Arial"/>
          <w:color w:val="000000"/>
          <w:sz w:val="18"/>
          <w:szCs w:val="18"/>
        </w:rPr>
        <w:t xml:space="preserve">financial statements </w:t>
      </w:r>
      <w:r w:rsidR="00886FDA" w:rsidRPr="009159D4">
        <w:rPr>
          <w:rFonts w:ascii="Arial" w:hAnsi="Arial" w:cs="Arial"/>
          <w:color w:val="000000"/>
          <w:sz w:val="18"/>
          <w:szCs w:val="18"/>
        </w:rPr>
        <w:t xml:space="preserve">of </w:t>
      </w:r>
      <w:proofErr w:type="spellStart"/>
      <w:r w:rsidR="00EB3D87" w:rsidRPr="009159D4">
        <w:rPr>
          <w:rFonts w:ascii="Arial" w:hAnsi="Arial" w:cs="Arial"/>
          <w:color w:val="000000"/>
          <w:sz w:val="18"/>
          <w:szCs w:val="18"/>
        </w:rPr>
        <w:t>Padaeng</w:t>
      </w:r>
      <w:proofErr w:type="spellEnd"/>
      <w:r w:rsidR="00EB3D87" w:rsidRPr="009159D4">
        <w:rPr>
          <w:rFonts w:ascii="Arial" w:hAnsi="Arial" w:cs="Arial"/>
          <w:color w:val="000000"/>
          <w:sz w:val="18"/>
          <w:szCs w:val="18"/>
        </w:rPr>
        <w:t xml:space="preserve"> Industry Public Company Limited</w:t>
      </w:r>
      <w:r w:rsidR="00886FDA" w:rsidRPr="009159D4">
        <w:rPr>
          <w:rFonts w:ascii="Arial" w:hAnsi="Arial" w:cs="Arial"/>
          <w:color w:val="000000"/>
          <w:sz w:val="18"/>
          <w:szCs w:val="18"/>
        </w:rPr>
        <w:t xml:space="preserve"> </w:t>
      </w:r>
      <w:r w:rsidR="00AF7479" w:rsidRPr="009159D4">
        <w:rPr>
          <w:rFonts w:ascii="Arial" w:hAnsi="Arial" w:cs="Arial"/>
          <w:color w:val="000000"/>
          <w:sz w:val="18"/>
          <w:szCs w:val="18"/>
        </w:rPr>
        <w:t xml:space="preserve">(the Company) </w:t>
      </w:r>
      <w:r w:rsidR="00886FDA" w:rsidRPr="009159D4">
        <w:rPr>
          <w:rFonts w:ascii="Arial" w:hAnsi="Arial" w:cs="Arial"/>
          <w:sz w:val="18"/>
          <w:szCs w:val="18"/>
          <w:lang w:val="en-US"/>
        </w:rPr>
        <w:t xml:space="preserve">and its subsidiaries (the Group) </w:t>
      </w:r>
      <w:r w:rsidR="00AF7479" w:rsidRPr="009159D4">
        <w:rPr>
          <w:rFonts w:ascii="Arial" w:hAnsi="Arial" w:cs="Arial"/>
          <w:sz w:val="18"/>
          <w:szCs w:val="18"/>
          <w:lang w:val="en-US"/>
        </w:rPr>
        <w:t xml:space="preserve">and the </w:t>
      </w:r>
      <w:r w:rsidR="00AF7479" w:rsidRPr="009159D4">
        <w:rPr>
          <w:rFonts w:ascii="Arial" w:hAnsi="Arial" w:cs="Arial"/>
          <w:color w:val="000000"/>
          <w:sz w:val="18"/>
          <w:szCs w:val="18"/>
        </w:rPr>
        <w:t xml:space="preserve">separate financial statements of the Company </w:t>
      </w:r>
      <w:r w:rsidRPr="009159D4">
        <w:rPr>
          <w:rFonts w:ascii="Arial" w:hAnsi="Arial" w:cs="Arial"/>
          <w:color w:val="000000"/>
          <w:sz w:val="18"/>
          <w:szCs w:val="18"/>
        </w:rPr>
        <w:t xml:space="preserve">present fairly, in all material respects, the consolidated and separate financial position of </w:t>
      </w:r>
      <w:r w:rsidRPr="009159D4">
        <w:rPr>
          <w:rFonts w:ascii="Arial" w:hAnsi="Arial" w:cs="Arial"/>
          <w:sz w:val="18"/>
          <w:szCs w:val="18"/>
          <w:lang w:val="en-US"/>
        </w:rPr>
        <w:t xml:space="preserve">the Group and of the Company </w:t>
      </w:r>
      <w:r w:rsidRPr="009159D4">
        <w:rPr>
          <w:rFonts w:ascii="Arial" w:hAnsi="Arial" w:cs="Arial"/>
          <w:color w:val="000000"/>
          <w:sz w:val="18"/>
          <w:szCs w:val="18"/>
        </w:rPr>
        <w:t xml:space="preserve">as at </w:t>
      </w:r>
      <w:r w:rsidR="00EB3D87" w:rsidRPr="003245F3">
        <w:rPr>
          <w:rFonts w:ascii="Arial" w:hAnsi="Arial" w:cs="Arial"/>
          <w:sz w:val="18"/>
          <w:szCs w:val="18"/>
          <w:lang w:val="en-US"/>
        </w:rPr>
        <w:t>31 December 2016</w:t>
      </w:r>
      <w:r w:rsidRPr="00A77F73">
        <w:rPr>
          <w:rFonts w:ascii="Arial" w:hAnsi="Arial" w:cs="Arial"/>
          <w:sz w:val="18"/>
          <w:szCs w:val="18"/>
          <w:lang w:val="en-US"/>
        </w:rPr>
        <w:t>,</w:t>
      </w:r>
      <w:r w:rsidRPr="00A77F73">
        <w:rPr>
          <w:rFonts w:ascii="Arial" w:hAnsi="Arial" w:cs="Arial"/>
          <w:color w:val="000000"/>
          <w:sz w:val="18"/>
          <w:szCs w:val="18"/>
        </w:rPr>
        <w:t xml:space="preserve"> and its consolidated and separate financial performance and its consolidated and separate cash flows fo</w:t>
      </w:r>
      <w:r w:rsidRPr="009159D4">
        <w:rPr>
          <w:rFonts w:ascii="Arial" w:hAnsi="Arial" w:cs="Arial"/>
          <w:color w:val="000000"/>
          <w:sz w:val="18"/>
          <w:szCs w:val="18"/>
        </w:rPr>
        <w:t>r the year then ended in accordance with Thai Financial Reporting Standards</w:t>
      </w:r>
      <w:r w:rsidRPr="009159D4">
        <w:rPr>
          <w:rFonts w:ascii="Arial" w:hAnsi="Arial" w:cs="Arial"/>
          <w:spacing w:val="-2"/>
          <w:sz w:val="18"/>
          <w:szCs w:val="18"/>
        </w:rPr>
        <w:t xml:space="preserve"> </w:t>
      </w:r>
      <w:r w:rsidRPr="009159D4">
        <w:rPr>
          <w:rFonts w:ascii="Arial" w:hAnsi="Arial" w:cs="Arial"/>
          <w:color w:val="000000"/>
          <w:sz w:val="18"/>
          <w:szCs w:val="18"/>
        </w:rPr>
        <w:t xml:space="preserve">(TFRSs). </w:t>
      </w:r>
    </w:p>
    <w:p w:rsidR="009D6C4B" w:rsidRPr="009159D4" w:rsidRDefault="009D6C4B" w:rsidP="00F67AF3">
      <w:pPr>
        <w:pStyle w:val="Default"/>
        <w:jc w:val="thaiDistribute"/>
        <w:rPr>
          <w:b/>
          <w:bCs/>
          <w:sz w:val="18"/>
          <w:szCs w:val="18"/>
        </w:rPr>
      </w:pPr>
    </w:p>
    <w:p w:rsidR="009D6C4B" w:rsidRPr="003245F3" w:rsidRDefault="009D6C4B" w:rsidP="00F67AF3">
      <w:pPr>
        <w:pStyle w:val="Default"/>
        <w:jc w:val="thaiDistribute"/>
        <w:rPr>
          <w:rFonts w:eastAsia="Calibri"/>
          <w:b/>
          <w:bCs/>
          <w:color w:val="C00000"/>
          <w:sz w:val="20"/>
          <w:szCs w:val="20"/>
        </w:rPr>
      </w:pPr>
      <w:r w:rsidRPr="009159D4">
        <w:rPr>
          <w:rFonts w:eastAsia="Calibri"/>
          <w:b/>
          <w:bCs/>
          <w:color w:val="C00000"/>
          <w:sz w:val="20"/>
          <w:szCs w:val="20"/>
        </w:rPr>
        <w:t>What I have audited</w:t>
      </w:r>
    </w:p>
    <w:p w:rsidR="00E3702E" w:rsidRPr="003245F3" w:rsidRDefault="00E3702E" w:rsidP="00F67AF3">
      <w:pPr>
        <w:pStyle w:val="Default"/>
        <w:jc w:val="thaiDistribute"/>
        <w:rPr>
          <w:rFonts w:eastAsia="Calibri"/>
          <w:b/>
          <w:bCs/>
          <w:color w:val="C00000"/>
          <w:sz w:val="12"/>
          <w:szCs w:val="12"/>
        </w:rPr>
      </w:pPr>
    </w:p>
    <w:p w:rsidR="00790517" w:rsidRPr="009159D4" w:rsidRDefault="00684C98" w:rsidP="008B018B">
      <w:pPr>
        <w:pStyle w:val="Default"/>
        <w:jc w:val="thaiDistribute"/>
        <w:rPr>
          <w:sz w:val="18"/>
          <w:szCs w:val="18"/>
        </w:rPr>
      </w:pPr>
      <w:r w:rsidRPr="009159D4">
        <w:rPr>
          <w:sz w:val="18"/>
          <w:szCs w:val="18"/>
        </w:rPr>
        <w:t>I</w:t>
      </w:r>
      <w:r w:rsidR="00790517" w:rsidRPr="009159D4">
        <w:rPr>
          <w:sz w:val="18"/>
          <w:szCs w:val="18"/>
        </w:rPr>
        <w:t xml:space="preserve"> have audited the </w:t>
      </w:r>
      <w:r w:rsidR="00886FDA" w:rsidRPr="009159D4">
        <w:rPr>
          <w:sz w:val="18"/>
          <w:szCs w:val="18"/>
        </w:rPr>
        <w:t xml:space="preserve">accompanying </w:t>
      </w:r>
      <w:r w:rsidR="00CE0DD6" w:rsidRPr="009159D4">
        <w:rPr>
          <w:sz w:val="18"/>
          <w:szCs w:val="18"/>
        </w:rPr>
        <w:t xml:space="preserve">consolidated </w:t>
      </w:r>
      <w:r w:rsidR="00AF7479" w:rsidRPr="009159D4">
        <w:rPr>
          <w:sz w:val="18"/>
          <w:szCs w:val="18"/>
        </w:rPr>
        <w:t xml:space="preserve">and separate </w:t>
      </w:r>
      <w:r w:rsidR="00790517" w:rsidRPr="009159D4">
        <w:rPr>
          <w:sz w:val="18"/>
          <w:szCs w:val="18"/>
        </w:rPr>
        <w:t xml:space="preserve">financial statements of </w:t>
      </w:r>
      <w:r w:rsidR="00886FDA" w:rsidRPr="009159D4">
        <w:rPr>
          <w:sz w:val="18"/>
          <w:szCs w:val="18"/>
        </w:rPr>
        <w:t xml:space="preserve">the Group </w:t>
      </w:r>
      <w:r w:rsidR="00212260" w:rsidRPr="009159D4">
        <w:rPr>
          <w:sz w:val="18"/>
          <w:szCs w:val="18"/>
        </w:rPr>
        <w:t xml:space="preserve">and </w:t>
      </w:r>
      <w:r w:rsidR="00886FDA" w:rsidRPr="009159D4">
        <w:rPr>
          <w:sz w:val="18"/>
          <w:szCs w:val="18"/>
        </w:rPr>
        <w:t>the Company,</w:t>
      </w:r>
      <w:r w:rsidR="00900250" w:rsidRPr="009159D4">
        <w:rPr>
          <w:i/>
          <w:iCs/>
          <w:sz w:val="18"/>
          <w:szCs w:val="18"/>
          <w:lang w:val="en-US"/>
        </w:rPr>
        <w:t xml:space="preserve"> </w:t>
      </w:r>
      <w:r w:rsidR="00790517" w:rsidRPr="009159D4">
        <w:rPr>
          <w:sz w:val="18"/>
          <w:szCs w:val="18"/>
        </w:rPr>
        <w:t xml:space="preserve">which comprise the </w:t>
      </w:r>
      <w:r w:rsidR="00CE0DD6" w:rsidRPr="009159D4">
        <w:rPr>
          <w:sz w:val="18"/>
          <w:szCs w:val="18"/>
        </w:rPr>
        <w:t xml:space="preserve">consolidated </w:t>
      </w:r>
      <w:r w:rsidR="002C6202" w:rsidRPr="009159D4">
        <w:rPr>
          <w:sz w:val="18"/>
          <w:szCs w:val="18"/>
        </w:rPr>
        <w:t xml:space="preserve">and </w:t>
      </w:r>
      <w:r w:rsidR="009D6C4B" w:rsidRPr="009159D4">
        <w:rPr>
          <w:sz w:val="18"/>
          <w:szCs w:val="18"/>
        </w:rPr>
        <w:t xml:space="preserve">separate </w:t>
      </w:r>
      <w:r w:rsidR="00790517" w:rsidRPr="009159D4">
        <w:rPr>
          <w:sz w:val="18"/>
          <w:szCs w:val="18"/>
        </w:rPr>
        <w:t>statement</w:t>
      </w:r>
      <w:r w:rsidR="002C6202" w:rsidRPr="009159D4">
        <w:rPr>
          <w:sz w:val="18"/>
          <w:szCs w:val="18"/>
        </w:rPr>
        <w:t>s</w:t>
      </w:r>
      <w:r w:rsidR="00790517" w:rsidRPr="009159D4">
        <w:rPr>
          <w:sz w:val="18"/>
          <w:szCs w:val="18"/>
        </w:rPr>
        <w:t xml:space="preserve"> of financial position as </w:t>
      </w:r>
      <w:r w:rsidR="00790517" w:rsidRPr="00A77F73">
        <w:rPr>
          <w:sz w:val="18"/>
          <w:szCs w:val="18"/>
        </w:rPr>
        <w:t xml:space="preserve">at </w:t>
      </w:r>
      <w:r w:rsidR="00053CAC" w:rsidRPr="003245F3">
        <w:rPr>
          <w:sz w:val="18"/>
          <w:szCs w:val="18"/>
          <w:lang w:val="en-US"/>
        </w:rPr>
        <w:t xml:space="preserve">31 December </w:t>
      </w:r>
      <w:proofErr w:type="gramStart"/>
      <w:r w:rsidR="00053CAC" w:rsidRPr="003245F3">
        <w:rPr>
          <w:sz w:val="18"/>
          <w:szCs w:val="18"/>
          <w:lang w:val="en-US"/>
        </w:rPr>
        <w:t>2016</w:t>
      </w:r>
      <w:r w:rsidR="00053CAC" w:rsidRPr="009159D4" w:rsidDel="00053CAC">
        <w:rPr>
          <w:i/>
          <w:iCs/>
          <w:sz w:val="18"/>
          <w:szCs w:val="18"/>
          <w:lang w:val="en-US"/>
        </w:rPr>
        <w:t xml:space="preserve"> </w:t>
      </w:r>
      <w:r w:rsidR="00790517" w:rsidRPr="009159D4">
        <w:rPr>
          <w:sz w:val="18"/>
          <w:szCs w:val="18"/>
        </w:rPr>
        <w:t>,</w:t>
      </w:r>
      <w:proofErr w:type="gramEnd"/>
      <w:r w:rsidR="00790517" w:rsidRPr="009159D4">
        <w:rPr>
          <w:sz w:val="18"/>
          <w:szCs w:val="18"/>
        </w:rPr>
        <w:t xml:space="preserve"> and the </w:t>
      </w:r>
      <w:r w:rsidR="002C6202" w:rsidRPr="009159D4">
        <w:rPr>
          <w:sz w:val="18"/>
          <w:szCs w:val="18"/>
        </w:rPr>
        <w:t xml:space="preserve">related </w:t>
      </w:r>
      <w:r w:rsidR="00CE0DD6" w:rsidRPr="009159D4">
        <w:rPr>
          <w:sz w:val="18"/>
          <w:szCs w:val="18"/>
        </w:rPr>
        <w:t xml:space="preserve">consolidated </w:t>
      </w:r>
      <w:r w:rsidR="002C6202" w:rsidRPr="009159D4">
        <w:rPr>
          <w:sz w:val="18"/>
          <w:szCs w:val="18"/>
        </w:rPr>
        <w:t xml:space="preserve">and </w:t>
      </w:r>
      <w:r w:rsidR="009D6C4B" w:rsidRPr="009159D4">
        <w:rPr>
          <w:sz w:val="18"/>
          <w:szCs w:val="18"/>
        </w:rPr>
        <w:t xml:space="preserve">separate </w:t>
      </w:r>
      <w:r w:rsidR="00790517" w:rsidRPr="009159D4">
        <w:rPr>
          <w:sz w:val="18"/>
          <w:szCs w:val="18"/>
        </w:rPr>
        <w:t>statement</w:t>
      </w:r>
      <w:r w:rsidR="002C6202" w:rsidRPr="009159D4">
        <w:rPr>
          <w:sz w:val="18"/>
          <w:szCs w:val="18"/>
        </w:rPr>
        <w:t>s</w:t>
      </w:r>
      <w:r w:rsidR="00790517" w:rsidRPr="009159D4">
        <w:rPr>
          <w:sz w:val="18"/>
          <w:szCs w:val="18"/>
        </w:rPr>
        <w:t xml:space="preserve"> of comprehensive income</w:t>
      </w:r>
      <w:r w:rsidR="002C6202" w:rsidRPr="009159D4">
        <w:rPr>
          <w:sz w:val="18"/>
          <w:szCs w:val="18"/>
        </w:rPr>
        <w:t>,</w:t>
      </w:r>
      <w:r w:rsidR="00790517" w:rsidRPr="009159D4">
        <w:rPr>
          <w:sz w:val="18"/>
          <w:szCs w:val="18"/>
        </w:rPr>
        <w:t xml:space="preserve"> changes in equity and cash flows for the year then ended, and notes to the </w:t>
      </w:r>
      <w:r w:rsidR="005B49D6" w:rsidRPr="009159D4">
        <w:rPr>
          <w:sz w:val="18"/>
          <w:szCs w:val="18"/>
        </w:rPr>
        <w:t xml:space="preserve">consolidated and </w:t>
      </w:r>
      <w:r w:rsidR="009D6C4B" w:rsidRPr="009159D4">
        <w:rPr>
          <w:sz w:val="18"/>
          <w:szCs w:val="18"/>
        </w:rPr>
        <w:t xml:space="preserve">separate </w:t>
      </w:r>
      <w:r w:rsidR="00790517" w:rsidRPr="009159D4">
        <w:rPr>
          <w:sz w:val="18"/>
          <w:szCs w:val="18"/>
        </w:rPr>
        <w:t xml:space="preserve">financial statements, including a summary of significant accounting policies. </w:t>
      </w:r>
    </w:p>
    <w:p w:rsidR="00790517" w:rsidRPr="009159D4" w:rsidRDefault="00790517" w:rsidP="00F67AF3">
      <w:pPr>
        <w:pStyle w:val="Default"/>
        <w:jc w:val="thaiDistribute"/>
        <w:rPr>
          <w:b/>
          <w:bCs/>
          <w:sz w:val="18"/>
          <w:szCs w:val="18"/>
        </w:rPr>
      </w:pPr>
    </w:p>
    <w:p w:rsidR="00790517" w:rsidRPr="003245F3" w:rsidRDefault="00790517" w:rsidP="00F67AF3">
      <w:pPr>
        <w:pStyle w:val="Default"/>
        <w:jc w:val="thaiDistribute"/>
        <w:rPr>
          <w:rFonts w:eastAsia="Calibri"/>
          <w:b/>
          <w:bCs/>
          <w:color w:val="C00000"/>
          <w:sz w:val="20"/>
          <w:szCs w:val="20"/>
        </w:rPr>
      </w:pPr>
      <w:r w:rsidRPr="009159D4">
        <w:rPr>
          <w:rFonts w:eastAsia="Calibri"/>
          <w:b/>
          <w:bCs/>
          <w:color w:val="C00000"/>
          <w:sz w:val="20"/>
          <w:szCs w:val="20"/>
        </w:rPr>
        <w:t xml:space="preserve">Basis for </w:t>
      </w:r>
      <w:r w:rsidR="00E07F94" w:rsidRPr="009159D4">
        <w:rPr>
          <w:rFonts w:eastAsia="Calibri"/>
          <w:b/>
          <w:bCs/>
          <w:color w:val="C00000"/>
          <w:sz w:val="20"/>
          <w:szCs w:val="20"/>
        </w:rPr>
        <w:t>o</w:t>
      </w:r>
      <w:r w:rsidRPr="009159D4">
        <w:rPr>
          <w:rFonts w:eastAsia="Calibri"/>
          <w:b/>
          <w:bCs/>
          <w:color w:val="C00000"/>
          <w:sz w:val="20"/>
          <w:szCs w:val="20"/>
        </w:rPr>
        <w:t xml:space="preserve">pinion </w:t>
      </w:r>
    </w:p>
    <w:p w:rsidR="00E3702E" w:rsidRPr="003245F3" w:rsidRDefault="00E3702E" w:rsidP="00F67AF3">
      <w:pPr>
        <w:pStyle w:val="Default"/>
        <w:jc w:val="thaiDistribute"/>
        <w:rPr>
          <w:rFonts w:eastAsia="Calibri"/>
          <w:b/>
          <w:bCs/>
          <w:color w:val="C00000"/>
          <w:sz w:val="12"/>
          <w:szCs w:val="12"/>
        </w:rPr>
      </w:pPr>
    </w:p>
    <w:p w:rsidR="00A77F73" w:rsidRDefault="00684C98" w:rsidP="008B018B">
      <w:pPr>
        <w:pStyle w:val="Default"/>
        <w:jc w:val="thaiDistribute"/>
        <w:rPr>
          <w:sz w:val="18"/>
          <w:szCs w:val="18"/>
        </w:rPr>
      </w:pPr>
      <w:r w:rsidRPr="009159D4">
        <w:rPr>
          <w:sz w:val="18"/>
          <w:szCs w:val="18"/>
        </w:rPr>
        <w:t xml:space="preserve">I conducted my audit in accordance with Thai Standards on Auditing (TSAs). My responsibilities under those standards are further described in the Auditor’s </w:t>
      </w:r>
      <w:r w:rsidR="00433A38" w:rsidRPr="009159D4">
        <w:rPr>
          <w:sz w:val="18"/>
          <w:szCs w:val="18"/>
        </w:rPr>
        <w:t>r</w:t>
      </w:r>
      <w:r w:rsidRPr="009159D4">
        <w:rPr>
          <w:sz w:val="18"/>
          <w:szCs w:val="18"/>
        </w:rPr>
        <w:t xml:space="preserve">esponsibilities for the </w:t>
      </w:r>
      <w:r w:rsidR="009D6C4B" w:rsidRPr="009159D4">
        <w:rPr>
          <w:sz w:val="18"/>
          <w:szCs w:val="18"/>
        </w:rPr>
        <w:t>a</w:t>
      </w:r>
      <w:r w:rsidRPr="009159D4">
        <w:rPr>
          <w:sz w:val="18"/>
          <w:szCs w:val="18"/>
        </w:rPr>
        <w:t>udit of the</w:t>
      </w:r>
      <w:r w:rsidR="005237A1" w:rsidRPr="009159D4">
        <w:rPr>
          <w:sz w:val="18"/>
          <w:szCs w:val="18"/>
        </w:rPr>
        <w:t xml:space="preserve"> </w:t>
      </w:r>
      <w:r w:rsidR="009D6C4B" w:rsidRPr="009159D4">
        <w:rPr>
          <w:sz w:val="18"/>
          <w:szCs w:val="18"/>
        </w:rPr>
        <w:t>c</w:t>
      </w:r>
      <w:r w:rsidR="005237A1" w:rsidRPr="009159D4">
        <w:rPr>
          <w:sz w:val="18"/>
          <w:szCs w:val="18"/>
        </w:rPr>
        <w:t xml:space="preserve">onsolidated and </w:t>
      </w:r>
      <w:r w:rsidR="009D6C4B" w:rsidRPr="009159D4">
        <w:rPr>
          <w:sz w:val="18"/>
          <w:szCs w:val="18"/>
        </w:rPr>
        <w:t>separate f</w:t>
      </w:r>
      <w:r w:rsidRPr="009159D4">
        <w:rPr>
          <w:sz w:val="18"/>
          <w:szCs w:val="18"/>
        </w:rPr>
        <w:t xml:space="preserve">inancial </w:t>
      </w:r>
      <w:r w:rsidR="009D6C4B" w:rsidRPr="009159D4">
        <w:rPr>
          <w:sz w:val="18"/>
          <w:szCs w:val="18"/>
        </w:rPr>
        <w:t>s</w:t>
      </w:r>
      <w:r w:rsidRPr="009159D4">
        <w:rPr>
          <w:sz w:val="18"/>
          <w:szCs w:val="18"/>
        </w:rPr>
        <w:t xml:space="preserve">tatements section of my report. I am independent of the </w:t>
      </w:r>
      <w:r w:rsidR="005237A1" w:rsidRPr="009159D4">
        <w:rPr>
          <w:sz w:val="18"/>
          <w:szCs w:val="18"/>
        </w:rPr>
        <w:t>Group</w:t>
      </w:r>
      <w:r w:rsidR="00AC1524" w:rsidRPr="009159D4">
        <w:rPr>
          <w:sz w:val="18"/>
          <w:szCs w:val="18"/>
        </w:rPr>
        <w:t xml:space="preserve"> and </w:t>
      </w:r>
      <w:r w:rsidR="007A3ACC" w:rsidRPr="009159D4">
        <w:rPr>
          <w:sz w:val="18"/>
          <w:szCs w:val="18"/>
        </w:rPr>
        <w:t xml:space="preserve">the </w:t>
      </w:r>
      <w:r w:rsidR="00AC1524" w:rsidRPr="009159D4">
        <w:rPr>
          <w:sz w:val="18"/>
          <w:szCs w:val="18"/>
        </w:rPr>
        <w:t>Company</w:t>
      </w:r>
      <w:r w:rsidRPr="009159D4">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9159D4">
        <w:rPr>
          <w:sz w:val="18"/>
          <w:szCs w:val="18"/>
        </w:rPr>
        <w:t xml:space="preserve">consolidated and separate </w:t>
      </w:r>
      <w:r w:rsidRPr="009159D4">
        <w:rPr>
          <w:sz w:val="18"/>
          <w:szCs w:val="18"/>
        </w:rPr>
        <w:t xml:space="preserve">financial statements, and I have fulfilled my other ethical responsibilities in accordance with these requirements. </w:t>
      </w:r>
    </w:p>
    <w:p w:rsidR="00684C98" w:rsidRPr="009159D4" w:rsidRDefault="00684C98" w:rsidP="008B018B">
      <w:pPr>
        <w:pStyle w:val="Default"/>
        <w:jc w:val="thaiDistribute"/>
        <w:rPr>
          <w:sz w:val="18"/>
          <w:szCs w:val="18"/>
        </w:rPr>
      </w:pPr>
      <w:r w:rsidRPr="009159D4">
        <w:rPr>
          <w:sz w:val="18"/>
          <w:szCs w:val="18"/>
        </w:rPr>
        <w:t>I</w:t>
      </w:r>
      <w:r w:rsidR="00A77F73">
        <w:rPr>
          <w:sz w:val="18"/>
          <w:szCs w:val="18"/>
        </w:rPr>
        <w:t xml:space="preserve"> </w:t>
      </w:r>
      <w:r w:rsidRPr="009159D4">
        <w:rPr>
          <w:sz w:val="18"/>
          <w:szCs w:val="18"/>
        </w:rPr>
        <w:t xml:space="preserve">believe that the audit evidence I have obtained is sufficient and appropriate to provide a basis for my opinion. </w:t>
      </w:r>
    </w:p>
    <w:p w:rsidR="00790517" w:rsidRPr="003245F3" w:rsidRDefault="00790517" w:rsidP="00F67AF3">
      <w:pPr>
        <w:pStyle w:val="Default"/>
        <w:jc w:val="thaiDistribute"/>
        <w:rPr>
          <w:b/>
          <w:bCs/>
          <w:sz w:val="18"/>
          <w:szCs w:val="18"/>
        </w:rPr>
      </w:pPr>
    </w:p>
    <w:p w:rsidR="00240078" w:rsidRPr="003245F3" w:rsidRDefault="00240078" w:rsidP="00240078">
      <w:pPr>
        <w:pStyle w:val="Default"/>
        <w:jc w:val="thaiDistribute"/>
        <w:rPr>
          <w:rFonts w:eastAsia="Calibri"/>
          <w:b/>
          <w:bCs/>
          <w:color w:val="C00000"/>
          <w:sz w:val="20"/>
          <w:szCs w:val="20"/>
        </w:rPr>
      </w:pPr>
      <w:r w:rsidRPr="009159D4">
        <w:rPr>
          <w:rFonts w:eastAsia="Calibri"/>
          <w:b/>
          <w:bCs/>
          <w:color w:val="C00000"/>
          <w:sz w:val="20"/>
          <w:szCs w:val="20"/>
        </w:rPr>
        <w:t>Key audit matters</w:t>
      </w:r>
    </w:p>
    <w:p w:rsidR="00240078" w:rsidRPr="003245F3" w:rsidRDefault="00240078" w:rsidP="00240078">
      <w:pPr>
        <w:pStyle w:val="Default"/>
        <w:jc w:val="thaiDistribute"/>
        <w:rPr>
          <w:rFonts w:eastAsia="Calibri"/>
          <w:b/>
          <w:bCs/>
          <w:color w:val="C00000"/>
          <w:sz w:val="12"/>
          <w:szCs w:val="12"/>
        </w:rPr>
      </w:pPr>
    </w:p>
    <w:p w:rsidR="00240078" w:rsidRPr="009159D4" w:rsidRDefault="00240078" w:rsidP="00240078">
      <w:pPr>
        <w:pStyle w:val="Default"/>
        <w:jc w:val="thaiDistribute"/>
        <w:rPr>
          <w:sz w:val="18"/>
          <w:szCs w:val="18"/>
        </w:rPr>
      </w:pPr>
      <w:r w:rsidRPr="009159D4">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240078" w:rsidRPr="009159D4" w:rsidRDefault="00240078" w:rsidP="00240078">
      <w:pPr>
        <w:pStyle w:val="Default"/>
        <w:jc w:val="thaiDistribute"/>
        <w:rPr>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240078" w:rsidRPr="00F94D31" w:rsidTr="003245F3">
        <w:trPr>
          <w:trHeight w:val="346"/>
          <w:tblHeader/>
        </w:trPr>
        <w:tc>
          <w:tcPr>
            <w:tcW w:w="4320" w:type="dxa"/>
            <w:shd w:val="clear" w:color="auto" w:fill="ED7D31" w:themeFill="accent2"/>
            <w:vAlign w:val="center"/>
          </w:tcPr>
          <w:p w:rsidR="00240078" w:rsidRPr="00F94D31" w:rsidRDefault="00240078" w:rsidP="00D76813">
            <w:pPr>
              <w:pStyle w:val="Default"/>
              <w:ind w:right="244"/>
              <w:jc w:val="center"/>
              <w:rPr>
                <w:b/>
                <w:bCs/>
                <w:color w:val="FFFFFF" w:themeColor="background1"/>
                <w:sz w:val="18"/>
                <w:szCs w:val="18"/>
              </w:rPr>
            </w:pPr>
            <w:r w:rsidRPr="00F94D31">
              <w:rPr>
                <w:b/>
                <w:bCs/>
                <w:color w:val="FFFFFF" w:themeColor="background1"/>
                <w:sz w:val="18"/>
                <w:szCs w:val="18"/>
              </w:rPr>
              <w:t>Key audit matter</w:t>
            </w:r>
          </w:p>
        </w:tc>
        <w:tc>
          <w:tcPr>
            <w:tcW w:w="4860" w:type="dxa"/>
            <w:shd w:val="clear" w:color="auto" w:fill="ED7D31" w:themeFill="accent2"/>
            <w:vAlign w:val="center"/>
          </w:tcPr>
          <w:p w:rsidR="00240078" w:rsidRPr="00F94D31" w:rsidRDefault="00240078" w:rsidP="00D76813">
            <w:pPr>
              <w:pStyle w:val="Default"/>
              <w:jc w:val="center"/>
              <w:rPr>
                <w:b/>
                <w:bCs/>
                <w:color w:val="FFFFFF" w:themeColor="background1"/>
                <w:sz w:val="18"/>
                <w:szCs w:val="18"/>
              </w:rPr>
            </w:pPr>
            <w:r w:rsidRPr="00F94D31">
              <w:rPr>
                <w:b/>
                <w:bCs/>
                <w:color w:val="FFFFFF" w:themeColor="background1"/>
                <w:sz w:val="18"/>
                <w:szCs w:val="18"/>
              </w:rPr>
              <w:t>How my audit addressed the key audit matter</w:t>
            </w:r>
          </w:p>
        </w:tc>
      </w:tr>
      <w:tr w:rsidR="00240078" w:rsidRPr="00F94D31" w:rsidTr="00D76813">
        <w:tc>
          <w:tcPr>
            <w:tcW w:w="4320" w:type="dxa"/>
            <w:shd w:val="clear" w:color="auto" w:fill="auto"/>
          </w:tcPr>
          <w:p w:rsidR="00240078" w:rsidRPr="003245F3" w:rsidRDefault="00240078" w:rsidP="00D76813">
            <w:pPr>
              <w:pStyle w:val="Default"/>
              <w:ind w:right="244"/>
              <w:jc w:val="thaiDistribute"/>
              <w:rPr>
                <w:b/>
                <w:bCs/>
                <w:i/>
                <w:iCs/>
                <w:sz w:val="18"/>
                <w:szCs w:val="18"/>
              </w:rPr>
            </w:pPr>
          </w:p>
          <w:p w:rsidR="00B7746C" w:rsidRPr="003245F3" w:rsidRDefault="00B7746C" w:rsidP="00B7746C">
            <w:pPr>
              <w:spacing w:before="60" w:after="60" w:line="264" w:lineRule="auto"/>
              <w:jc w:val="thaiDistribute"/>
              <w:rPr>
                <w:rFonts w:ascii="Arial" w:hAnsi="Arial" w:cs="Arial"/>
                <w:b/>
                <w:bCs/>
                <w:sz w:val="18"/>
                <w:szCs w:val="18"/>
              </w:rPr>
            </w:pPr>
            <w:r w:rsidRPr="003245F3">
              <w:rPr>
                <w:rFonts w:ascii="Arial" w:hAnsi="Arial" w:cs="Arial"/>
                <w:b/>
                <w:bCs/>
                <w:sz w:val="18"/>
                <w:szCs w:val="18"/>
              </w:rPr>
              <w:t>Litigation claim – Cadmium Court Cases</w:t>
            </w:r>
          </w:p>
          <w:p w:rsidR="00240078" w:rsidRPr="003245F3" w:rsidRDefault="00240078" w:rsidP="00D76813">
            <w:pPr>
              <w:pStyle w:val="Default"/>
              <w:ind w:right="244"/>
              <w:jc w:val="thaiDistribute"/>
              <w:rPr>
                <w:b/>
                <w:bCs/>
                <w:i/>
                <w:iCs/>
                <w:sz w:val="18"/>
                <w:szCs w:val="18"/>
              </w:rPr>
            </w:pPr>
          </w:p>
        </w:tc>
        <w:tc>
          <w:tcPr>
            <w:tcW w:w="4860" w:type="dxa"/>
            <w:shd w:val="clear" w:color="auto" w:fill="F2F2F2" w:themeFill="background1" w:themeFillShade="F2"/>
          </w:tcPr>
          <w:p w:rsidR="00240078" w:rsidRPr="00F94D31" w:rsidRDefault="00240078" w:rsidP="00D76813">
            <w:pPr>
              <w:pStyle w:val="Default"/>
              <w:jc w:val="thaiDistribute"/>
              <w:rPr>
                <w:sz w:val="18"/>
                <w:szCs w:val="18"/>
              </w:rPr>
            </w:pPr>
          </w:p>
          <w:p w:rsidR="00C459F0" w:rsidRPr="00F94D31" w:rsidRDefault="00C459F0" w:rsidP="00D76813">
            <w:pPr>
              <w:pStyle w:val="Default"/>
              <w:jc w:val="thaiDistribute"/>
              <w:rPr>
                <w:sz w:val="18"/>
                <w:szCs w:val="18"/>
              </w:rPr>
            </w:pPr>
          </w:p>
        </w:tc>
      </w:tr>
      <w:tr w:rsidR="00240078" w:rsidRPr="00F94D31" w:rsidTr="00D76813">
        <w:tc>
          <w:tcPr>
            <w:tcW w:w="4320" w:type="dxa"/>
            <w:shd w:val="clear" w:color="auto" w:fill="auto"/>
          </w:tcPr>
          <w:p w:rsidR="00B7746C" w:rsidRPr="003245F3" w:rsidRDefault="00251F76" w:rsidP="003245F3">
            <w:pPr>
              <w:jc w:val="thaiDistribute"/>
              <w:rPr>
                <w:rFonts w:ascii="Arial" w:hAnsi="Arial" w:cs="Arial"/>
                <w:bCs/>
                <w:spacing w:val="-6"/>
                <w:sz w:val="18"/>
                <w:szCs w:val="18"/>
              </w:rPr>
            </w:pPr>
            <w:r w:rsidRPr="00F94D31">
              <w:rPr>
                <w:rFonts w:ascii="Arial" w:hAnsi="Arial" w:cs="Arial"/>
                <w:bCs/>
                <w:spacing w:val="-6"/>
                <w:sz w:val="18"/>
                <w:szCs w:val="18"/>
              </w:rPr>
              <w:t>Refer to note 3</w:t>
            </w:r>
            <w:r w:rsidR="001C552A" w:rsidRPr="00F94D31">
              <w:rPr>
                <w:rFonts w:ascii="Arial" w:hAnsi="Arial" w:cs="Arial"/>
                <w:bCs/>
                <w:spacing w:val="-6"/>
                <w:sz w:val="18"/>
                <w:szCs w:val="18"/>
              </w:rPr>
              <w:t>3</w:t>
            </w:r>
            <w:r w:rsidR="00B7746C" w:rsidRPr="003245F3">
              <w:rPr>
                <w:rFonts w:ascii="Arial" w:hAnsi="Arial" w:cs="Arial"/>
                <w:bCs/>
                <w:spacing w:val="-6"/>
                <w:sz w:val="18"/>
                <w:szCs w:val="18"/>
              </w:rPr>
              <w:t xml:space="preserve"> – litigation</w:t>
            </w:r>
            <w:r w:rsidR="0093540C" w:rsidRPr="00F94D31">
              <w:rPr>
                <w:rFonts w:ascii="Arial" w:hAnsi="Arial" w:cs="Arial"/>
                <w:bCs/>
                <w:spacing w:val="-6"/>
                <w:sz w:val="18"/>
                <w:szCs w:val="18"/>
              </w:rPr>
              <w:t>.</w:t>
            </w:r>
            <w:r w:rsidR="00B7746C" w:rsidRPr="003245F3">
              <w:rPr>
                <w:rFonts w:ascii="Arial" w:hAnsi="Arial" w:cs="Arial"/>
                <w:bCs/>
                <w:spacing w:val="-6"/>
                <w:sz w:val="18"/>
                <w:szCs w:val="18"/>
              </w:rPr>
              <w:t xml:space="preserve"> </w:t>
            </w:r>
          </w:p>
          <w:p w:rsidR="00B7746C" w:rsidRPr="003245F3" w:rsidRDefault="00F94D31" w:rsidP="000C259A">
            <w:pPr>
              <w:jc w:val="thaiDistribute"/>
              <w:rPr>
                <w:rFonts w:ascii="Arial" w:hAnsi="Arial" w:cs="Arial"/>
                <w:bCs/>
                <w:spacing w:val="-4"/>
                <w:sz w:val="18"/>
                <w:szCs w:val="18"/>
              </w:rPr>
            </w:pPr>
            <w:r w:rsidRPr="003245F3">
              <w:rPr>
                <w:rFonts w:ascii="Arial" w:hAnsi="Arial" w:cs="Arial"/>
                <w:bCs/>
                <w:sz w:val="18"/>
                <w:szCs w:val="18"/>
              </w:rPr>
              <w:t xml:space="preserve">The Company is involved in five cases of litigation that are currently going through the judicial process. The Plaintiffs are demanding that the Company pay damages of Baht 3,949 million as compensation for causing cadmium contamination in Mae Sod district in </w:t>
            </w:r>
            <w:proofErr w:type="spellStart"/>
            <w:r w:rsidRPr="003245F3">
              <w:rPr>
                <w:rFonts w:ascii="Arial" w:hAnsi="Arial" w:cs="Arial"/>
                <w:bCs/>
                <w:sz w:val="18"/>
                <w:szCs w:val="18"/>
              </w:rPr>
              <w:t>Tak</w:t>
            </w:r>
            <w:proofErr w:type="spellEnd"/>
            <w:r w:rsidRPr="003245F3">
              <w:rPr>
                <w:rFonts w:ascii="Arial" w:hAnsi="Arial" w:cs="Arial"/>
                <w:bCs/>
                <w:sz w:val="18"/>
                <w:szCs w:val="18"/>
              </w:rPr>
              <w:t xml:space="preserve"> province. Assessing whether the information should be disclosed and the amount of damages should be recorded in accordance with Thai Accounting Standards 37</w:t>
            </w:r>
            <w:r w:rsidRPr="003245F3">
              <w:rPr>
                <w:rFonts w:ascii="Arial" w:hAnsi="Arial" w:cs="Angsana New"/>
                <w:bCs/>
                <w:sz w:val="18"/>
                <w:szCs w:val="18"/>
                <w:cs/>
              </w:rPr>
              <w:t xml:space="preserve"> </w:t>
            </w:r>
            <w:r w:rsidRPr="003245F3">
              <w:rPr>
                <w:rFonts w:ascii="Arial" w:hAnsi="Arial" w:cs="Arial"/>
                <w:bCs/>
                <w:sz w:val="18"/>
                <w:szCs w:val="18"/>
              </w:rPr>
              <w:t>‘Provision, Contingent liabilities and Contingent Assets’ (TAS37), which requires management to exercise significant judgement, depending on each case.</w:t>
            </w:r>
            <w:r w:rsidR="00B7746C" w:rsidRPr="003245F3">
              <w:rPr>
                <w:rFonts w:ascii="Arial" w:hAnsi="Arial" w:cs="Arial"/>
                <w:bCs/>
                <w:spacing w:val="-4"/>
                <w:sz w:val="18"/>
                <w:szCs w:val="18"/>
                <w:cs/>
              </w:rPr>
              <w:t xml:space="preserve"> </w:t>
            </w:r>
          </w:p>
          <w:p w:rsidR="00B7746C" w:rsidRPr="003245F3" w:rsidRDefault="00B7746C" w:rsidP="000C259A">
            <w:pPr>
              <w:jc w:val="thaiDistribute"/>
              <w:rPr>
                <w:rFonts w:ascii="Arial" w:hAnsi="Arial" w:cs="Arial"/>
                <w:bCs/>
                <w:sz w:val="18"/>
                <w:szCs w:val="18"/>
              </w:rPr>
            </w:pPr>
          </w:p>
          <w:p w:rsidR="00B7746C" w:rsidRPr="003245F3" w:rsidRDefault="00F94D31" w:rsidP="000C259A">
            <w:pPr>
              <w:jc w:val="thaiDistribute"/>
              <w:rPr>
                <w:rFonts w:ascii="Arial" w:hAnsi="Arial" w:cs="Arial"/>
                <w:sz w:val="18"/>
                <w:szCs w:val="18"/>
              </w:rPr>
            </w:pPr>
            <w:r w:rsidRPr="003245F3">
              <w:rPr>
                <w:rFonts w:ascii="Arial" w:hAnsi="Arial" w:cs="Arial"/>
                <w:sz w:val="18"/>
                <w:szCs w:val="18"/>
              </w:rPr>
              <w:t xml:space="preserve">As at 31 December 2016, the Company had set up a provision for claims plus interest of Baht 74 million, which was based on the latest results from the Appeal Court in each case. </w:t>
            </w:r>
            <w:r w:rsidRPr="003245F3">
              <w:rPr>
                <w:rFonts w:ascii="Arial" w:hAnsi="Arial" w:cs="Arial"/>
                <w:color w:val="000000"/>
                <w:sz w:val="18"/>
                <w:szCs w:val="18"/>
              </w:rPr>
              <w:t>If judgement had not been reached by the Appeal Court, damages in similar cases would be applied.</w:t>
            </w:r>
            <w:r w:rsidRPr="003245F3">
              <w:rPr>
                <w:rFonts w:ascii="Arial" w:hAnsi="Arial" w:cs="Arial"/>
                <w:sz w:val="18"/>
                <w:szCs w:val="18"/>
              </w:rPr>
              <w:t xml:space="preserve"> Management believes that the </w:t>
            </w:r>
            <w:proofErr w:type="gramStart"/>
            <w:r w:rsidRPr="003245F3">
              <w:rPr>
                <w:rFonts w:ascii="Arial" w:hAnsi="Arial" w:cs="Arial"/>
                <w:sz w:val="18"/>
                <w:szCs w:val="18"/>
              </w:rPr>
              <w:t>liability against these claims are</w:t>
            </w:r>
            <w:proofErr w:type="gramEnd"/>
            <w:r w:rsidRPr="003245F3">
              <w:rPr>
                <w:rFonts w:ascii="Arial" w:hAnsi="Arial" w:cs="Arial"/>
                <w:sz w:val="18"/>
                <w:szCs w:val="18"/>
              </w:rPr>
              <w:t xml:space="preserve"> stated prudently and conservatively.</w:t>
            </w:r>
          </w:p>
          <w:p w:rsidR="00B7746C" w:rsidRPr="003245F3" w:rsidRDefault="00B7746C" w:rsidP="00723F38">
            <w:pPr>
              <w:jc w:val="thaiDistribute"/>
              <w:rPr>
                <w:rFonts w:ascii="Arial" w:hAnsi="Arial" w:cs="Arial"/>
                <w:bCs/>
                <w:sz w:val="18"/>
                <w:szCs w:val="18"/>
              </w:rPr>
            </w:pPr>
          </w:p>
          <w:p w:rsidR="00240078" w:rsidRPr="003245F3" w:rsidRDefault="00F94D31" w:rsidP="00723F38">
            <w:pPr>
              <w:pStyle w:val="Default"/>
              <w:ind w:right="244"/>
              <w:jc w:val="thaiDistribute"/>
              <w:rPr>
                <w:spacing w:val="-7"/>
                <w:sz w:val="18"/>
                <w:szCs w:val="18"/>
              </w:rPr>
            </w:pPr>
            <w:r w:rsidRPr="003245F3">
              <w:rPr>
                <w:sz w:val="18"/>
                <w:szCs w:val="18"/>
              </w:rPr>
              <w:t>I focused on this area because these commitments and contingencies are potentially significant involving management’s judgement in determining the appropriate provision for the cases that have not been judged by the Appeal Court. In addition, the assessment process is based on potential future developments.</w:t>
            </w:r>
          </w:p>
        </w:tc>
        <w:tc>
          <w:tcPr>
            <w:tcW w:w="4860" w:type="dxa"/>
            <w:shd w:val="clear" w:color="auto" w:fill="F2F2F2" w:themeFill="background1" w:themeFillShade="F2"/>
          </w:tcPr>
          <w:p w:rsidR="00F94D31" w:rsidRPr="003245F3" w:rsidRDefault="00F94D31" w:rsidP="00F94D31">
            <w:pPr>
              <w:spacing w:before="60" w:after="60" w:line="264" w:lineRule="auto"/>
              <w:jc w:val="thaiDistribute"/>
              <w:rPr>
                <w:rFonts w:ascii="Arial" w:hAnsi="Arial" w:cs="Arial"/>
                <w:bCs/>
                <w:sz w:val="18"/>
                <w:szCs w:val="18"/>
              </w:rPr>
            </w:pPr>
            <w:r w:rsidRPr="003245F3">
              <w:rPr>
                <w:rFonts w:ascii="Arial" w:hAnsi="Arial" w:cs="Arial"/>
                <w:bCs/>
                <w:sz w:val="18"/>
                <w:szCs w:val="18"/>
              </w:rPr>
              <w:lastRenderedPageBreak/>
              <w:t xml:space="preserve">I carried out the following procedures </w:t>
            </w:r>
            <w:r w:rsidRPr="003245F3">
              <w:rPr>
                <w:rFonts w:ascii="Arial" w:hAnsi="Arial" w:cs="Arial"/>
                <w:sz w:val="18"/>
                <w:szCs w:val="18"/>
              </w:rPr>
              <w:t>to obtain evidence for management’s assessment</w:t>
            </w:r>
            <w:r w:rsidRPr="003245F3">
              <w:rPr>
                <w:rFonts w:ascii="Arial" w:hAnsi="Arial" w:cs="Arial"/>
                <w:sz w:val="18"/>
                <w:szCs w:val="18"/>
                <w:cs/>
              </w:rPr>
              <w:t xml:space="preserve"> </w:t>
            </w:r>
            <w:r w:rsidRPr="003245F3">
              <w:rPr>
                <w:rFonts w:ascii="Arial" w:hAnsi="Arial" w:cs="Arial"/>
                <w:sz w:val="18"/>
                <w:szCs w:val="18"/>
              </w:rPr>
              <w:t>in relation to the provision for claims</w:t>
            </w:r>
            <w:r w:rsidRPr="003245F3">
              <w:rPr>
                <w:rFonts w:ascii="Arial" w:hAnsi="Arial" w:cs="Arial"/>
                <w:bCs/>
                <w:sz w:val="18"/>
                <w:szCs w:val="18"/>
              </w:rPr>
              <w:t>:</w:t>
            </w:r>
          </w:p>
          <w:p w:rsidR="00F94D31" w:rsidRPr="003245F3" w:rsidRDefault="00F94D31" w:rsidP="00F94D31">
            <w:pPr>
              <w:pStyle w:val="ListParagraph"/>
              <w:numPr>
                <w:ilvl w:val="0"/>
                <w:numId w:val="5"/>
              </w:numPr>
              <w:spacing w:before="60" w:after="60" w:line="264" w:lineRule="auto"/>
              <w:ind w:left="239" w:hanging="223"/>
              <w:jc w:val="thaiDistribute"/>
              <w:rPr>
                <w:rFonts w:ascii="Arial" w:hAnsi="Arial" w:cs="Arial"/>
                <w:b/>
                <w:bCs/>
                <w:sz w:val="18"/>
                <w:szCs w:val="18"/>
              </w:rPr>
            </w:pPr>
            <w:r w:rsidRPr="003245F3">
              <w:rPr>
                <w:rFonts w:ascii="Arial" w:hAnsi="Arial" w:cs="Arial"/>
                <w:bCs/>
                <w:sz w:val="18"/>
                <w:szCs w:val="18"/>
              </w:rPr>
              <w:t>Held discussions with management and Audit Committee to understand the litigation and status of any Court decision.</w:t>
            </w:r>
          </w:p>
          <w:p w:rsidR="00F94D31" w:rsidRPr="003245F3" w:rsidRDefault="00F94D31" w:rsidP="00F94D31">
            <w:pPr>
              <w:pStyle w:val="ListParagraph"/>
              <w:numPr>
                <w:ilvl w:val="0"/>
                <w:numId w:val="5"/>
              </w:numPr>
              <w:spacing w:before="60" w:after="60" w:line="264" w:lineRule="auto"/>
              <w:ind w:left="239" w:hanging="223"/>
              <w:jc w:val="thaiDistribute"/>
              <w:rPr>
                <w:rFonts w:ascii="Arial" w:hAnsi="Arial" w:cs="Arial"/>
                <w:b/>
                <w:bCs/>
                <w:sz w:val="18"/>
                <w:szCs w:val="18"/>
              </w:rPr>
            </w:pPr>
            <w:r w:rsidRPr="003245F3">
              <w:rPr>
                <w:rFonts w:ascii="Arial" w:hAnsi="Arial" w:cs="Arial"/>
                <w:bCs/>
                <w:sz w:val="18"/>
                <w:szCs w:val="18"/>
              </w:rPr>
              <w:t>Read and gained understanding of the Court decision.</w:t>
            </w:r>
          </w:p>
          <w:p w:rsidR="00F94D31" w:rsidRPr="003245F3" w:rsidRDefault="00F94D31" w:rsidP="00F94D31">
            <w:pPr>
              <w:pStyle w:val="ListParagraph"/>
              <w:numPr>
                <w:ilvl w:val="0"/>
                <w:numId w:val="5"/>
              </w:numPr>
              <w:spacing w:before="60" w:after="60" w:line="264" w:lineRule="auto"/>
              <w:ind w:left="239" w:hanging="223"/>
              <w:jc w:val="thaiDistribute"/>
              <w:rPr>
                <w:rFonts w:ascii="Arial" w:hAnsi="Arial" w:cs="Arial"/>
                <w:b/>
                <w:bCs/>
                <w:sz w:val="18"/>
                <w:szCs w:val="18"/>
              </w:rPr>
            </w:pPr>
            <w:r w:rsidRPr="003245F3">
              <w:rPr>
                <w:rFonts w:ascii="Arial" w:hAnsi="Arial" w:cs="Arial"/>
                <w:bCs/>
                <w:sz w:val="18"/>
                <w:szCs w:val="18"/>
              </w:rPr>
              <w:t>Assessed the internal legal advice.</w:t>
            </w:r>
          </w:p>
          <w:p w:rsidR="00F94D31" w:rsidRPr="003245F3" w:rsidRDefault="00F94D31" w:rsidP="00F94D31">
            <w:pPr>
              <w:pStyle w:val="ListParagraph"/>
              <w:numPr>
                <w:ilvl w:val="0"/>
                <w:numId w:val="5"/>
              </w:numPr>
              <w:spacing w:before="60" w:after="60" w:line="264" w:lineRule="auto"/>
              <w:ind w:left="239" w:hanging="223"/>
              <w:jc w:val="thaiDistribute"/>
              <w:rPr>
                <w:rFonts w:ascii="Arial" w:hAnsi="Arial" w:cs="Arial"/>
                <w:sz w:val="18"/>
                <w:szCs w:val="18"/>
              </w:rPr>
            </w:pPr>
            <w:r w:rsidRPr="003245F3">
              <w:rPr>
                <w:rFonts w:ascii="Arial" w:hAnsi="Arial" w:cs="Arial"/>
                <w:sz w:val="18"/>
                <w:szCs w:val="18"/>
              </w:rPr>
              <w:t>Challenged the assumptions included in management’s calculation of the potential compensation.</w:t>
            </w:r>
          </w:p>
          <w:p w:rsidR="009159D4" w:rsidRPr="00F94D31" w:rsidRDefault="009159D4" w:rsidP="003245F3">
            <w:pPr>
              <w:jc w:val="thaiDistribute"/>
              <w:rPr>
                <w:rFonts w:ascii="Arial" w:hAnsi="Arial" w:cs="Arial"/>
                <w:sz w:val="18"/>
                <w:szCs w:val="18"/>
              </w:rPr>
            </w:pPr>
          </w:p>
          <w:p w:rsidR="009159D4" w:rsidRPr="003245F3" w:rsidRDefault="009159D4" w:rsidP="003245F3">
            <w:pPr>
              <w:jc w:val="thaiDistribute"/>
              <w:rPr>
                <w:rFonts w:ascii="Arial" w:hAnsi="Arial" w:cs="Arial"/>
                <w:sz w:val="18"/>
                <w:szCs w:val="18"/>
              </w:rPr>
            </w:pPr>
          </w:p>
          <w:p w:rsidR="00B7746C" w:rsidRPr="003245F3" w:rsidRDefault="00451658" w:rsidP="003245F3">
            <w:pPr>
              <w:pStyle w:val="ListParagraph"/>
              <w:numPr>
                <w:ilvl w:val="0"/>
                <w:numId w:val="5"/>
              </w:numPr>
              <w:ind w:left="239" w:hanging="223"/>
              <w:jc w:val="thaiDistribute"/>
              <w:rPr>
                <w:rFonts w:ascii="Arial" w:hAnsi="Arial" w:cs="Arial"/>
                <w:b/>
                <w:bCs/>
                <w:spacing w:val="-4"/>
                <w:sz w:val="18"/>
                <w:szCs w:val="18"/>
              </w:rPr>
            </w:pPr>
            <w:r w:rsidRPr="003245F3">
              <w:rPr>
                <w:rFonts w:ascii="Arial" w:hAnsi="Arial" w:cs="Arial"/>
                <w:bCs/>
                <w:spacing w:val="-4"/>
                <w:sz w:val="18"/>
                <w:szCs w:val="18"/>
              </w:rPr>
              <w:t>Sent out</w:t>
            </w:r>
            <w:r w:rsidR="00B7746C" w:rsidRPr="003245F3">
              <w:rPr>
                <w:rFonts w:ascii="Arial" w:hAnsi="Arial" w:cs="Arial"/>
                <w:bCs/>
                <w:spacing w:val="-4"/>
                <w:sz w:val="18"/>
                <w:szCs w:val="18"/>
              </w:rPr>
              <w:t xml:space="preserve"> confirmations and </w:t>
            </w:r>
            <w:r w:rsidR="00F94D31" w:rsidRPr="003245F3">
              <w:rPr>
                <w:rFonts w:ascii="Arial" w:hAnsi="Arial" w:cs="Arial"/>
                <w:bCs/>
                <w:sz w:val="18"/>
                <w:szCs w:val="18"/>
              </w:rPr>
              <w:t>obtained confirmations from two external legal counsels to compare their expert opinions to management’s position and disclosure to the financial statements in Note 30.</w:t>
            </w:r>
          </w:p>
          <w:p w:rsidR="00B7746C" w:rsidRPr="003245F3" w:rsidRDefault="00B7746C" w:rsidP="003245F3">
            <w:pPr>
              <w:pStyle w:val="ListParagraph"/>
              <w:ind w:left="239"/>
              <w:jc w:val="thaiDistribute"/>
              <w:rPr>
                <w:rFonts w:ascii="Arial" w:hAnsi="Arial" w:cs="Arial"/>
                <w:b/>
                <w:bCs/>
                <w:sz w:val="18"/>
                <w:szCs w:val="18"/>
              </w:rPr>
            </w:pPr>
          </w:p>
          <w:p w:rsidR="00B7746C" w:rsidRPr="003245F3" w:rsidRDefault="00F94D31" w:rsidP="003245F3">
            <w:pPr>
              <w:jc w:val="thaiDistribute"/>
              <w:rPr>
                <w:rFonts w:ascii="Arial" w:hAnsi="Arial" w:cs="Arial"/>
                <w:bCs/>
                <w:sz w:val="18"/>
                <w:szCs w:val="18"/>
              </w:rPr>
            </w:pPr>
            <w:r w:rsidRPr="003245F3">
              <w:rPr>
                <w:rFonts w:ascii="Arial" w:hAnsi="Arial" w:cs="Arial"/>
                <w:bCs/>
                <w:sz w:val="18"/>
                <w:szCs w:val="18"/>
              </w:rPr>
              <w:t>From these procedures, I noted that the litigation meets the criteria to recognise the provision identified in TAS 37. Management’s assumption was reasonable. The details and status of the litigation were properly disclosed in the note to the financial statements.</w:t>
            </w:r>
            <w:r w:rsidR="00B7746C" w:rsidRPr="003245F3">
              <w:rPr>
                <w:rFonts w:ascii="Arial" w:hAnsi="Arial" w:cs="Arial"/>
                <w:bCs/>
                <w:sz w:val="18"/>
                <w:szCs w:val="18"/>
                <w:cs/>
              </w:rPr>
              <w:t xml:space="preserve"> </w:t>
            </w:r>
          </w:p>
          <w:p w:rsidR="00240078" w:rsidRPr="00F94D31" w:rsidRDefault="00B7746C" w:rsidP="000C259A">
            <w:pPr>
              <w:pStyle w:val="Default"/>
              <w:jc w:val="thaiDistribute"/>
              <w:rPr>
                <w:sz w:val="18"/>
                <w:szCs w:val="18"/>
              </w:rPr>
            </w:pPr>
            <w:r w:rsidRPr="00F94D31" w:rsidDel="00B7746C">
              <w:rPr>
                <w:sz w:val="18"/>
                <w:szCs w:val="18"/>
              </w:rPr>
              <w:t xml:space="preserve"> </w:t>
            </w:r>
          </w:p>
        </w:tc>
      </w:tr>
      <w:tr w:rsidR="00240078" w:rsidRPr="00F94D31" w:rsidTr="00D76813">
        <w:tc>
          <w:tcPr>
            <w:tcW w:w="4320" w:type="dxa"/>
            <w:tcBorders>
              <w:bottom w:val="dotted" w:sz="4" w:space="0" w:color="ED8731"/>
            </w:tcBorders>
            <w:shd w:val="clear" w:color="auto" w:fill="auto"/>
          </w:tcPr>
          <w:p w:rsidR="00240078" w:rsidRPr="003245F3" w:rsidRDefault="00240078" w:rsidP="00D76813">
            <w:pPr>
              <w:pStyle w:val="Default"/>
              <w:ind w:right="244"/>
              <w:jc w:val="thaiDistribute"/>
              <w:rPr>
                <w:b/>
                <w:bCs/>
                <w:i/>
                <w:iCs/>
                <w:sz w:val="18"/>
                <w:szCs w:val="18"/>
              </w:rPr>
            </w:pPr>
          </w:p>
        </w:tc>
        <w:tc>
          <w:tcPr>
            <w:tcW w:w="4860" w:type="dxa"/>
            <w:tcBorders>
              <w:bottom w:val="dotted" w:sz="4" w:space="0" w:color="ED8731"/>
            </w:tcBorders>
            <w:shd w:val="clear" w:color="auto" w:fill="F2F2F2" w:themeFill="background1" w:themeFillShade="F2"/>
          </w:tcPr>
          <w:p w:rsidR="00240078" w:rsidRPr="003245F3" w:rsidRDefault="00240078" w:rsidP="00D76813">
            <w:pPr>
              <w:pStyle w:val="Default"/>
              <w:jc w:val="thaiDistribute"/>
              <w:rPr>
                <w:sz w:val="18"/>
                <w:szCs w:val="18"/>
              </w:rPr>
            </w:pPr>
          </w:p>
        </w:tc>
      </w:tr>
      <w:tr w:rsidR="00240078" w:rsidRPr="00F94D31" w:rsidTr="00D76813">
        <w:tc>
          <w:tcPr>
            <w:tcW w:w="4320" w:type="dxa"/>
            <w:tcBorders>
              <w:top w:val="dotted" w:sz="4" w:space="0" w:color="ED8731"/>
            </w:tcBorders>
            <w:shd w:val="clear" w:color="auto" w:fill="auto"/>
          </w:tcPr>
          <w:p w:rsidR="00240078" w:rsidRPr="003245F3" w:rsidRDefault="00240078" w:rsidP="00D76813">
            <w:pPr>
              <w:pStyle w:val="Default"/>
              <w:ind w:right="244"/>
              <w:jc w:val="thaiDistribute"/>
              <w:rPr>
                <w:b/>
                <w:bCs/>
                <w:i/>
                <w:iCs/>
                <w:sz w:val="18"/>
                <w:szCs w:val="18"/>
              </w:rPr>
            </w:pPr>
          </w:p>
          <w:p w:rsidR="00240078" w:rsidRPr="003245F3" w:rsidRDefault="00CB540A" w:rsidP="00D76813">
            <w:pPr>
              <w:pStyle w:val="Default"/>
              <w:ind w:right="244"/>
              <w:jc w:val="thaiDistribute"/>
              <w:rPr>
                <w:b/>
                <w:bCs/>
                <w:i/>
                <w:iCs/>
                <w:sz w:val="18"/>
                <w:szCs w:val="18"/>
              </w:rPr>
            </w:pPr>
            <w:r>
              <w:rPr>
                <w:b/>
                <w:bCs/>
                <w:sz w:val="18"/>
                <w:szCs w:val="18"/>
              </w:rPr>
              <w:t>Business combination</w:t>
            </w:r>
          </w:p>
          <w:p w:rsidR="00240078" w:rsidRPr="003245F3" w:rsidRDefault="00240078" w:rsidP="00D76813">
            <w:pPr>
              <w:pStyle w:val="Default"/>
              <w:ind w:right="244"/>
              <w:jc w:val="thaiDistribute"/>
              <w:rPr>
                <w:b/>
                <w:bCs/>
                <w:sz w:val="18"/>
                <w:szCs w:val="18"/>
              </w:rPr>
            </w:pPr>
          </w:p>
        </w:tc>
        <w:tc>
          <w:tcPr>
            <w:tcW w:w="4860" w:type="dxa"/>
            <w:tcBorders>
              <w:top w:val="dotted" w:sz="4" w:space="0" w:color="ED8731"/>
            </w:tcBorders>
            <w:shd w:val="clear" w:color="auto" w:fill="F2F2F2" w:themeFill="background1" w:themeFillShade="F2"/>
          </w:tcPr>
          <w:p w:rsidR="00240078" w:rsidRPr="008234A4" w:rsidRDefault="00240078" w:rsidP="00D76813">
            <w:pPr>
              <w:pStyle w:val="Default"/>
              <w:jc w:val="thaiDistribute"/>
              <w:rPr>
                <w:sz w:val="18"/>
                <w:szCs w:val="18"/>
              </w:rPr>
            </w:pPr>
          </w:p>
        </w:tc>
      </w:tr>
      <w:tr w:rsidR="00240078" w:rsidRPr="00F94D31" w:rsidTr="00D76813">
        <w:tc>
          <w:tcPr>
            <w:tcW w:w="4320" w:type="dxa"/>
            <w:shd w:val="clear" w:color="auto" w:fill="auto"/>
          </w:tcPr>
          <w:p w:rsidR="0093540C" w:rsidRPr="008234A4" w:rsidRDefault="00FE629B" w:rsidP="00570A59">
            <w:pPr>
              <w:pStyle w:val="Default"/>
              <w:ind w:right="244"/>
              <w:jc w:val="thaiDistribute"/>
              <w:rPr>
                <w:sz w:val="18"/>
                <w:szCs w:val="18"/>
              </w:rPr>
            </w:pPr>
            <w:r w:rsidRPr="008234A4">
              <w:rPr>
                <w:sz w:val="18"/>
                <w:szCs w:val="18"/>
              </w:rPr>
              <w:t xml:space="preserve">Refer to </w:t>
            </w:r>
            <w:r w:rsidR="00162905" w:rsidRPr="008234A4">
              <w:rPr>
                <w:sz w:val="18"/>
                <w:szCs w:val="18"/>
              </w:rPr>
              <w:t>n</w:t>
            </w:r>
            <w:r w:rsidRPr="008234A4">
              <w:rPr>
                <w:sz w:val="18"/>
                <w:szCs w:val="18"/>
              </w:rPr>
              <w:t>ote 29</w:t>
            </w:r>
            <w:r w:rsidR="00A77F73" w:rsidRPr="008234A4">
              <w:rPr>
                <w:sz w:val="18"/>
                <w:szCs w:val="18"/>
              </w:rPr>
              <w:t xml:space="preserve"> </w:t>
            </w:r>
            <w:r w:rsidR="00570A59" w:rsidRPr="008234A4">
              <w:rPr>
                <w:sz w:val="18"/>
                <w:szCs w:val="18"/>
              </w:rPr>
              <w:t xml:space="preserve">- </w:t>
            </w:r>
            <w:r w:rsidR="00A77F73" w:rsidRPr="008234A4">
              <w:rPr>
                <w:sz w:val="18"/>
                <w:szCs w:val="18"/>
              </w:rPr>
              <w:t>Acquisition</w:t>
            </w:r>
            <w:r w:rsidR="0093540C" w:rsidRPr="008234A4">
              <w:rPr>
                <w:sz w:val="18"/>
                <w:szCs w:val="18"/>
              </w:rPr>
              <w:t>.</w:t>
            </w:r>
          </w:p>
          <w:p w:rsidR="00570A59" w:rsidRPr="008234A4" w:rsidRDefault="00570A59" w:rsidP="00570A59">
            <w:pPr>
              <w:pStyle w:val="Default"/>
              <w:ind w:right="244"/>
              <w:jc w:val="thaiDistribute"/>
              <w:rPr>
                <w:sz w:val="18"/>
                <w:szCs w:val="18"/>
              </w:rPr>
            </w:pPr>
            <w:r w:rsidRPr="008234A4">
              <w:rPr>
                <w:sz w:val="18"/>
                <w:szCs w:val="18"/>
              </w:rPr>
              <w:t xml:space="preserve"> </w:t>
            </w:r>
          </w:p>
          <w:p w:rsidR="008234A4" w:rsidRPr="003245F3" w:rsidRDefault="008234A4" w:rsidP="008234A4">
            <w:pPr>
              <w:jc w:val="thaiDistribute"/>
              <w:rPr>
                <w:rFonts w:ascii="Arial" w:hAnsi="Arial" w:cs="Arial"/>
                <w:bCs/>
                <w:sz w:val="18"/>
                <w:szCs w:val="18"/>
              </w:rPr>
            </w:pPr>
            <w:r w:rsidRPr="003245F3">
              <w:rPr>
                <w:rFonts w:ascii="Arial" w:hAnsi="Arial" w:cs="Arial"/>
                <w:sz w:val="18"/>
                <w:szCs w:val="18"/>
              </w:rPr>
              <w:t>T</w:t>
            </w:r>
            <w:r w:rsidRPr="003245F3">
              <w:rPr>
                <w:rFonts w:ascii="Arial" w:hAnsi="Arial" w:cs="Arial"/>
                <w:bCs/>
                <w:sz w:val="18"/>
                <w:szCs w:val="18"/>
              </w:rPr>
              <w:t xml:space="preserve">he Group acquired a 99.99% shareholding in a solar farm company incorporated in Thailand, with a total consideration for a transfer of Baht </w:t>
            </w:r>
            <w:r w:rsidRPr="003245F3">
              <w:rPr>
                <w:rFonts w:ascii="Arial" w:hAnsi="Arial" w:cs="Arial"/>
                <w:sz w:val="18"/>
                <w:szCs w:val="18"/>
              </w:rPr>
              <w:t>303</w:t>
            </w:r>
            <w:r w:rsidRPr="003245F3">
              <w:rPr>
                <w:rFonts w:ascii="Arial" w:hAnsi="Arial" w:cs="Arial"/>
                <w:bCs/>
                <w:sz w:val="18"/>
                <w:szCs w:val="18"/>
              </w:rPr>
              <w:t xml:space="preserve"> million. The total consideration for the transfer comprised the cash paid of Baht 291 million and contingent consideration of Baht 12 million. Management assessed that the acquisition of the shareholdings qualified as a business combination according to the definition in Thai Financial Reporting Standards no. 3 (TFRS 3) - Business Combination.</w:t>
            </w:r>
          </w:p>
          <w:p w:rsidR="008234A4" w:rsidRPr="003245F3" w:rsidRDefault="008234A4" w:rsidP="008234A4">
            <w:pPr>
              <w:jc w:val="thaiDistribute"/>
              <w:rPr>
                <w:rFonts w:ascii="Arial" w:hAnsi="Arial" w:cs="Arial"/>
                <w:bCs/>
                <w:sz w:val="18"/>
                <w:szCs w:val="18"/>
              </w:rPr>
            </w:pPr>
          </w:p>
          <w:p w:rsidR="008234A4" w:rsidRPr="003245F3" w:rsidRDefault="008234A4" w:rsidP="008234A4">
            <w:pPr>
              <w:jc w:val="thaiDistribute"/>
              <w:rPr>
                <w:rFonts w:ascii="Arial" w:hAnsi="Arial" w:cs="Arial"/>
                <w:bCs/>
                <w:sz w:val="18"/>
                <w:szCs w:val="18"/>
              </w:rPr>
            </w:pPr>
            <w:r w:rsidRPr="003245F3">
              <w:rPr>
                <w:rFonts w:ascii="Arial" w:hAnsi="Arial" w:cs="Arial"/>
                <w:bCs/>
                <w:sz w:val="18"/>
                <w:szCs w:val="18"/>
              </w:rPr>
              <w:t xml:space="preserve">Management determined that the fair value of net identifiable assets acquired was Baht 348 million, mainly comprising Baht 289 million relating to property, plant and equipment and Baht 222 million relating to intangible assets. The fair value of the total assumed liabilities is Baht 242 million. The Group recognised a gain on bargain purchase of Baht 45 million. The valuations of total identifiable assets acquired and the total assumed liabilities were performed as a part of the purchase price allocation. The valuation of the property, plant and equipment and intangible assets is calculated using the discounted cash flow method and this is in accordance with TFRS 3. </w:t>
            </w:r>
          </w:p>
          <w:p w:rsidR="008234A4" w:rsidRPr="003245F3" w:rsidRDefault="008234A4" w:rsidP="008234A4">
            <w:pPr>
              <w:jc w:val="thaiDistribute"/>
              <w:rPr>
                <w:rFonts w:ascii="Arial" w:hAnsi="Arial" w:cs="Arial"/>
                <w:bCs/>
                <w:sz w:val="18"/>
                <w:szCs w:val="18"/>
              </w:rPr>
            </w:pPr>
          </w:p>
          <w:p w:rsidR="008234A4" w:rsidRPr="003245F3" w:rsidRDefault="008234A4" w:rsidP="008234A4">
            <w:pPr>
              <w:jc w:val="thaiDistribute"/>
              <w:rPr>
                <w:rFonts w:ascii="Arial" w:hAnsi="Arial" w:cs="Arial"/>
                <w:bCs/>
                <w:sz w:val="18"/>
                <w:szCs w:val="18"/>
              </w:rPr>
            </w:pPr>
            <w:r w:rsidRPr="003245F3">
              <w:rPr>
                <w:rFonts w:ascii="Arial" w:hAnsi="Arial" w:cs="Arial"/>
                <w:bCs/>
                <w:sz w:val="18"/>
                <w:szCs w:val="18"/>
              </w:rPr>
              <w:t>I focused on identifying the fair values of property, plant and equipment and the intangible assets arising from the business combination because their</w:t>
            </w:r>
            <w:r w:rsidRPr="003245F3">
              <w:rPr>
                <w:rFonts w:ascii="Arial" w:hAnsi="Arial" w:cs="Arial"/>
                <w:bCs/>
                <w:sz w:val="18"/>
                <w:szCs w:val="18"/>
                <w:cs/>
              </w:rPr>
              <w:t xml:space="preserve"> </w:t>
            </w:r>
            <w:r w:rsidRPr="003245F3">
              <w:rPr>
                <w:rFonts w:ascii="Arial" w:hAnsi="Arial" w:cs="Arial"/>
                <w:bCs/>
                <w:sz w:val="18"/>
                <w:szCs w:val="18"/>
              </w:rPr>
              <w:t xml:space="preserve">fair values led to the recognition of a gain on bargain purchase. </w:t>
            </w:r>
            <w:r w:rsidRPr="003245F3">
              <w:rPr>
                <w:rFonts w:ascii="Arial" w:hAnsi="Arial" w:cs="Arial"/>
                <w:noProof/>
                <w:sz w:val="18"/>
                <w:szCs w:val="18"/>
                <w:lang w:eastAsia="en-GB"/>
              </w:rPr>
              <w:t>While other assets and liabilities’ book value represented the estimated fair value.</w:t>
            </w:r>
            <w:r w:rsidRPr="003245F3">
              <w:rPr>
                <w:rFonts w:ascii="Arial" w:hAnsi="Arial" w:cs="Arial"/>
                <w:bCs/>
                <w:sz w:val="18"/>
                <w:szCs w:val="18"/>
              </w:rPr>
              <w:t xml:space="preserve"> In addition, the valuation methodology and assumptions used in the model involved significant judgment made by management. </w:t>
            </w:r>
          </w:p>
          <w:p w:rsidR="008234A4" w:rsidRPr="003245F3" w:rsidRDefault="008234A4" w:rsidP="008234A4">
            <w:pPr>
              <w:jc w:val="thaiDistribute"/>
              <w:rPr>
                <w:rFonts w:ascii="Arial" w:hAnsi="Arial" w:cs="Arial"/>
                <w:bCs/>
                <w:sz w:val="18"/>
                <w:szCs w:val="18"/>
              </w:rPr>
            </w:pPr>
          </w:p>
          <w:p w:rsidR="00240078" w:rsidRPr="008234A4" w:rsidRDefault="008234A4" w:rsidP="00570A59">
            <w:pPr>
              <w:pStyle w:val="Default"/>
              <w:ind w:right="244"/>
              <w:jc w:val="thaiDistribute"/>
              <w:rPr>
                <w:sz w:val="18"/>
                <w:szCs w:val="18"/>
              </w:rPr>
            </w:pPr>
            <w:r w:rsidRPr="003245F3">
              <w:rPr>
                <w:bCs/>
                <w:sz w:val="18"/>
                <w:szCs w:val="18"/>
              </w:rPr>
              <w:t xml:space="preserve">Key assumptions used for the valuation of property, plant and equipment </w:t>
            </w:r>
            <w:r w:rsidRPr="003245F3">
              <w:rPr>
                <w:sz w:val="18"/>
                <w:szCs w:val="18"/>
              </w:rPr>
              <w:t>included replacement cost, physical life, chronological age, physical deterioration, condition factor, functional obsolescence, economic or external obsolescence and of intangible assets included solar generated electricity price rate, unit of production on peak or off peak period, projected output capacity, growth in electricity price rate, expenditure assumption and capitalised expenditure.</w:t>
            </w:r>
            <w:r w:rsidRPr="008234A4" w:rsidDel="008234A4">
              <w:rPr>
                <w:sz w:val="18"/>
                <w:szCs w:val="18"/>
              </w:rPr>
              <w:t xml:space="preserve"> </w:t>
            </w:r>
          </w:p>
        </w:tc>
        <w:tc>
          <w:tcPr>
            <w:tcW w:w="4860" w:type="dxa"/>
            <w:shd w:val="clear" w:color="auto" w:fill="F2F2F2" w:themeFill="background1" w:themeFillShade="F2"/>
          </w:tcPr>
          <w:p w:rsidR="008234A4" w:rsidRPr="003245F3" w:rsidRDefault="008234A4" w:rsidP="008234A4">
            <w:pPr>
              <w:jc w:val="thaiDistribute"/>
              <w:rPr>
                <w:rFonts w:ascii="Arial" w:hAnsi="Arial" w:cs="Arial"/>
                <w:sz w:val="18"/>
                <w:szCs w:val="18"/>
              </w:rPr>
            </w:pPr>
            <w:r w:rsidRPr="003245F3">
              <w:rPr>
                <w:rFonts w:ascii="Arial" w:hAnsi="Arial" w:cs="Arial"/>
                <w:sz w:val="18"/>
                <w:szCs w:val="18"/>
              </w:rPr>
              <w:t>I performed the following procedures to obtain evidence for management’s assessment of</w:t>
            </w:r>
            <w:r w:rsidRPr="003245F3">
              <w:rPr>
                <w:rFonts w:ascii="Arial" w:hAnsi="Arial" w:cs="Arial"/>
                <w:sz w:val="18"/>
                <w:szCs w:val="18"/>
                <w:cs/>
              </w:rPr>
              <w:t xml:space="preserve"> </w:t>
            </w:r>
            <w:r w:rsidRPr="003245F3">
              <w:rPr>
                <w:rFonts w:ascii="Arial" w:hAnsi="Arial" w:cs="Arial"/>
                <w:sz w:val="18"/>
                <w:szCs w:val="18"/>
              </w:rPr>
              <w:t>business combination and determination of fair value of identifiable assets acquired and liabilities assumed;</w:t>
            </w:r>
          </w:p>
          <w:p w:rsidR="008234A4" w:rsidRPr="003245F3" w:rsidRDefault="008234A4" w:rsidP="008234A4">
            <w:pPr>
              <w:jc w:val="thaiDistribute"/>
              <w:rPr>
                <w:rFonts w:ascii="Arial" w:hAnsi="Arial" w:cs="Arial"/>
                <w:sz w:val="18"/>
                <w:szCs w:val="18"/>
              </w:rPr>
            </w:pPr>
          </w:p>
          <w:p w:rsidR="008234A4" w:rsidRPr="003245F3" w:rsidRDefault="008234A4" w:rsidP="008234A4">
            <w:pPr>
              <w:pStyle w:val="ListParagraph"/>
              <w:numPr>
                <w:ilvl w:val="0"/>
                <w:numId w:val="5"/>
              </w:numPr>
              <w:ind w:left="239" w:hanging="223"/>
              <w:jc w:val="thaiDistribute"/>
              <w:rPr>
                <w:rFonts w:ascii="Arial" w:hAnsi="Arial" w:cs="Arial"/>
                <w:sz w:val="18"/>
                <w:szCs w:val="18"/>
              </w:rPr>
            </w:pPr>
            <w:r w:rsidRPr="003245F3">
              <w:rPr>
                <w:rFonts w:ascii="Arial" w:hAnsi="Arial" w:cs="Arial"/>
                <w:sz w:val="18"/>
                <w:szCs w:val="18"/>
              </w:rPr>
              <w:t>Evaluated management's determination whether the acquisitions</w:t>
            </w:r>
            <w:r w:rsidRPr="003245F3">
              <w:rPr>
                <w:rFonts w:ascii="Arial" w:hAnsi="Arial" w:cs="Arial"/>
                <w:sz w:val="18"/>
                <w:szCs w:val="18"/>
                <w:cs/>
              </w:rPr>
              <w:t xml:space="preserve"> </w:t>
            </w:r>
            <w:r w:rsidRPr="003245F3">
              <w:rPr>
                <w:rFonts w:ascii="Arial" w:hAnsi="Arial" w:cs="Arial"/>
                <w:sz w:val="18"/>
                <w:szCs w:val="18"/>
              </w:rPr>
              <w:t xml:space="preserve">should be accounted for as business combination and the determination was appropriately performed in accordance with the definition set out in TFRS 3. </w:t>
            </w:r>
          </w:p>
          <w:p w:rsidR="008234A4" w:rsidRPr="003245F3" w:rsidRDefault="008234A4" w:rsidP="008234A4">
            <w:pPr>
              <w:pStyle w:val="ListParagraph"/>
              <w:ind w:left="239"/>
              <w:jc w:val="thaiDistribute"/>
              <w:rPr>
                <w:rFonts w:ascii="Arial" w:hAnsi="Arial" w:cs="Arial"/>
                <w:sz w:val="18"/>
                <w:szCs w:val="18"/>
              </w:rPr>
            </w:pPr>
          </w:p>
          <w:p w:rsidR="008234A4" w:rsidRPr="003245F3" w:rsidRDefault="008234A4" w:rsidP="008234A4">
            <w:pPr>
              <w:pStyle w:val="ListParagraph"/>
              <w:numPr>
                <w:ilvl w:val="0"/>
                <w:numId w:val="5"/>
              </w:numPr>
              <w:ind w:left="239" w:hanging="223"/>
              <w:jc w:val="thaiDistribute"/>
              <w:rPr>
                <w:rFonts w:ascii="Arial" w:hAnsi="Arial" w:cs="Arial"/>
                <w:sz w:val="18"/>
                <w:szCs w:val="18"/>
              </w:rPr>
            </w:pPr>
            <w:r w:rsidRPr="003245F3">
              <w:rPr>
                <w:rFonts w:ascii="Arial" w:hAnsi="Arial" w:cs="Arial"/>
                <w:sz w:val="18"/>
                <w:szCs w:val="18"/>
              </w:rPr>
              <w:t>Assessed the appropriateness of the identifiable assets acquired and the liabilities assumed at the acquisition date. I also evaluated management’s procedures for determining the fair values of the net identifiable assets acquired.</w:t>
            </w:r>
          </w:p>
          <w:p w:rsidR="008234A4" w:rsidRPr="003245F3" w:rsidRDefault="008234A4" w:rsidP="008234A4">
            <w:pPr>
              <w:jc w:val="thaiDistribute"/>
              <w:rPr>
                <w:rFonts w:ascii="Arial" w:hAnsi="Arial" w:cs="Arial"/>
                <w:sz w:val="18"/>
                <w:szCs w:val="18"/>
              </w:rPr>
            </w:pPr>
          </w:p>
          <w:p w:rsidR="008234A4" w:rsidRPr="003245F3" w:rsidRDefault="008234A4" w:rsidP="008234A4">
            <w:pPr>
              <w:pStyle w:val="ListParagraph"/>
              <w:numPr>
                <w:ilvl w:val="0"/>
                <w:numId w:val="5"/>
              </w:numPr>
              <w:ind w:left="239" w:hanging="223"/>
              <w:jc w:val="thaiDistribute"/>
              <w:rPr>
                <w:rFonts w:ascii="Arial" w:hAnsi="Arial" w:cs="Arial"/>
                <w:sz w:val="18"/>
                <w:szCs w:val="18"/>
              </w:rPr>
            </w:pPr>
            <w:r w:rsidRPr="003245F3">
              <w:rPr>
                <w:rFonts w:ascii="Arial" w:hAnsi="Arial" w:cs="Arial"/>
                <w:sz w:val="18"/>
                <w:szCs w:val="18"/>
              </w:rPr>
              <w:t>Tested the calculation of fair values of property, plant and equipment and intangible assets. In addition, I challenged management’s judgement in relation to:</w:t>
            </w:r>
          </w:p>
          <w:p w:rsidR="008234A4" w:rsidRPr="003245F3" w:rsidRDefault="008234A4" w:rsidP="008234A4">
            <w:pPr>
              <w:jc w:val="thaiDistribute"/>
              <w:rPr>
                <w:rFonts w:ascii="Arial" w:hAnsi="Arial" w:cs="Arial"/>
                <w:sz w:val="18"/>
                <w:szCs w:val="18"/>
              </w:rPr>
            </w:pPr>
          </w:p>
          <w:p w:rsidR="008234A4" w:rsidRPr="003245F3" w:rsidRDefault="008234A4" w:rsidP="008234A4">
            <w:pPr>
              <w:pStyle w:val="ListParagraph"/>
              <w:numPr>
                <w:ilvl w:val="0"/>
                <w:numId w:val="6"/>
              </w:numPr>
              <w:tabs>
                <w:tab w:val="left" w:pos="774"/>
              </w:tabs>
              <w:jc w:val="thaiDistribute"/>
              <w:rPr>
                <w:rFonts w:ascii="Arial" w:hAnsi="Arial" w:cs="Arial"/>
                <w:sz w:val="18"/>
                <w:szCs w:val="18"/>
              </w:rPr>
            </w:pPr>
            <w:r w:rsidRPr="003245F3">
              <w:rPr>
                <w:rFonts w:ascii="Arial" w:hAnsi="Arial" w:cs="Arial"/>
                <w:sz w:val="18"/>
                <w:szCs w:val="18"/>
              </w:rPr>
              <w:t>the assumptions used in the cash flow forecast; for example, replacement cost, physical life for the valuation of property, plant and equipment and solar generated electricity price rate, unit of production on peak or off peak period for the valuation of intangible assets, and</w:t>
            </w:r>
          </w:p>
          <w:p w:rsidR="008234A4" w:rsidRPr="003245F3" w:rsidRDefault="008234A4" w:rsidP="008234A4">
            <w:pPr>
              <w:pStyle w:val="ListParagraph"/>
              <w:numPr>
                <w:ilvl w:val="0"/>
                <w:numId w:val="6"/>
              </w:numPr>
              <w:tabs>
                <w:tab w:val="left" w:pos="774"/>
              </w:tabs>
              <w:jc w:val="thaiDistribute"/>
              <w:rPr>
                <w:rFonts w:ascii="Arial" w:hAnsi="Arial" w:cs="Arial"/>
                <w:sz w:val="18"/>
                <w:szCs w:val="18"/>
              </w:rPr>
            </w:pPr>
            <w:proofErr w:type="gramStart"/>
            <w:r w:rsidRPr="003245F3">
              <w:rPr>
                <w:rFonts w:ascii="Arial" w:hAnsi="Arial" w:cs="Arial"/>
                <w:sz w:val="18"/>
                <w:szCs w:val="18"/>
              </w:rPr>
              <w:t>the</w:t>
            </w:r>
            <w:proofErr w:type="gramEnd"/>
            <w:r w:rsidRPr="003245F3">
              <w:rPr>
                <w:rFonts w:ascii="Arial" w:hAnsi="Arial" w:cs="Arial"/>
                <w:sz w:val="18"/>
                <w:szCs w:val="18"/>
              </w:rPr>
              <w:t xml:space="preserve"> discount rate </w:t>
            </w:r>
            <w:r w:rsidRPr="003245F3">
              <w:rPr>
                <w:rFonts w:ascii="Arial" w:hAnsi="Arial" w:cs="Arial"/>
                <w:noProof/>
                <w:sz w:val="18"/>
                <w:szCs w:val="18"/>
                <w:lang w:eastAsia="en-GB"/>
              </w:rPr>
              <w:t>used in the model by assessing the cost of capital</w:t>
            </w:r>
            <w:r w:rsidRPr="003245F3">
              <w:rPr>
                <w:rFonts w:ascii="Arial" w:hAnsi="Arial" w:cs="Arial"/>
                <w:sz w:val="18"/>
                <w:szCs w:val="18"/>
              </w:rPr>
              <w:t xml:space="preserve"> and other inputs in the model.</w:t>
            </w:r>
          </w:p>
          <w:p w:rsidR="008234A4" w:rsidRPr="003245F3" w:rsidRDefault="008234A4" w:rsidP="008234A4">
            <w:pPr>
              <w:spacing w:before="60" w:after="60" w:line="264" w:lineRule="auto"/>
              <w:jc w:val="thaiDistribute"/>
              <w:rPr>
                <w:rFonts w:ascii="Arial" w:hAnsi="Arial" w:cs="Arial"/>
                <w:b/>
                <w:bCs/>
                <w:sz w:val="18"/>
                <w:szCs w:val="18"/>
              </w:rPr>
            </w:pPr>
          </w:p>
          <w:p w:rsidR="00240078" w:rsidRPr="008234A4" w:rsidRDefault="008234A4" w:rsidP="00723F38">
            <w:pPr>
              <w:pStyle w:val="Default"/>
              <w:jc w:val="thaiDistribute"/>
              <w:rPr>
                <w:sz w:val="18"/>
                <w:szCs w:val="18"/>
              </w:rPr>
            </w:pPr>
            <w:r w:rsidRPr="003245F3">
              <w:rPr>
                <w:bCs/>
                <w:sz w:val="18"/>
                <w:szCs w:val="18"/>
              </w:rPr>
              <w:t xml:space="preserve">From these procedures, I determined that the assumptions used in identifying the fair values of property, plant and equipment and the intangible assets, together with a gain on bargain purchase, arising from the business combination were reasonable </w:t>
            </w:r>
            <w:r w:rsidRPr="003245F3">
              <w:rPr>
                <w:sz w:val="18"/>
                <w:szCs w:val="18"/>
              </w:rPr>
              <w:t>and supported by the available evidence</w:t>
            </w:r>
            <w:r w:rsidRPr="003245F3">
              <w:rPr>
                <w:bCs/>
                <w:sz w:val="18"/>
                <w:szCs w:val="18"/>
              </w:rPr>
              <w:t xml:space="preserve">. </w:t>
            </w:r>
            <w:r w:rsidRPr="003245F3">
              <w:rPr>
                <w:sz w:val="18"/>
                <w:szCs w:val="18"/>
              </w:rPr>
              <w:t>I also noted that the accounting method for the business combination for this matter was appropriate.</w:t>
            </w:r>
            <w:r w:rsidRPr="008234A4" w:rsidDel="008234A4">
              <w:rPr>
                <w:sz w:val="18"/>
                <w:szCs w:val="18"/>
              </w:rPr>
              <w:t xml:space="preserve"> </w:t>
            </w:r>
          </w:p>
        </w:tc>
      </w:tr>
      <w:tr w:rsidR="00240078" w:rsidRPr="00F94D31" w:rsidTr="00D76813">
        <w:tc>
          <w:tcPr>
            <w:tcW w:w="4320" w:type="dxa"/>
            <w:tcBorders>
              <w:bottom w:val="single" w:sz="4" w:space="0" w:color="ED8731"/>
            </w:tcBorders>
            <w:shd w:val="clear" w:color="auto" w:fill="auto"/>
          </w:tcPr>
          <w:p w:rsidR="00240078" w:rsidRPr="003245F3" w:rsidRDefault="00240078" w:rsidP="00D76813">
            <w:pPr>
              <w:pStyle w:val="Default"/>
              <w:ind w:right="244"/>
              <w:jc w:val="thaiDistribute"/>
              <w:rPr>
                <w:sz w:val="18"/>
                <w:szCs w:val="18"/>
              </w:rPr>
            </w:pPr>
          </w:p>
        </w:tc>
        <w:tc>
          <w:tcPr>
            <w:tcW w:w="4860" w:type="dxa"/>
            <w:tcBorders>
              <w:bottom w:val="single" w:sz="4" w:space="0" w:color="ED8731"/>
            </w:tcBorders>
            <w:shd w:val="clear" w:color="auto" w:fill="F2F2F2" w:themeFill="background1" w:themeFillShade="F2"/>
          </w:tcPr>
          <w:p w:rsidR="00240078" w:rsidRPr="003245F3" w:rsidRDefault="00240078" w:rsidP="00D76813">
            <w:pPr>
              <w:pStyle w:val="Default"/>
              <w:jc w:val="thaiDistribute"/>
              <w:rPr>
                <w:sz w:val="18"/>
                <w:szCs w:val="18"/>
              </w:rPr>
            </w:pPr>
          </w:p>
        </w:tc>
      </w:tr>
    </w:tbl>
    <w:p w:rsidR="00240078" w:rsidRPr="009159D4" w:rsidRDefault="00240078" w:rsidP="00240078">
      <w:pPr>
        <w:pStyle w:val="Header"/>
        <w:jc w:val="both"/>
        <w:rPr>
          <w:rFonts w:ascii="Arial" w:hAnsi="Arial" w:cs="Arial"/>
          <w:b/>
          <w:bCs/>
          <w:sz w:val="18"/>
          <w:szCs w:val="18"/>
        </w:rPr>
      </w:pPr>
    </w:p>
    <w:p w:rsidR="009159D4" w:rsidRPr="00255F97" w:rsidRDefault="009159D4" w:rsidP="009159D4">
      <w:pPr>
        <w:pStyle w:val="Default"/>
        <w:jc w:val="thaiDistribute"/>
        <w:rPr>
          <w:rFonts w:eastAsia="Calibri"/>
          <w:b/>
          <w:bCs/>
          <w:color w:val="C00000"/>
          <w:sz w:val="20"/>
          <w:szCs w:val="20"/>
        </w:rPr>
      </w:pPr>
      <w:r w:rsidRPr="00255F97">
        <w:rPr>
          <w:rFonts w:eastAsia="Calibri"/>
          <w:b/>
          <w:bCs/>
          <w:color w:val="C00000"/>
          <w:sz w:val="20"/>
          <w:szCs w:val="20"/>
        </w:rPr>
        <w:t xml:space="preserve">Other information </w:t>
      </w:r>
    </w:p>
    <w:p w:rsidR="009159D4" w:rsidRPr="00255F97" w:rsidRDefault="009159D4" w:rsidP="009159D4">
      <w:pPr>
        <w:pStyle w:val="Default"/>
        <w:jc w:val="thaiDistribute"/>
        <w:rPr>
          <w:rFonts w:eastAsia="Calibri"/>
          <w:b/>
          <w:bCs/>
          <w:color w:val="C00000"/>
          <w:sz w:val="12"/>
          <w:szCs w:val="12"/>
        </w:rPr>
      </w:pPr>
    </w:p>
    <w:p w:rsidR="009159D4" w:rsidRPr="00255F97" w:rsidRDefault="009159D4" w:rsidP="009159D4">
      <w:pPr>
        <w:spacing w:after="0" w:line="240" w:lineRule="auto"/>
        <w:jc w:val="thaiDistribute"/>
        <w:rPr>
          <w:rFonts w:ascii="Arial" w:eastAsia="Times New Roman" w:hAnsi="Arial" w:cs="Arial"/>
          <w:color w:val="000000"/>
          <w:sz w:val="18"/>
          <w:szCs w:val="18"/>
          <w:lang w:eastAsia="en-GB"/>
        </w:rPr>
      </w:pPr>
      <w:r w:rsidRPr="00255F97">
        <w:rPr>
          <w:rFonts w:ascii="Arial" w:eastAsia="Times New Roman" w:hAnsi="Arial" w:cs="Arial"/>
          <w:color w:val="000000"/>
          <w:sz w:val="18"/>
          <w:szCs w:val="18"/>
          <w:lang w:val="en-US" w:eastAsia="en-GB"/>
        </w:rPr>
        <w:t xml:space="preserve">The directors are </w:t>
      </w:r>
      <w:r w:rsidRPr="00255F97">
        <w:rPr>
          <w:rFonts w:ascii="Arial" w:eastAsia="Times New Roman" w:hAnsi="Arial" w:cs="Arial"/>
          <w:color w:val="000000"/>
          <w:sz w:val="18"/>
          <w:szCs w:val="18"/>
          <w:lang w:eastAsia="en-GB"/>
        </w:rPr>
        <w:t xml:space="preserve">responsible for the other information. The other information comprises the information included in the annual report, but does not include the consolidated and </w:t>
      </w:r>
      <w:r w:rsidRPr="00255F97">
        <w:rPr>
          <w:rFonts w:ascii="Arial" w:hAnsi="Arial" w:cs="Arial"/>
          <w:sz w:val="18"/>
          <w:szCs w:val="18"/>
        </w:rPr>
        <w:t>separate</w:t>
      </w:r>
      <w:r w:rsidRPr="00255F97">
        <w:rPr>
          <w:rFonts w:ascii="Arial" w:eastAsia="Times New Roman" w:hAnsi="Arial" w:cs="Arial"/>
          <w:color w:val="000000"/>
          <w:sz w:val="18"/>
          <w:szCs w:val="18"/>
          <w:lang w:eastAsia="en-GB"/>
        </w:rPr>
        <w:t xml:space="preserve"> financial statements and my auditor’s report thereon.</w:t>
      </w:r>
    </w:p>
    <w:p w:rsidR="009159D4" w:rsidRPr="00255F97" w:rsidRDefault="009159D4" w:rsidP="009159D4">
      <w:pPr>
        <w:spacing w:after="0" w:line="240" w:lineRule="auto"/>
        <w:jc w:val="thaiDistribute"/>
        <w:rPr>
          <w:rFonts w:ascii="Arial" w:eastAsia="Times New Roman" w:hAnsi="Arial" w:cs="Arial"/>
          <w:color w:val="000000"/>
          <w:sz w:val="18"/>
          <w:szCs w:val="18"/>
          <w:lang w:eastAsia="en-GB"/>
        </w:rPr>
      </w:pPr>
    </w:p>
    <w:p w:rsidR="009159D4" w:rsidRPr="00255F97" w:rsidRDefault="009159D4" w:rsidP="009159D4">
      <w:pPr>
        <w:spacing w:after="0" w:line="240" w:lineRule="auto"/>
        <w:jc w:val="thaiDistribute"/>
        <w:rPr>
          <w:rFonts w:ascii="Arial" w:eastAsia="Times New Roman" w:hAnsi="Arial" w:cs="Arial"/>
          <w:color w:val="000000"/>
          <w:sz w:val="18"/>
          <w:szCs w:val="18"/>
          <w:lang w:eastAsia="en-GB"/>
        </w:rPr>
      </w:pPr>
      <w:r w:rsidRPr="00255F97">
        <w:rPr>
          <w:rFonts w:ascii="Arial" w:eastAsia="Times New Roman" w:hAnsi="Arial" w:cs="Arial"/>
          <w:color w:val="000000"/>
          <w:sz w:val="18"/>
          <w:szCs w:val="18"/>
          <w:lang w:eastAsia="en-GB"/>
        </w:rPr>
        <w:t xml:space="preserve">My opinion on the consolidated and </w:t>
      </w:r>
      <w:r w:rsidRPr="00255F97">
        <w:rPr>
          <w:rFonts w:ascii="Arial" w:hAnsi="Arial" w:cs="Arial"/>
          <w:sz w:val="18"/>
          <w:szCs w:val="18"/>
        </w:rPr>
        <w:t>separate</w:t>
      </w:r>
      <w:r w:rsidRPr="00255F97">
        <w:rPr>
          <w:rFonts w:ascii="Arial" w:eastAsia="Times New Roman" w:hAnsi="Arial" w:cs="Arial"/>
          <w:color w:val="000000"/>
          <w:sz w:val="18"/>
          <w:szCs w:val="18"/>
          <w:lang w:eastAsia="en-GB"/>
        </w:rPr>
        <w:t xml:space="preserve"> financial statements does not cover the other information and I do not express any form of assurance conclusion thereon. </w:t>
      </w:r>
    </w:p>
    <w:p w:rsidR="009159D4" w:rsidRPr="00255F97" w:rsidRDefault="009159D4" w:rsidP="009159D4">
      <w:pPr>
        <w:spacing w:after="0" w:line="240" w:lineRule="auto"/>
        <w:jc w:val="thaiDistribute"/>
        <w:rPr>
          <w:rFonts w:ascii="Arial" w:eastAsia="Times New Roman" w:hAnsi="Arial" w:cs="Arial"/>
          <w:color w:val="000000"/>
          <w:sz w:val="18"/>
          <w:szCs w:val="18"/>
          <w:lang w:eastAsia="en-GB"/>
        </w:rPr>
      </w:pPr>
    </w:p>
    <w:p w:rsidR="009159D4" w:rsidRPr="00255F97" w:rsidRDefault="009159D4" w:rsidP="009159D4">
      <w:pPr>
        <w:spacing w:after="0" w:line="240" w:lineRule="auto"/>
        <w:jc w:val="thaiDistribute"/>
        <w:rPr>
          <w:rFonts w:ascii="Arial" w:eastAsia="Times New Roman" w:hAnsi="Arial" w:cs="Arial"/>
          <w:color w:val="000000"/>
          <w:sz w:val="18"/>
          <w:szCs w:val="18"/>
          <w:lang w:eastAsia="en-GB"/>
        </w:rPr>
      </w:pPr>
      <w:r w:rsidRPr="00255F97">
        <w:rPr>
          <w:rFonts w:ascii="Arial" w:eastAsia="Times New Roman" w:hAnsi="Arial" w:cs="Arial"/>
          <w:color w:val="000000"/>
          <w:sz w:val="18"/>
          <w:szCs w:val="18"/>
          <w:lang w:eastAsia="en-GB"/>
        </w:rPr>
        <w:t xml:space="preserve">In connection with my audit of the consolidated and </w:t>
      </w:r>
      <w:r w:rsidRPr="00255F97">
        <w:rPr>
          <w:rFonts w:ascii="Arial" w:hAnsi="Arial" w:cs="Arial"/>
          <w:sz w:val="18"/>
          <w:szCs w:val="18"/>
        </w:rPr>
        <w:t>separate</w:t>
      </w:r>
      <w:r w:rsidRPr="00255F97">
        <w:rPr>
          <w:rFonts w:ascii="Arial" w:eastAsia="Times New Roman" w:hAnsi="Arial" w:cs="Arial"/>
          <w:color w:val="000000"/>
          <w:sz w:val="18"/>
          <w:szCs w:val="18"/>
          <w:lang w:eastAsia="en-GB"/>
        </w:rPr>
        <w:t xml:space="preserve"> financial statements, my responsibility is to read the other information and, in doing so, consider whether the other information is materially inconsistent with the consolidated and </w:t>
      </w:r>
      <w:r w:rsidRPr="00255F97">
        <w:rPr>
          <w:rFonts w:ascii="Arial" w:hAnsi="Arial" w:cs="Arial"/>
          <w:sz w:val="18"/>
          <w:szCs w:val="18"/>
        </w:rPr>
        <w:t>separate</w:t>
      </w:r>
      <w:r w:rsidRPr="00255F97">
        <w:rPr>
          <w:rFonts w:ascii="Arial" w:eastAsia="Times New Roman" w:hAnsi="Arial" w:cs="Arial"/>
          <w:color w:val="000000"/>
          <w:sz w:val="18"/>
          <w:szCs w:val="18"/>
          <w:lang w:eastAsia="en-GB"/>
        </w:rPr>
        <w:t xml:space="preserve"> financial statements or my knowledge obtained in the audit or otherwise appears to be materially misstated. If, based on the work I have performed, I conclude that there is a material misstatement of this other </w:t>
      </w:r>
      <w:proofErr w:type="gramStart"/>
      <w:r w:rsidRPr="00255F97">
        <w:rPr>
          <w:rFonts w:ascii="Arial" w:eastAsia="Times New Roman" w:hAnsi="Arial" w:cs="Arial"/>
          <w:color w:val="000000"/>
          <w:sz w:val="18"/>
          <w:szCs w:val="18"/>
          <w:lang w:eastAsia="en-GB"/>
        </w:rPr>
        <w:t>information,</w:t>
      </w:r>
      <w:proofErr w:type="gramEnd"/>
      <w:r w:rsidRPr="00255F97">
        <w:rPr>
          <w:rFonts w:ascii="Arial" w:eastAsia="Times New Roman" w:hAnsi="Arial" w:cs="Arial"/>
          <w:color w:val="000000"/>
          <w:sz w:val="18"/>
          <w:szCs w:val="18"/>
          <w:lang w:eastAsia="en-GB"/>
        </w:rPr>
        <w:t xml:space="preserve"> I am required to report that fact. I have nothing to report in this regard.</w:t>
      </w:r>
    </w:p>
    <w:p w:rsidR="009159D4" w:rsidRPr="00255F97" w:rsidRDefault="009159D4" w:rsidP="009159D4">
      <w:pPr>
        <w:pStyle w:val="Default"/>
        <w:jc w:val="thaiDistribute"/>
        <w:rPr>
          <w:b/>
          <w:bCs/>
          <w:sz w:val="18"/>
          <w:szCs w:val="18"/>
        </w:rPr>
      </w:pPr>
    </w:p>
    <w:p w:rsidR="009159D4" w:rsidRPr="00255F97" w:rsidRDefault="009159D4" w:rsidP="009159D4">
      <w:pPr>
        <w:pStyle w:val="Default"/>
        <w:jc w:val="thaiDistribute"/>
        <w:rPr>
          <w:rFonts w:eastAsia="Calibri"/>
          <w:b/>
          <w:bCs/>
          <w:color w:val="C00000"/>
          <w:sz w:val="20"/>
          <w:szCs w:val="20"/>
        </w:rPr>
      </w:pPr>
      <w:r w:rsidRPr="00255F97">
        <w:rPr>
          <w:rFonts w:eastAsia="Calibri"/>
          <w:b/>
          <w:bCs/>
          <w:color w:val="C00000"/>
          <w:sz w:val="20"/>
          <w:szCs w:val="20"/>
        </w:rPr>
        <w:t xml:space="preserve">Responsibilities of the directors for the consolidated and separate financial statements </w:t>
      </w:r>
    </w:p>
    <w:p w:rsidR="009159D4" w:rsidRPr="00255F97" w:rsidRDefault="009159D4" w:rsidP="009159D4">
      <w:pPr>
        <w:pStyle w:val="Default"/>
        <w:jc w:val="thaiDistribute"/>
        <w:rPr>
          <w:rFonts w:eastAsia="Calibri"/>
          <w:b/>
          <w:bCs/>
          <w:color w:val="C00000"/>
          <w:sz w:val="12"/>
          <w:szCs w:val="12"/>
        </w:rPr>
      </w:pPr>
    </w:p>
    <w:p w:rsidR="009159D4" w:rsidRPr="00255F97" w:rsidRDefault="009159D4" w:rsidP="009159D4">
      <w:pPr>
        <w:spacing w:after="0" w:line="240" w:lineRule="auto"/>
        <w:jc w:val="thaiDistribute"/>
        <w:rPr>
          <w:rFonts w:ascii="Arial" w:hAnsi="Arial" w:cs="Arial"/>
          <w:sz w:val="18"/>
          <w:szCs w:val="18"/>
        </w:rPr>
      </w:pPr>
      <w:r w:rsidRPr="00255F97">
        <w:rPr>
          <w:rFonts w:ascii="Arial" w:hAnsi="Arial" w:cs="Arial"/>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9159D4" w:rsidRPr="00255F97" w:rsidRDefault="009159D4" w:rsidP="009159D4">
      <w:pPr>
        <w:spacing w:after="0" w:line="240" w:lineRule="auto"/>
        <w:jc w:val="thaiDistribute"/>
        <w:rPr>
          <w:rFonts w:ascii="Arial" w:hAnsi="Arial" w:cs="Arial"/>
          <w:sz w:val="18"/>
          <w:szCs w:val="18"/>
        </w:rPr>
      </w:pPr>
    </w:p>
    <w:p w:rsidR="009159D4" w:rsidRPr="00255F97" w:rsidRDefault="009159D4" w:rsidP="009159D4">
      <w:pPr>
        <w:spacing w:after="0" w:line="240" w:lineRule="auto"/>
        <w:jc w:val="thaiDistribute"/>
        <w:rPr>
          <w:rFonts w:ascii="Arial" w:hAnsi="Arial" w:cs="Arial"/>
          <w:sz w:val="18"/>
          <w:szCs w:val="18"/>
        </w:rPr>
      </w:pPr>
      <w:r w:rsidRPr="00255F97">
        <w:rPr>
          <w:rFonts w:ascii="Arial" w:hAnsi="Arial" w:cs="Arial"/>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9159D4" w:rsidRPr="00255F97" w:rsidRDefault="009159D4" w:rsidP="009159D4">
      <w:pPr>
        <w:spacing w:after="0" w:line="240" w:lineRule="auto"/>
        <w:jc w:val="thaiDistribute"/>
        <w:rPr>
          <w:rFonts w:ascii="Arial" w:hAnsi="Arial" w:cs="Arial"/>
          <w:sz w:val="18"/>
          <w:szCs w:val="18"/>
        </w:rPr>
      </w:pPr>
    </w:p>
    <w:p w:rsidR="009159D4" w:rsidRPr="00255F97" w:rsidRDefault="009159D4" w:rsidP="009159D4">
      <w:pPr>
        <w:spacing w:after="0" w:line="240" w:lineRule="auto"/>
        <w:jc w:val="thaiDistribute"/>
        <w:rPr>
          <w:rFonts w:ascii="Arial" w:hAnsi="Arial" w:cs="Arial"/>
          <w:sz w:val="18"/>
          <w:szCs w:val="18"/>
        </w:rPr>
      </w:pPr>
      <w:r w:rsidRPr="00255F97">
        <w:rPr>
          <w:rFonts w:ascii="Arial" w:hAnsi="Arial" w:cs="Arial"/>
          <w:sz w:val="18"/>
          <w:szCs w:val="18"/>
        </w:rPr>
        <w:t xml:space="preserve">The audit committee assists the directors in discharging their responsibilities for overseeing the Group and the Company’s financial reporting process. </w:t>
      </w:r>
    </w:p>
    <w:p w:rsidR="00240078" w:rsidRDefault="00240078" w:rsidP="008B018B">
      <w:pPr>
        <w:pStyle w:val="Default"/>
        <w:jc w:val="thaiDistribute"/>
        <w:rPr>
          <w:b/>
          <w:bCs/>
          <w:sz w:val="18"/>
          <w:szCs w:val="18"/>
        </w:rPr>
      </w:pPr>
    </w:p>
    <w:p w:rsidR="009159D4" w:rsidRPr="00255F97" w:rsidRDefault="009159D4" w:rsidP="009159D4">
      <w:pPr>
        <w:pStyle w:val="Default"/>
        <w:jc w:val="thaiDistribute"/>
        <w:rPr>
          <w:rFonts w:eastAsia="Calibri"/>
          <w:b/>
          <w:bCs/>
          <w:color w:val="C00000"/>
          <w:sz w:val="20"/>
          <w:szCs w:val="20"/>
        </w:rPr>
      </w:pPr>
      <w:r w:rsidRPr="00255F97">
        <w:rPr>
          <w:rFonts w:eastAsia="Calibri"/>
          <w:b/>
          <w:bCs/>
          <w:color w:val="C00000"/>
          <w:sz w:val="20"/>
          <w:szCs w:val="20"/>
        </w:rPr>
        <w:t>Auditor’s responsibilities for the audit of the consolidated and separate financial statements</w:t>
      </w:r>
    </w:p>
    <w:p w:rsidR="009159D4" w:rsidRPr="00255F97" w:rsidRDefault="009159D4" w:rsidP="009159D4">
      <w:pPr>
        <w:pStyle w:val="Default"/>
        <w:jc w:val="thaiDistribute"/>
        <w:rPr>
          <w:rFonts w:eastAsia="Calibri"/>
          <w:b/>
          <w:bCs/>
          <w:color w:val="C00000"/>
          <w:sz w:val="12"/>
          <w:szCs w:val="12"/>
        </w:rPr>
      </w:pPr>
    </w:p>
    <w:p w:rsidR="005D072C" w:rsidRPr="009159D4" w:rsidRDefault="009159D4" w:rsidP="003245F3">
      <w:pPr>
        <w:pStyle w:val="Default"/>
        <w:rPr>
          <w:b/>
          <w:bCs/>
          <w:color w:val="C00000"/>
          <w:sz w:val="18"/>
          <w:szCs w:val="18"/>
        </w:rPr>
      </w:pPr>
      <w:r w:rsidRPr="00255F97">
        <w:rPr>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54692" w:rsidRPr="009159D4" w:rsidRDefault="00254692" w:rsidP="00F67AF3">
      <w:pPr>
        <w:spacing w:after="0" w:line="240" w:lineRule="auto"/>
        <w:rPr>
          <w:rFonts w:ascii="Arial" w:hAnsi="Arial" w:cs="Arial"/>
          <w:b/>
          <w:bCs/>
          <w:color w:val="C00000"/>
          <w:sz w:val="18"/>
          <w:szCs w:val="18"/>
        </w:rPr>
        <w:sectPr w:rsidR="00254692" w:rsidRPr="009159D4" w:rsidSect="003245F3">
          <w:headerReference w:type="default" r:id="rId9"/>
          <w:pgSz w:w="11909" w:h="16834" w:code="9"/>
          <w:pgMar w:top="2880" w:right="720" w:bottom="1584" w:left="1987" w:header="706" w:footer="706" w:gutter="0"/>
          <w:cols w:space="708"/>
          <w:docGrid w:linePitch="360"/>
        </w:sectPr>
      </w:pPr>
    </w:p>
    <w:p w:rsidR="00B91979" w:rsidRPr="009159D4" w:rsidRDefault="00B91979" w:rsidP="00F67AF3">
      <w:pPr>
        <w:pStyle w:val="Default"/>
        <w:jc w:val="thaiDistribute"/>
        <w:rPr>
          <w:sz w:val="18"/>
          <w:szCs w:val="18"/>
        </w:rPr>
      </w:pPr>
      <w:r w:rsidRPr="009159D4">
        <w:rPr>
          <w:sz w:val="18"/>
          <w:szCs w:val="18"/>
        </w:rPr>
        <w:t>As part of an audit in accordance with TSAs, I exercise professional judgm</w:t>
      </w:r>
      <w:r w:rsidR="00A00386" w:rsidRPr="009159D4">
        <w:rPr>
          <w:sz w:val="18"/>
          <w:szCs w:val="18"/>
        </w:rPr>
        <w:t xml:space="preserve">ent and maintain professional </w:t>
      </w:r>
      <w:r w:rsidR="007B209C" w:rsidRPr="009159D4">
        <w:rPr>
          <w:sz w:val="18"/>
          <w:szCs w:val="18"/>
        </w:rPr>
        <w:t>s</w:t>
      </w:r>
      <w:r w:rsidR="007A3ACC" w:rsidRPr="009159D4">
        <w:rPr>
          <w:sz w:val="18"/>
          <w:szCs w:val="18"/>
        </w:rPr>
        <w:t>c</w:t>
      </w:r>
      <w:r w:rsidRPr="009159D4">
        <w:rPr>
          <w:sz w:val="18"/>
          <w:szCs w:val="18"/>
        </w:rPr>
        <w:t xml:space="preserve">epticism throughout the audit. I also: </w:t>
      </w:r>
    </w:p>
    <w:p w:rsidR="000D55B0" w:rsidRPr="009159D4" w:rsidRDefault="000D55B0" w:rsidP="00F67AF3">
      <w:pPr>
        <w:pStyle w:val="Default"/>
        <w:jc w:val="thaiDistribute"/>
        <w:rPr>
          <w:sz w:val="18"/>
          <w:szCs w:val="18"/>
        </w:rPr>
      </w:pPr>
    </w:p>
    <w:p w:rsidR="0049535D" w:rsidRPr="009159D4" w:rsidRDefault="00FE6CF3" w:rsidP="00F67AF3">
      <w:pPr>
        <w:pStyle w:val="Default"/>
        <w:numPr>
          <w:ilvl w:val="0"/>
          <w:numId w:val="1"/>
        </w:numPr>
        <w:tabs>
          <w:tab w:val="clear" w:pos="720"/>
          <w:tab w:val="num" w:pos="540"/>
        </w:tabs>
        <w:ind w:left="540"/>
        <w:jc w:val="thaiDistribute"/>
        <w:rPr>
          <w:sz w:val="18"/>
          <w:szCs w:val="18"/>
        </w:rPr>
      </w:pPr>
      <w:r w:rsidRPr="009159D4">
        <w:rPr>
          <w:sz w:val="18"/>
          <w:szCs w:val="18"/>
        </w:rPr>
        <w:t>Identify and assess the risks of material misstatement of the</w:t>
      </w:r>
      <w:r w:rsidR="00900250" w:rsidRPr="009159D4">
        <w:rPr>
          <w:sz w:val="18"/>
          <w:szCs w:val="18"/>
        </w:rPr>
        <w:t xml:space="preserve"> consolidated and </w:t>
      </w:r>
      <w:r w:rsidR="00D0685C" w:rsidRPr="009159D4">
        <w:rPr>
          <w:sz w:val="18"/>
          <w:szCs w:val="18"/>
        </w:rPr>
        <w:t xml:space="preserve">separate </w:t>
      </w:r>
      <w:r w:rsidRPr="009159D4">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9159D4" w:rsidRDefault="00240078" w:rsidP="00F67AF3">
      <w:pPr>
        <w:pStyle w:val="Default"/>
        <w:ind w:left="540"/>
        <w:jc w:val="thaiDistribute"/>
        <w:rPr>
          <w:sz w:val="12"/>
          <w:szCs w:val="12"/>
        </w:rPr>
      </w:pPr>
    </w:p>
    <w:p w:rsidR="0049535D" w:rsidRPr="009159D4" w:rsidRDefault="00FE6CF3" w:rsidP="00F67AF3">
      <w:pPr>
        <w:pStyle w:val="Default"/>
        <w:numPr>
          <w:ilvl w:val="0"/>
          <w:numId w:val="1"/>
        </w:numPr>
        <w:tabs>
          <w:tab w:val="clear" w:pos="720"/>
          <w:tab w:val="num" w:pos="540"/>
        </w:tabs>
        <w:ind w:left="540"/>
        <w:jc w:val="thaiDistribute"/>
        <w:rPr>
          <w:sz w:val="18"/>
          <w:szCs w:val="18"/>
        </w:rPr>
      </w:pPr>
      <w:r w:rsidRPr="009159D4">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9159D4">
        <w:rPr>
          <w:sz w:val="18"/>
          <w:szCs w:val="18"/>
        </w:rPr>
        <w:t xml:space="preserve">Group and </w:t>
      </w:r>
      <w:r w:rsidR="007A3ACC" w:rsidRPr="009159D4">
        <w:rPr>
          <w:sz w:val="18"/>
          <w:szCs w:val="18"/>
        </w:rPr>
        <w:t xml:space="preserve">the </w:t>
      </w:r>
      <w:r w:rsidRPr="009159D4">
        <w:rPr>
          <w:sz w:val="18"/>
          <w:szCs w:val="18"/>
        </w:rPr>
        <w:t xml:space="preserve">Company’s internal control. </w:t>
      </w:r>
    </w:p>
    <w:p w:rsidR="00240078" w:rsidRPr="009159D4" w:rsidRDefault="00240078" w:rsidP="00F67AF3">
      <w:pPr>
        <w:pStyle w:val="Default"/>
        <w:ind w:left="540"/>
        <w:jc w:val="thaiDistribute"/>
        <w:rPr>
          <w:sz w:val="12"/>
          <w:szCs w:val="12"/>
        </w:rPr>
      </w:pPr>
    </w:p>
    <w:p w:rsidR="009E67FA" w:rsidRDefault="00FE6CF3" w:rsidP="00F67AF3">
      <w:pPr>
        <w:pStyle w:val="Default"/>
        <w:numPr>
          <w:ilvl w:val="0"/>
          <w:numId w:val="1"/>
        </w:numPr>
        <w:tabs>
          <w:tab w:val="clear" w:pos="720"/>
          <w:tab w:val="num" w:pos="540"/>
        </w:tabs>
        <w:ind w:left="540"/>
        <w:jc w:val="thaiDistribute"/>
        <w:rPr>
          <w:sz w:val="18"/>
          <w:szCs w:val="18"/>
        </w:rPr>
      </w:pPr>
      <w:r w:rsidRPr="009159D4">
        <w:rPr>
          <w:sz w:val="18"/>
          <w:szCs w:val="18"/>
        </w:rPr>
        <w:t xml:space="preserve">Evaluate the appropriateness of accounting policies used and the reasonableness of accounting estimates and related disclosures made by </w:t>
      </w:r>
      <w:r w:rsidR="00D0685C" w:rsidRPr="009159D4">
        <w:rPr>
          <w:sz w:val="18"/>
          <w:szCs w:val="18"/>
        </w:rPr>
        <w:t>the directors</w:t>
      </w:r>
      <w:r w:rsidRPr="009159D4">
        <w:rPr>
          <w:sz w:val="18"/>
          <w:szCs w:val="18"/>
        </w:rPr>
        <w:t xml:space="preserve">. </w:t>
      </w:r>
    </w:p>
    <w:p w:rsidR="009159D4" w:rsidRPr="003245F3" w:rsidRDefault="009159D4" w:rsidP="003245F3">
      <w:pPr>
        <w:pStyle w:val="Default"/>
        <w:ind w:left="540"/>
        <w:jc w:val="thaiDistribute"/>
        <w:rPr>
          <w:sz w:val="12"/>
          <w:szCs w:val="12"/>
        </w:rPr>
      </w:pPr>
    </w:p>
    <w:p w:rsidR="0049535D" w:rsidRPr="009159D4" w:rsidRDefault="00FE6CF3" w:rsidP="00F67AF3">
      <w:pPr>
        <w:pStyle w:val="Default"/>
        <w:numPr>
          <w:ilvl w:val="0"/>
          <w:numId w:val="1"/>
        </w:numPr>
        <w:tabs>
          <w:tab w:val="clear" w:pos="720"/>
          <w:tab w:val="num" w:pos="540"/>
        </w:tabs>
        <w:ind w:left="540"/>
        <w:jc w:val="thaiDistribute"/>
        <w:rPr>
          <w:sz w:val="18"/>
          <w:szCs w:val="18"/>
        </w:rPr>
      </w:pPr>
      <w:r w:rsidRPr="009159D4">
        <w:rPr>
          <w:sz w:val="18"/>
          <w:szCs w:val="18"/>
        </w:rPr>
        <w:t xml:space="preserve">Conclude on the appropriateness of </w:t>
      </w:r>
      <w:r w:rsidR="00D0685C" w:rsidRPr="009159D4">
        <w:rPr>
          <w:sz w:val="18"/>
          <w:szCs w:val="18"/>
        </w:rPr>
        <w:t>the directors’</w:t>
      </w:r>
      <w:r w:rsidRPr="009159D4">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9159D4">
        <w:rPr>
          <w:sz w:val="18"/>
          <w:szCs w:val="18"/>
        </w:rPr>
        <w:t xml:space="preserve">Group and </w:t>
      </w:r>
      <w:r w:rsidR="007A3ACC" w:rsidRPr="009159D4">
        <w:rPr>
          <w:sz w:val="18"/>
          <w:szCs w:val="18"/>
        </w:rPr>
        <w:t xml:space="preserve">the </w:t>
      </w:r>
      <w:r w:rsidRPr="009159D4">
        <w:rPr>
          <w:sz w:val="18"/>
          <w:szCs w:val="18"/>
        </w:rPr>
        <w:t>Company’s ability to continue as a going concern. If I conclude that a material uncertainty exists, I am required to draw attention in my auditor’s report to the related disclosures in the</w:t>
      </w:r>
      <w:r w:rsidR="00D11F81" w:rsidRPr="009159D4">
        <w:rPr>
          <w:sz w:val="18"/>
          <w:szCs w:val="18"/>
        </w:rPr>
        <w:t xml:space="preserve"> consolidated and </w:t>
      </w:r>
      <w:r w:rsidR="00D0685C" w:rsidRPr="009159D4">
        <w:rPr>
          <w:sz w:val="18"/>
          <w:szCs w:val="18"/>
        </w:rPr>
        <w:t xml:space="preserve">separate </w:t>
      </w:r>
      <w:r w:rsidRPr="009159D4">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9159D4">
        <w:rPr>
          <w:sz w:val="18"/>
          <w:szCs w:val="18"/>
        </w:rPr>
        <w:t xml:space="preserve">Group and </w:t>
      </w:r>
      <w:r w:rsidR="007A3ACC" w:rsidRPr="009159D4">
        <w:rPr>
          <w:sz w:val="18"/>
          <w:szCs w:val="18"/>
        </w:rPr>
        <w:t xml:space="preserve">the </w:t>
      </w:r>
      <w:r w:rsidRPr="009159D4">
        <w:rPr>
          <w:sz w:val="18"/>
          <w:szCs w:val="18"/>
        </w:rPr>
        <w:t xml:space="preserve">Company to cease to continue as a going concern. </w:t>
      </w:r>
    </w:p>
    <w:p w:rsidR="00240078" w:rsidRPr="009159D4" w:rsidRDefault="00240078" w:rsidP="00F67AF3">
      <w:pPr>
        <w:pStyle w:val="Default"/>
        <w:ind w:left="540"/>
        <w:jc w:val="thaiDistribute"/>
        <w:rPr>
          <w:sz w:val="12"/>
          <w:szCs w:val="12"/>
        </w:rPr>
      </w:pPr>
    </w:p>
    <w:p w:rsidR="0049535D" w:rsidRPr="009159D4" w:rsidRDefault="00FE6CF3" w:rsidP="00F67AF3">
      <w:pPr>
        <w:pStyle w:val="Default"/>
        <w:numPr>
          <w:ilvl w:val="0"/>
          <w:numId w:val="1"/>
        </w:numPr>
        <w:tabs>
          <w:tab w:val="clear" w:pos="720"/>
          <w:tab w:val="num" w:pos="540"/>
        </w:tabs>
        <w:ind w:left="540"/>
        <w:jc w:val="thaiDistribute"/>
        <w:rPr>
          <w:sz w:val="18"/>
          <w:szCs w:val="18"/>
        </w:rPr>
      </w:pPr>
      <w:r w:rsidRPr="009159D4">
        <w:rPr>
          <w:sz w:val="18"/>
          <w:szCs w:val="18"/>
        </w:rPr>
        <w:t xml:space="preserve">Evaluate the overall presentation, structure and content of the </w:t>
      </w:r>
      <w:r w:rsidR="00900250" w:rsidRPr="009159D4">
        <w:rPr>
          <w:sz w:val="18"/>
          <w:szCs w:val="18"/>
        </w:rPr>
        <w:t xml:space="preserve">consolidated and </w:t>
      </w:r>
      <w:r w:rsidR="00D0685C" w:rsidRPr="009159D4">
        <w:rPr>
          <w:sz w:val="18"/>
          <w:szCs w:val="18"/>
        </w:rPr>
        <w:t xml:space="preserve">separate </w:t>
      </w:r>
      <w:r w:rsidRPr="009159D4">
        <w:rPr>
          <w:sz w:val="18"/>
          <w:szCs w:val="18"/>
        </w:rPr>
        <w:t xml:space="preserve">financial statements, including the disclosures, and whether the </w:t>
      </w:r>
      <w:r w:rsidR="00900250" w:rsidRPr="009159D4">
        <w:rPr>
          <w:sz w:val="18"/>
          <w:szCs w:val="18"/>
        </w:rPr>
        <w:t xml:space="preserve">consolidated and </w:t>
      </w:r>
      <w:r w:rsidR="00D0685C" w:rsidRPr="009159D4">
        <w:rPr>
          <w:sz w:val="18"/>
          <w:szCs w:val="18"/>
        </w:rPr>
        <w:t xml:space="preserve">separate </w:t>
      </w:r>
      <w:r w:rsidRPr="009159D4">
        <w:rPr>
          <w:sz w:val="18"/>
          <w:szCs w:val="18"/>
        </w:rPr>
        <w:t xml:space="preserve">financial statements represent the underlying transactions and events in a manner that achieves fair presentation. </w:t>
      </w:r>
    </w:p>
    <w:p w:rsidR="00240078" w:rsidRPr="009159D4" w:rsidRDefault="00240078" w:rsidP="00F67AF3">
      <w:pPr>
        <w:pStyle w:val="Default"/>
        <w:ind w:left="540"/>
        <w:jc w:val="thaiDistribute"/>
        <w:rPr>
          <w:sz w:val="12"/>
          <w:szCs w:val="12"/>
        </w:rPr>
      </w:pPr>
    </w:p>
    <w:p w:rsidR="00B41448" w:rsidRPr="009159D4" w:rsidRDefault="002F280C" w:rsidP="00F67AF3">
      <w:pPr>
        <w:pStyle w:val="Default"/>
        <w:numPr>
          <w:ilvl w:val="0"/>
          <w:numId w:val="1"/>
        </w:numPr>
        <w:tabs>
          <w:tab w:val="clear" w:pos="720"/>
          <w:tab w:val="num" w:pos="540"/>
        </w:tabs>
        <w:ind w:left="540"/>
        <w:jc w:val="thaiDistribute"/>
        <w:rPr>
          <w:sz w:val="18"/>
          <w:szCs w:val="18"/>
        </w:rPr>
      </w:pPr>
      <w:r w:rsidRPr="009159D4">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9159D4" w:rsidRDefault="00B91979" w:rsidP="008B018B">
      <w:pPr>
        <w:pStyle w:val="Default"/>
        <w:jc w:val="thaiDistribute"/>
        <w:rPr>
          <w:sz w:val="18"/>
          <w:szCs w:val="18"/>
        </w:rPr>
      </w:pPr>
    </w:p>
    <w:p w:rsidR="00B91979" w:rsidRPr="009159D4" w:rsidRDefault="00B91979" w:rsidP="00F67AF3">
      <w:pPr>
        <w:pStyle w:val="Default"/>
        <w:jc w:val="thaiDistribute"/>
        <w:rPr>
          <w:sz w:val="18"/>
          <w:szCs w:val="18"/>
        </w:rPr>
      </w:pPr>
      <w:r w:rsidRPr="009159D4">
        <w:rPr>
          <w:sz w:val="18"/>
          <w:szCs w:val="18"/>
        </w:rPr>
        <w:t xml:space="preserve">I communicate with </w:t>
      </w:r>
      <w:r w:rsidR="00D0685C" w:rsidRPr="009159D4">
        <w:rPr>
          <w:sz w:val="18"/>
          <w:szCs w:val="18"/>
        </w:rPr>
        <w:t xml:space="preserve">the audit committee </w:t>
      </w:r>
      <w:r w:rsidRPr="009159D4">
        <w:rPr>
          <w:sz w:val="18"/>
          <w:szCs w:val="18"/>
        </w:rPr>
        <w:t xml:space="preserve">regarding, among other matters, the planned scope and timing of the audit and significant audit findings, including any significant deficiencies in internal control </w:t>
      </w:r>
      <w:r w:rsidR="008B018B" w:rsidRPr="009159D4">
        <w:rPr>
          <w:sz w:val="18"/>
          <w:szCs w:val="18"/>
        </w:rPr>
        <w:t xml:space="preserve">if </w:t>
      </w:r>
      <w:r w:rsidRPr="009159D4">
        <w:rPr>
          <w:sz w:val="18"/>
          <w:szCs w:val="18"/>
        </w:rPr>
        <w:t xml:space="preserve">I identify during my audit. </w:t>
      </w:r>
    </w:p>
    <w:p w:rsidR="00B91979" w:rsidRPr="009159D4" w:rsidRDefault="00B91979" w:rsidP="00F67AF3">
      <w:pPr>
        <w:pStyle w:val="Default"/>
        <w:jc w:val="thaiDistribute"/>
        <w:rPr>
          <w:sz w:val="18"/>
          <w:szCs w:val="18"/>
        </w:rPr>
      </w:pPr>
    </w:p>
    <w:p w:rsidR="00B91979" w:rsidRPr="009159D4" w:rsidRDefault="00B91979" w:rsidP="00F67AF3">
      <w:pPr>
        <w:pStyle w:val="Default"/>
        <w:jc w:val="thaiDistribute"/>
        <w:rPr>
          <w:sz w:val="18"/>
          <w:szCs w:val="18"/>
        </w:rPr>
      </w:pPr>
      <w:r w:rsidRPr="009159D4">
        <w:rPr>
          <w:sz w:val="18"/>
          <w:szCs w:val="18"/>
        </w:rPr>
        <w:t xml:space="preserve">I also provide </w:t>
      </w:r>
      <w:r w:rsidR="00D0685C" w:rsidRPr="009159D4">
        <w:rPr>
          <w:sz w:val="18"/>
          <w:szCs w:val="18"/>
        </w:rPr>
        <w:t xml:space="preserve">the audit committee </w:t>
      </w:r>
      <w:r w:rsidRPr="009159D4">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9159D4" w:rsidRDefault="00B91979" w:rsidP="00F67AF3">
      <w:pPr>
        <w:pStyle w:val="Default"/>
        <w:jc w:val="thaiDistribute"/>
        <w:rPr>
          <w:sz w:val="18"/>
          <w:szCs w:val="18"/>
        </w:rPr>
      </w:pPr>
    </w:p>
    <w:p w:rsidR="00B91979" w:rsidRPr="009159D4" w:rsidRDefault="00B91979" w:rsidP="00F67AF3">
      <w:pPr>
        <w:pStyle w:val="Default"/>
        <w:jc w:val="thaiDistribute"/>
        <w:rPr>
          <w:sz w:val="18"/>
          <w:szCs w:val="18"/>
        </w:rPr>
      </w:pPr>
      <w:r w:rsidRPr="009159D4">
        <w:rPr>
          <w:sz w:val="18"/>
          <w:szCs w:val="18"/>
        </w:rPr>
        <w:t xml:space="preserve">From the matters communicated with </w:t>
      </w:r>
      <w:r w:rsidR="00D0685C" w:rsidRPr="009159D4">
        <w:rPr>
          <w:sz w:val="18"/>
          <w:szCs w:val="18"/>
        </w:rPr>
        <w:t>the audit committee</w:t>
      </w:r>
      <w:r w:rsidRPr="009159D4">
        <w:rPr>
          <w:sz w:val="18"/>
          <w:szCs w:val="18"/>
        </w:rPr>
        <w:t xml:space="preserve">, I determine those matters that were of most significance in the audit of the </w:t>
      </w:r>
      <w:r w:rsidR="00900250" w:rsidRPr="009159D4">
        <w:rPr>
          <w:sz w:val="18"/>
          <w:szCs w:val="18"/>
        </w:rPr>
        <w:t xml:space="preserve">consolidated </w:t>
      </w:r>
      <w:r w:rsidR="006E2ABA" w:rsidRPr="009159D4">
        <w:rPr>
          <w:sz w:val="18"/>
          <w:szCs w:val="18"/>
        </w:rPr>
        <w:t xml:space="preserve">and separate </w:t>
      </w:r>
      <w:r w:rsidRPr="009159D4">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9159D4" w:rsidRDefault="008D64B8">
      <w:pPr>
        <w:pStyle w:val="Default"/>
        <w:rPr>
          <w:sz w:val="18"/>
          <w:szCs w:val="18"/>
        </w:rPr>
      </w:pPr>
    </w:p>
    <w:p w:rsidR="00D0685C" w:rsidRPr="009159D4" w:rsidRDefault="00D0685C">
      <w:pPr>
        <w:suppressAutoHyphens/>
        <w:spacing w:after="0" w:line="240" w:lineRule="auto"/>
        <w:rPr>
          <w:rFonts w:ascii="Arial" w:hAnsi="Arial" w:cs="Arial"/>
          <w:sz w:val="18"/>
          <w:szCs w:val="18"/>
          <w:lang w:val="en-US"/>
        </w:rPr>
      </w:pPr>
    </w:p>
    <w:p w:rsidR="00D0685C" w:rsidRPr="009159D4" w:rsidRDefault="00D0685C">
      <w:pPr>
        <w:suppressAutoHyphens/>
        <w:spacing w:after="0" w:line="240" w:lineRule="auto"/>
        <w:rPr>
          <w:rFonts w:ascii="Arial" w:hAnsi="Arial" w:cs="Arial"/>
          <w:sz w:val="18"/>
          <w:szCs w:val="18"/>
          <w:lang w:val="en-US"/>
        </w:rPr>
      </w:pPr>
      <w:r w:rsidRPr="009159D4">
        <w:rPr>
          <w:rFonts w:ascii="Arial" w:hAnsi="Arial" w:cs="Arial"/>
          <w:sz w:val="18"/>
          <w:szCs w:val="18"/>
          <w:lang w:val="en-US"/>
        </w:rPr>
        <w:t>PricewaterhouseCoopers ABAS Ltd.</w:t>
      </w:r>
    </w:p>
    <w:p w:rsidR="008D64B8" w:rsidRPr="009159D4" w:rsidRDefault="008D64B8">
      <w:pPr>
        <w:pStyle w:val="Default"/>
        <w:rPr>
          <w:sz w:val="18"/>
          <w:szCs w:val="18"/>
        </w:rPr>
      </w:pPr>
    </w:p>
    <w:p w:rsidR="000D55B0" w:rsidRPr="009159D4" w:rsidRDefault="000D55B0">
      <w:pPr>
        <w:suppressAutoHyphens/>
        <w:spacing w:after="0" w:line="240" w:lineRule="auto"/>
        <w:rPr>
          <w:rFonts w:ascii="Arial" w:hAnsi="Arial" w:cs="Arial"/>
          <w:sz w:val="18"/>
          <w:szCs w:val="18"/>
        </w:rPr>
      </w:pPr>
    </w:p>
    <w:p w:rsidR="003D3D27" w:rsidRPr="009159D4" w:rsidRDefault="003D3D27">
      <w:pPr>
        <w:suppressAutoHyphens/>
        <w:spacing w:after="0" w:line="240" w:lineRule="auto"/>
        <w:rPr>
          <w:rFonts w:ascii="Arial" w:hAnsi="Arial" w:cs="Arial"/>
          <w:sz w:val="18"/>
          <w:szCs w:val="18"/>
        </w:rPr>
      </w:pPr>
    </w:p>
    <w:p w:rsidR="003D3D27" w:rsidRPr="009159D4" w:rsidRDefault="003D3D27">
      <w:pPr>
        <w:suppressAutoHyphens/>
        <w:spacing w:after="0" w:line="240" w:lineRule="auto"/>
        <w:rPr>
          <w:rFonts w:ascii="Arial" w:hAnsi="Arial" w:cs="Arial"/>
          <w:sz w:val="18"/>
          <w:szCs w:val="18"/>
        </w:rPr>
      </w:pPr>
    </w:p>
    <w:p w:rsidR="003D3D27" w:rsidRPr="009159D4" w:rsidRDefault="003D3D27">
      <w:pPr>
        <w:suppressAutoHyphens/>
        <w:spacing w:after="0" w:line="240" w:lineRule="auto"/>
        <w:rPr>
          <w:rFonts w:ascii="Arial" w:hAnsi="Arial" w:cs="Arial"/>
          <w:sz w:val="18"/>
          <w:szCs w:val="18"/>
        </w:rPr>
      </w:pPr>
    </w:p>
    <w:p w:rsidR="003D3D27" w:rsidRPr="009159D4" w:rsidRDefault="003D3D27">
      <w:pPr>
        <w:suppressAutoHyphens/>
        <w:spacing w:after="0" w:line="240" w:lineRule="auto"/>
        <w:rPr>
          <w:rFonts w:ascii="Arial" w:hAnsi="Arial" w:cs="Arial"/>
          <w:sz w:val="18"/>
          <w:szCs w:val="18"/>
        </w:rPr>
      </w:pPr>
    </w:p>
    <w:p w:rsidR="003D3D27" w:rsidRPr="009159D4" w:rsidRDefault="003D3D27">
      <w:pPr>
        <w:suppressAutoHyphens/>
        <w:spacing w:after="0" w:line="240" w:lineRule="auto"/>
        <w:rPr>
          <w:rFonts w:ascii="Arial" w:hAnsi="Arial" w:cs="Arial"/>
          <w:sz w:val="18"/>
          <w:szCs w:val="18"/>
        </w:rPr>
      </w:pPr>
    </w:p>
    <w:p w:rsidR="005B1E87" w:rsidRPr="003245F3" w:rsidRDefault="00053CAC">
      <w:pPr>
        <w:suppressAutoHyphens/>
        <w:spacing w:after="0" w:line="240" w:lineRule="auto"/>
        <w:rPr>
          <w:rFonts w:ascii="Arial" w:hAnsi="Arial" w:cs="Arial"/>
          <w:b/>
          <w:bCs/>
          <w:sz w:val="18"/>
          <w:szCs w:val="18"/>
          <w:lang w:val="en-US"/>
        </w:rPr>
      </w:pPr>
      <w:proofErr w:type="spellStart"/>
      <w:r w:rsidRPr="003245F3">
        <w:rPr>
          <w:rFonts w:ascii="Arial" w:hAnsi="Arial" w:cs="Arial"/>
          <w:b/>
          <w:bCs/>
          <w:sz w:val="18"/>
          <w:szCs w:val="18"/>
          <w:lang w:val="en-US"/>
        </w:rPr>
        <w:t>Nattaporn</w:t>
      </w:r>
      <w:proofErr w:type="spellEnd"/>
      <w:r w:rsidRPr="003245F3">
        <w:rPr>
          <w:rFonts w:ascii="Arial" w:hAnsi="Arial" w:cs="Arial"/>
          <w:b/>
          <w:bCs/>
          <w:sz w:val="18"/>
          <w:szCs w:val="18"/>
          <w:lang w:val="en-US"/>
        </w:rPr>
        <w:t xml:space="preserve"> Phan-</w:t>
      </w:r>
      <w:proofErr w:type="spellStart"/>
      <w:r w:rsidRPr="003245F3">
        <w:rPr>
          <w:rFonts w:ascii="Arial" w:hAnsi="Arial" w:cs="Arial"/>
          <w:b/>
          <w:bCs/>
          <w:sz w:val="18"/>
          <w:szCs w:val="18"/>
          <w:lang w:val="en-US"/>
        </w:rPr>
        <w:t>Udom</w:t>
      </w:r>
      <w:proofErr w:type="spellEnd"/>
    </w:p>
    <w:p w:rsidR="005B1E87" w:rsidRPr="009159D4" w:rsidRDefault="005B1E87">
      <w:pPr>
        <w:suppressAutoHyphens/>
        <w:spacing w:after="0" w:line="240" w:lineRule="auto"/>
        <w:rPr>
          <w:rFonts w:ascii="Arial" w:hAnsi="Arial" w:cs="Arial"/>
          <w:sz w:val="18"/>
          <w:szCs w:val="18"/>
          <w:lang w:val="en-US"/>
        </w:rPr>
      </w:pPr>
      <w:r w:rsidRPr="009159D4">
        <w:rPr>
          <w:rFonts w:ascii="Arial" w:hAnsi="Arial" w:cs="Arial"/>
          <w:sz w:val="18"/>
          <w:szCs w:val="18"/>
          <w:lang w:val="en-US"/>
        </w:rPr>
        <w:t xml:space="preserve">Certified Public Accountant (Thailand) No. </w:t>
      </w:r>
      <w:r w:rsidR="00053CAC" w:rsidRPr="009159D4">
        <w:rPr>
          <w:rFonts w:ascii="Arial" w:hAnsi="Arial" w:cs="Arial"/>
          <w:sz w:val="18"/>
          <w:szCs w:val="18"/>
          <w:lang w:val="en-US"/>
        </w:rPr>
        <w:t>3430</w:t>
      </w:r>
    </w:p>
    <w:p w:rsidR="00053CAC" w:rsidRPr="009159D4" w:rsidRDefault="00053CAC">
      <w:pPr>
        <w:suppressAutoHyphens/>
        <w:spacing w:after="0" w:line="240" w:lineRule="auto"/>
        <w:rPr>
          <w:rFonts w:ascii="Arial" w:hAnsi="Arial" w:cs="Arial"/>
          <w:i/>
          <w:sz w:val="18"/>
          <w:szCs w:val="18"/>
          <w:lang w:val="en-US"/>
        </w:rPr>
      </w:pPr>
      <w:r w:rsidRPr="009159D4">
        <w:rPr>
          <w:rFonts w:ascii="Arial" w:hAnsi="Arial" w:cs="Arial"/>
          <w:sz w:val="18"/>
          <w:szCs w:val="18"/>
          <w:lang w:val="en-US"/>
        </w:rPr>
        <w:t>PricewaterhouseCoopers ABAS Ltd.</w:t>
      </w:r>
    </w:p>
    <w:p w:rsidR="005B1E87" w:rsidRPr="00A77F73" w:rsidRDefault="005B1E87">
      <w:pPr>
        <w:suppressAutoHyphens/>
        <w:spacing w:after="0" w:line="240" w:lineRule="auto"/>
        <w:rPr>
          <w:rFonts w:ascii="Arial" w:hAnsi="Arial" w:cs="Arial"/>
          <w:sz w:val="18"/>
          <w:szCs w:val="18"/>
          <w:lang w:val="en-US"/>
        </w:rPr>
      </w:pPr>
      <w:r w:rsidRPr="00A77F73">
        <w:rPr>
          <w:rFonts w:ascii="Arial" w:hAnsi="Arial" w:cs="Arial"/>
          <w:sz w:val="18"/>
          <w:szCs w:val="18"/>
          <w:lang w:val="en-US"/>
        </w:rPr>
        <w:t>Bangkok</w:t>
      </w:r>
    </w:p>
    <w:p w:rsidR="00C46DA4" w:rsidRPr="009159D4" w:rsidRDefault="00053CAC" w:rsidP="00267B0F">
      <w:pPr>
        <w:suppressAutoHyphens/>
        <w:spacing w:after="0" w:line="240" w:lineRule="auto"/>
        <w:rPr>
          <w:sz w:val="18"/>
          <w:szCs w:val="18"/>
        </w:rPr>
      </w:pPr>
      <w:r w:rsidRPr="003245F3">
        <w:rPr>
          <w:rFonts w:ascii="Arial" w:hAnsi="Arial" w:cs="Arial"/>
          <w:sz w:val="18"/>
          <w:szCs w:val="18"/>
        </w:rPr>
        <w:t>22 February 2017</w:t>
      </w:r>
      <w:bookmarkStart w:id="0" w:name="_GoBack"/>
      <w:bookmarkEnd w:id="0"/>
    </w:p>
    <w:sectPr w:rsidR="00C46DA4" w:rsidRPr="009159D4" w:rsidSect="00F67AF3">
      <w:headerReference w:type="default" r:id="rId10"/>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4C7" w:rsidRDefault="009264C7" w:rsidP="001D338E">
      <w:pPr>
        <w:spacing w:after="0" w:line="240" w:lineRule="auto"/>
      </w:pPr>
      <w:r>
        <w:separator/>
      </w:r>
    </w:p>
  </w:endnote>
  <w:endnote w:type="continuationSeparator" w:id="0">
    <w:p w:rsidR="009264C7" w:rsidRDefault="009264C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4C7" w:rsidRDefault="009264C7" w:rsidP="001D338E">
      <w:pPr>
        <w:spacing w:after="0" w:line="240" w:lineRule="auto"/>
      </w:pPr>
      <w:r>
        <w:separator/>
      </w:r>
    </w:p>
  </w:footnote>
  <w:footnote w:type="continuationSeparator" w:id="0">
    <w:p w:rsidR="009264C7" w:rsidRDefault="009264C7"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ED3" w:rsidRPr="005D072C" w:rsidRDefault="00FA6E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00446"/>
    <w:multiLevelType w:val="hybridMultilevel"/>
    <w:tmpl w:val="52784E18"/>
    <w:lvl w:ilvl="0" w:tplc="5FCA4B8A">
      <w:numFmt w:val="bullet"/>
      <w:lvlText w:val="-"/>
      <w:lvlJc w:val="left"/>
      <w:pPr>
        <w:ind w:left="720" w:hanging="360"/>
      </w:pPr>
      <w:rPr>
        <w:rFonts w:ascii="Cordia New" w:eastAsia="Arial"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okporn Charoensu">
    <w15:presenceInfo w15:providerId="AD" w15:userId="S-1-5-21-2355301033-4048380228-1177433727-3520"/>
  </w15:person>
  <w15:person w15:author="Chotika Asawawimon">
    <w15:presenceInfo w15:providerId="AD" w15:userId="S-1-5-21-2355301033-4048380228-1177433727-1458"/>
  </w15:person>
  <w15:person w15:author="Pongkan Ngamsaengrat">
    <w15:presenceInfo w15:providerId="AD" w15:userId="S-1-5-21-2355301033-4048380228-1177433727-16824"/>
  </w15:person>
  <w15:person w15:author="Rujira Yaruang">
    <w15:presenceInfo w15:providerId="AD" w15:userId="S-1-5-21-2355301033-4048380228-1177433727-2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0145B"/>
    <w:rsid w:val="00010068"/>
    <w:rsid w:val="0002146E"/>
    <w:rsid w:val="000255F8"/>
    <w:rsid w:val="00030372"/>
    <w:rsid w:val="00053CAC"/>
    <w:rsid w:val="00061CD3"/>
    <w:rsid w:val="00062349"/>
    <w:rsid w:val="00085674"/>
    <w:rsid w:val="000A03F2"/>
    <w:rsid w:val="000C259A"/>
    <w:rsid w:val="000D0704"/>
    <w:rsid w:val="000D3728"/>
    <w:rsid w:val="000D55B0"/>
    <w:rsid w:val="000D73C6"/>
    <w:rsid w:val="00155524"/>
    <w:rsid w:val="00162905"/>
    <w:rsid w:val="0019499D"/>
    <w:rsid w:val="001C552A"/>
    <w:rsid w:val="001D2D13"/>
    <w:rsid w:val="001D338E"/>
    <w:rsid w:val="001D69A9"/>
    <w:rsid w:val="00212260"/>
    <w:rsid w:val="002265BE"/>
    <w:rsid w:val="00226F0C"/>
    <w:rsid w:val="00240078"/>
    <w:rsid w:val="00251F76"/>
    <w:rsid w:val="00254692"/>
    <w:rsid w:val="00267B0F"/>
    <w:rsid w:val="00274A61"/>
    <w:rsid w:val="0027680D"/>
    <w:rsid w:val="00293140"/>
    <w:rsid w:val="002C6202"/>
    <w:rsid w:val="002D0EEA"/>
    <w:rsid w:val="002D54B5"/>
    <w:rsid w:val="002F280C"/>
    <w:rsid w:val="00300BFF"/>
    <w:rsid w:val="0031755F"/>
    <w:rsid w:val="003245F3"/>
    <w:rsid w:val="0034029B"/>
    <w:rsid w:val="00382E88"/>
    <w:rsid w:val="003A72B7"/>
    <w:rsid w:val="003D3D27"/>
    <w:rsid w:val="003D4383"/>
    <w:rsid w:val="003E4322"/>
    <w:rsid w:val="003F06EF"/>
    <w:rsid w:val="003F125C"/>
    <w:rsid w:val="003F5B1B"/>
    <w:rsid w:val="00400CC7"/>
    <w:rsid w:val="00414571"/>
    <w:rsid w:val="00423E70"/>
    <w:rsid w:val="00433A38"/>
    <w:rsid w:val="00451658"/>
    <w:rsid w:val="0049535D"/>
    <w:rsid w:val="00496A40"/>
    <w:rsid w:val="004B0FED"/>
    <w:rsid w:val="004C55E6"/>
    <w:rsid w:val="004E0135"/>
    <w:rsid w:val="004F3206"/>
    <w:rsid w:val="00502230"/>
    <w:rsid w:val="005237A1"/>
    <w:rsid w:val="005359C0"/>
    <w:rsid w:val="00557971"/>
    <w:rsid w:val="00570A59"/>
    <w:rsid w:val="00576368"/>
    <w:rsid w:val="00596A80"/>
    <w:rsid w:val="005A6900"/>
    <w:rsid w:val="005B1E87"/>
    <w:rsid w:val="005B49D6"/>
    <w:rsid w:val="005B73B7"/>
    <w:rsid w:val="005B7867"/>
    <w:rsid w:val="005D072C"/>
    <w:rsid w:val="005E3E6C"/>
    <w:rsid w:val="005F1C97"/>
    <w:rsid w:val="00611302"/>
    <w:rsid w:val="00620568"/>
    <w:rsid w:val="0064199D"/>
    <w:rsid w:val="00653860"/>
    <w:rsid w:val="00654F92"/>
    <w:rsid w:val="006651E7"/>
    <w:rsid w:val="00670E08"/>
    <w:rsid w:val="006766E6"/>
    <w:rsid w:val="00684C98"/>
    <w:rsid w:val="00686D35"/>
    <w:rsid w:val="006911DC"/>
    <w:rsid w:val="00694F4F"/>
    <w:rsid w:val="006A1977"/>
    <w:rsid w:val="006E2ABA"/>
    <w:rsid w:val="006E587F"/>
    <w:rsid w:val="006E73A1"/>
    <w:rsid w:val="006F0131"/>
    <w:rsid w:val="00711EFC"/>
    <w:rsid w:val="00723F38"/>
    <w:rsid w:val="00740745"/>
    <w:rsid w:val="0074210C"/>
    <w:rsid w:val="00747C86"/>
    <w:rsid w:val="00756973"/>
    <w:rsid w:val="00762372"/>
    <w:rsid w:val="00772075"/>
    <w:rsid w:val="007777F0"/>
    <w:rsid w:val="007865CD"/>
    <w:rsid w:val="007877DB"/>
    <w:rsid w:val="0078780D"/>
    <w:rsid w:val="00790517"/>
    <w:rsid w:val="007913C1"/>
    <w:rsid w:val="00797D0D"/>
    <w:rsid w:val="007A323E"/>
    <w:rsid w:val="007A3ACC"/>
    <w:rsid w:val="007B209C"/>
    <w:rsid w:val="007C121D"/>
    <w:rsid w:val="007C567C"/>
    <w:rsid w:val="007D0185"/>
    <w:rsid w:val="008234A4"/>
    <w:rsid w:val="0083580C"/>
    <w:rsid w:val="00846407"/>
    <w:rsid w:val="008640AC"/>
    <w:rsid w:val="00886FDA"/>
    <w:rsid w:val="008B018B"/>
    <w:rsid w:val="008B0C6E"/>
    <w:rsid w:val="008D0003"/>
    <w:rsid w:val="008D64B8"/>
    <w:rsid w:val="008E0FC2"/>
    <w:rsid w:val="00900250"/>
    <w:rsid w:val="009009AE"/>
    <w:rsid w:val="00906B28"/>
    <w:rsid w:val="009159D4"/>
    <w:rsid w:val="00922275"/>
    <w:rsid w:val="009264C7"/>
    <w:rsid w:val="0093540C"/>
    <w:rsid w:val="00951558"/>
    <w:rsid w:val="00995360"/>
    <w:rsid w:val="009C0968"/>
    <w:rsid w:val="009C6682"/>
    <w:rsid w:val="009D6C4B"/>
    <w:rsid w:val="009E67FA"/>
    <w:rsid w:val="009F1110"/>
    <w:rsid w:val="00A00386"/>
    <w:rsid w:val="00A019FF"/>
    <w:rsid w:val="00A0577E"/>
    <w:rsid w:val="00A17EC3"/>
    <w:rsid w:val="00A3737F"/>
    <w:rsid w:val="00A51D13"/>
    <w:rsid w:val="00A60355"/>
    <w:rsid w:val="00A61058"/>
    <w:rsid w:val="00A77F73"/>
    <w:rsid w:val="00A905A8"/>
    <w:rsid w:val="00AB060E"/>
    <w:rsid w:val="00AB3702"/>
    <w:rsid w:val="00AB7981"/>
    <w:rsid w:val="00AC038F"/>
    <w:rsid w:val="00AC1524"/>
    <w:rsid w:val="00AD2313"/>
    <w:rsid w:val="00AE4390"/>
    <w:rsid w:val="00AF7479"/>
    <w:rsid w:val="00B05522"/>
    <w:rsid w:val="00B35ADD"/>
    <w:rsid w:val="00B41448"/>
    <w:rsid w:val="00B43F07"/>
    <w:rsid w:val="00B537F6"/>
    <w:rsid w:val="00B7722B"/>
    <w:rsid w:val="00B7746C"/>
    <w:rsid w:val="00B91979"/>
    <w:rsid w:val="00BB4566"/>
    <w:rsid w:val="00BC5F8C"/>
    <w:rsid w:val="00BD5FF4"/>
    <w:rsid w:val="00BF4028"/>
    <w:rsid w:val="00BF408C"/>
    <w:rsid w:val="00C01A56"/>
    <w:rsid w:val="00C13763"/>
    <w:rsid w:val="00C17413"/>
    <w:rsid w:val="00C24903"/>
    <w:rsid w:val="00C459F0"/>
    <w:rsid w:val="00C46DA4"/>
    <w:rsid w:val="00C5035E"/>
    <w:rsid w:val="00C76825"/>
    <w:rsid w:val="00C97290"/>
    <w:rsid w:val="00CA3F5A"/>
    <w:rsid w:val="00CB540A"/>
    <w:rsid w:val="00CC31F6"/>
    <w:rsid w:val="00CC4C94"/>
    <w:rsid w:val="00CE0DD6"/>
    <w:rsid w:val="00D0685C"/>
    <w:rsid w:val="00D11F81"/>
    <w:rsid w:val="00D67C92"/>
    <w:rsid w:val="00D902B7"/>
    <w:rsid w:val="00DB14CE"/>
    <w:rsid w:val="00DB44FA"/>
    <w:rsid w:val="00DC323C"/>
    <w:rsid w:val="00DE279D"/>
    <w:rsid w:val="00DE2817"/>
    <w:rsid w:val="00DF2EFD"/>
    <w:rsid w:val="00E0219F"/>
    <w:rsid w:val="00E07F94"/>
    <w:rsid w:val="00E3702E"/>
    <w:rsid w:val="00E507A3"/>
    <w:rsid w:val="00E6224B"/>
    <w:rsid w:val="00E94227"/>
    <w:rsid w:val="00EB3D87"/>
    <w:rsid w:val="00F317B3"/>
    <w:rsid w:val="00F33792"/>
    <w:rsid w:val="00F66446"/>
    <w:rsid w:val="00F67AF3"/>
    <w:rsid w:val="00F81D96"/>
    <w:rsid w:val="00F822F5"/>
    <w:rsid w:val="00F90D4C"/>
    <w:rsid w:val="00F90E1D"/>
    <w:rsid w:val="00F94D31"/>
    <w:rsid w:val="00FA6ED3"/>
    <w:rsid w:val="00FC64F9"/>
    <w:rsid w:val="00FD3E3F"/>
    <w:rsid w:val="00FE3F0D"/>
    <w:rsid w:val="00FE4939"/>
    <w:rsid w:val="00FE5851"/>
    <w:rsid w:val="00FE5E54"/>
    <w:rsid w:val="00FE629B"/>
    <w:rsid w:val="00FE6CF3"/>
    <w:rsid w:val="00FF392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2AB2F-4306-41A0-9818-7E6DA79C1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nuanchanr</cp:lastModifiedBy>
  <cp:revision>4</cp:revision>
  <dcterms:created xsi:type="dcterms:W3CDTF">2017-02-23T01:12:00Z</dcterms:created>
  <dcterms:modified xsi:type="dcterms:W3CDTF">2017-02-23T08:11:00Z</dcterms:modified>
</cp:coreProperties>
</file>