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0" w:type="dxa"/>
        <w:tblInd w:w="-1332" w:type="dxa"/>
        <w:tblLook w:val="01E0" w:firstRow="1" w:lastRow="1" w:firstColumn="1" w:lastColumn="1" w:noHBand="0" w:noVBand="0"/>
      </w:tblPr>
      <w:tblGrid>
        <w:gridCol w:w="2340"/>
        <w:gridCol w:w="6960"/>
      </w:tblGrid>
      <w:tr w:rsidR="000C2407" w:rsidTr="00B423BB">
        <w:trPr>
          <w:trHeight w:val="2865"/>
        </w:trPr>
        <w:tc>
          <w:tcPr>
            <w:tcW w:w="2340" w:type="dxa"/>
          </w:tcPr>
          <w:p w:rsidR="000C2407" w:rsidRPr="00C4006A" w:rsidRDefault="000C2407" w:rsidP="00432C0B">
            <w:pPr>
              <w:rPr>
                <w:rFonts w:ascii="Angsana New" w:hAnsi="Angsana New"/>
                <w:sz w:val="36"/>
                <w:szCs w:val="36"/>
              </w:rPr>
            </w:pPr>
            <w:bookmarkStart w:id="0" w:name="_GoBack"/>
            <w:bookmarkEnd w:id="0"/>
          </w:p>
        </w:tc>
        <w:tc>
          <w:tcPr>
            <w:tcW w:w="6960" w:type="dxa"/>
            <w:vAlign w:val="center"/>
          </w:tcPr>
          <w:p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 xml:space="preserve">Charoong Thai Wire and Cable Public Company Limited </w:t>
            </w:r>
          </w:p>
          <w:p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793A09">
              <w:rPr>
                <w:rFonts w:cs="Times New Roman"/>
                <w:color w:val="7F7E82"/>
                <w:sz w:val="28"/>
              </w:rPr>
              <w:t>2016</w:t>
            </w:r>
          </w:p>
        </w:tc>
      </w:tr>
    </w:tbl>
    <w:p w:rsidR="000C2407" w:rsidRDefault="000C2407" w:rsidP="000C2407">
      <w:pPr>
        <w:sectPr w:rsidR="000C2407" w:rsidSect="009F06C2">
          <w:footerReference w:type="even" r:id="rId9"/>
          <w:footerReference w:type="default" r:id="rId10"/>
          <w:footerReference w:type="first" r:id="rId11"/>
          <w:pgSz w:w="11907" w:h="16840" w:code="9"/>
          <w:pgMar w:top="2160" w:right="1080" w:bottom="1080" w:left="1800" w:header="720" w:footer="720" w:gutter="0"/>
          <w:cols w:space="720"/>
          <w:titlePg/>
          <w:docGrid w:linePitch="360"/>
        </w:sectPr>
      </w:pPr>
    </w:p>
    <w:p w:rsidR="003B5577" w:rsidRPr="00215428" w:rsidRDefault="003B5577" w:rsidP="00640BFF">
      <w:pPr>
        <w:spacing w:line="36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rsidR="000C2407" w:rsidRPr="00793A09" w:rsidRDefault="000C2407" w:rsidP="009F06C2">
      <w:pPr>
        <w:pStyle w:val="ps-000-normal"/>
        <w:spacing w:line="380" w:lineRule="exact"/>
        <w:rPr>
          <w:rFonts w:ascii="Arial" w:hAnsi="Arial" w:cs="Arial"/>
          <w:sz w:val="22"/>
          <w:szCs w:val="22"/>
        </w:rPr>
      </w:pPr>
      <w:r w:rsidRPr="00793A09">
        <w:rPr>
          <w:rFonts w:ascii="Arial" w:hAnsi="Arial" w:cs="Arial"/>
          <w:sz w:val="22"/>
          <w:szCs w:val="22"/>
        </w:rPr>
        <w:t>To the Shareholders of Charoong Thai Wire and Cable Public Company Limited</w:t>
      </w:r>
    </w:p>
    <w:p w:rsidR="00793A09" w:rsidRDefault="00793A09" w:rsidP="009F06C2">
      <w:pPr>
        <w:pStyle w:val="ps-000-normal"/>
        <w:spacing w:before="360" w:line="380" w:lineRule="exact"/>
        <w:rPr>
          <w:rFonts w:ascii="Arial" w:hAnsi="Arial" w:cs="Arial"/>
          <w:b/>
          <w:bCs/>
          <w:sz w:val="22"/>
          <w:szCs w:val="22"/>
        </w:rPr>
      </w:pPr>
      <w:r>
        <w:rPr>
          <w:rFonts w:ascii="Arial" w:hAnsi="Arial" w:cs="Arial"/>
          <w:b/>
          <w:bCs/>
          <w:sz w:val="22"/>
          <w:szCs w:val="22"/>
        </w:rPr>
        <w:t>Opinion</w:t>
      </w:r>
    </w:p>
    <w:p w:rsidR="00793A09" w:rsidRDefault="00793A09" w:rsidP="009F06C2">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Pr>
          <w:rFonts w:ascii="Arial" w:hAnsi="Arial" w:cs="Arial"/>
          <w:sz w:val="22"/>
          <w:szCs w:val="22"/>
        </w:rPr>
        <w:t xml:space="preserve"> as at 31 December 2016</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rsidR="00793A09" w:rsidRPr="0017132E" w:rsidRDefault="00793A09" w:rsidP="009F06C2">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215428">
        <w:rPr>
          <w:rFonts w:ascii="Arial" w:hAnsi="Arial"/>
          <w:sz w:val="22"/>
          <w:szCs w:val="22"/>
        </w:rPr>
        <w:t>Charoong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r w:rsidRPr="00215428">
        <w:rPr>
          <w:rFonts w:ascii="Arial" w:hAnsi="Arial"/>
          <w:sz w:val="22"/>
          <w:szCs w:val="22"/>
        </w:rPr>
        <w:t>Charoong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 at 31 December 2016</w:t>
      </w:r>
      <w:r w:rsidRPr="00F6524C">
        <w:rPr>
          <w:rFonts w:ascii="Arial" w:hAnsi="Arial" w:cs="Arial"/>
          <w:color w:val="auto"/>
          <w:sz w:val="22"/>
          <w:szCs w:val="22"/>
        </w:rPr>
        <w:t>, their financial performance and cash flows for the year then ended in accordance with Thai Financial Reporting Standards.</w:t>
      </w:r>
    </w:p>
    <w:p w:rsidR="00793A09" w:rsidRDefault="00793A09" w:rsidP="009F06C2">
      <w:pPr>
        <w:pStyle w:val="ps-000-normal"/>
        <w:spacing w:before="360" w:line="380" w:lineRule="exact"/>
        <w:rPr>
          <w:rFonts w:ascii="Arial" w:hAnsi="Arial" w:cs="Arial"/>
          <w:b/>
          <w:bCs/>
          <w:sz w:val="22"/>
          <w:szCs w:val="22"/>
        </w:rPr>
      </w:pPr>
      <w:r>
        <w:rPr>
          <w:rFonts w:ascii="Arial" w:hAnsi="Arial" w:cs="Arial"/>
          <w:b/>
          <w:bCs/>
          <w:sz w:val="22"/>
          <w:szCs w:val="22"/>
        </w:rPr>
        <w:t>Basis for Opinion</w:t>
      </w:r>
    </w:p>
    <w:p w:rsidR="00793A09" w:rsidRDefault="00793A09" w:rsidP="009F06C2">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Pr="00793A09">
        <w:rPr>
          <w:rFonts w:ascii="Arial" w:hAnsi="Arial" w:cs="Browallia New"/>
          <w:sz w:val="22"/>
          <w:szCs w:val="28"/>
        </w:rPr>
        <w:t xml:space="preserve">as issued by </w:t>
      </w:r>
      <w:r w:rsidRPr="00793A09">
        <w:rPr>
          <w:rFonts w:ascii="Arial" w:hAnsi="Arial" w:cs="Arial"/>
          <w:sz w:val="22"/>
          <w:szCs w:val="22"/>
        </w:rPr>
        <w:t>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w:t>
      </w:r>
      <w:r w:rsidRPr="00F80F6B">
        <w:rPr>
          <w:rFonts w:ascii="Arial" w:hAnsi="Arial" w:cs="Arial"/>
          <w:sz w:val="22"/>
          <w:szCs w:val="22"/>
        </w:rPr>
        <w:t xml:space="preserve"> to provide a basis for my opinion.</w:t>
      </w:r>
    </w:p>
    <w:p w:rsidR="009F06C2" w:rsidRDefault="00793A09" w:rsidP="009F06C2">
      <w:pPr>
        <w:pStyle w:val="ps-000-normal"/>
        <w:spacing w:before="120" w:line="380" w:lineRule="exact"/>
        <w:rPr>
          <w:rFonts w:ascii="Arial" w:hAnsi="Arial" w:cs="Arial"/>
          <w:sz w:val="22"/>
          <w:szCs w:val="22"/>
        </w:rPr>
        <w:sectPr w:rsidR="009F06C2" w:rsidSect="009F06C2">
          <w:headerReference w:type="default" r:id="rId12"/>
          <w:headerReference w:type="first" r:id="rId13"/>
          <w:footerReference w:type="first" r:id="rId14"/>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rsidR="009F06C2" w:rsidRDefault="009F06C2"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rsidR="009F06C2" w:rsidRDefault="009F06C2" w:rsidP="009F06C2">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were of most significance in my audit of the financial statements of the current period.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rsidR="00793A09" w:rsidRPr="00F80F6B" w:rsidRDefault="00793A09"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793A09" w:rsidRDefault="00793A09" w:rsidP="009F06C2">
      <w:pPr>
        <w:pStyle w:val="ps-000-normal"/>
        <w:spacing w:before="120"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793A09">
        <w:rPr>
          <w:rFonts w:ascii="Arial" w:hAnsi="Arial" w:cs="Arial" w:hint="cs"/>
          <w:sz w:val="22"/>
          <w:szCs w:val="22"/>
          <w:cs/>
        </w:rPr>
        <w:t xml:space="preserve"> </w:t>
      </w:r>
      <w:r w:rsidRPr="00F80F6B">
        <w:rPr>
          <w:rFonts w:ascii="Arial" w:hAnsi="Arial" w:cs="Arial"/>
          <w:sz w:val="22"/>
          <w:szCs w:val="22"/>
        </w:rPr>
        <w:t>described below.</w:t>
      </w:r>
    </w:p>
    <w:p w:rsidR="00B94B0E" w:rsidRPr="00F64D42" w:rsidRDefault="00B94B0E" w:rsidP="00B94B0E">
      <w:pPr>
        <w:pStyle w:val="ps-000-normal"/>
        <w:spacing w:before="240" w:line="380" w:lineRule="exact"/>
        <w:rPr>
          <w:rFonts w:ascii="Arial" w:hAnsi="Arial" w:cs="Arial"/>
          <w:b/>
          <w:bCs/>
          <w:sz w:val="22"/>
          <w:szCs w:val="22"/>
        </w:rPr>
      </w:pPr>
      <w:r w:rsidRPr="00F64D42">
        <w:rPr>
          <w:rFonts w:ascii="Arial" w:hAnsi="Arial" w:cs="Arial"/>
          <w:i/>
          <w:iCs/>
          <w:sz w:val="22"/>
          <w:szCs w:val="22"/>
        </w:rPr>
        <w:t>N</w:t>
      </w:r>
      <w:r w:rsidR="004D7C09">
        <w:rPr>
          <w:rFonts w:ascii="Arial" w:hAnsi="Arial" w:cs="Arial"/>
          <w:i/>
          <w:iCs/>
          <w:sz w:val="22"/>
          <w:szCs w:val="22"/>
        </w:rPr>
        <w:t>et realisable value of inventories</w:t>
      </w:r>
    </w:p>
    <w:p w:rsidR="00B94B0E" w:rsidRDefault="00B94B0E" w:rsidP="00B94B0E">
      <w:pPr>
        <w:pStyle w:val="ps-000-normal"/>
        <w:spacing w:before="120" w:line="360" w:lineRule="exact"/>
        <w:rPr>
          <w:rFonts w:ascii="Arial" w:hAnsi="Arial" w:cs="Arial"/>
          <w:sz w:val="22"/>
          <w:szCs w:val="22"/>
        </w:rPr>
      </w:pPr>
      <w:r w:rsidRPr="00793A09">
        <w:rPr>
          <w:rFonts w:ascii="Arial" w:hAnsi="Arial" w:cs="Arial"/>
          <w:sz w:val="22"/>
          <w:szCs w:val="22"/>
        </w:rPr>
        <w:t>Estimating the net realisable value of invento</w:t>
      </w:r>
      <w:r>
        <w:rPr>
          <w:rFonts w:ascii="Arial" w:hAnsi="Arial" w:cs="Arial"/>
          <w:sz w:val="22"/>
          <w:szCs w:val="22"/>
        </w:rPr>
        <w:t>ries, as disclosed in the Note 9</w:t>
      </w:r>
      <w:r w:rsidRPr="00793A09">
        <w:rPr>
          <w:rFonts w:ascii="Arial" w:hAnsi="Arial" w:cs="Arial"/>
          <w:sz w:val="22"/>
          <w:szCs w:val="22"/>
        </w:rPr>
        <w:t xml:space="preserve"> to the financial statement</w:t>
      </w:r>
      <w:r>
        <w:rPr>
          <w:rFonts w:ascii="Arial" w:hAnsi="Arial" w:cs="Arial"/>
          <w:sz w:val="22"/>
          <w:szCs w:val="22"/>
        </w:rPr>
        <w:t>s</w:t>
      </w:r>
      <w:r w:rsidRPr="00793A09">
        <w:rPr>
          <w:rFonts w:ascii="Arial" w:hAnsi="Arial" w:cs="Arial"/>
          <w:sz w:val="22"/>
          <w:szCs w:val="22"/>
        </w:rPr>
        <w:t xml:space="preserve">, is an area of significant management judgment, particularly with regard to the estimation of related costs and expenses and replacement costs of raw materials. Since most of the </w:t>
      </w:r>
      <w:r>
        <w:rPr>
          <w:rFonts w:ascii="Arial" w:hAnsi="Arial" w:cs="Arial"/>
          <w:sz w:val="22"/>
          <w:szCs w:val="22"/>
        </w:rPr>
        <w:t>Group</w:t>
      </w:r>
      <w:r w:rsidRPr="00793A09">
        <w:rPr>
          <w:rFonts w:ascii="Arial" w:hAnsi="Arial" w:cs="Arial"/>
          <w:sz w:val="22"/>
          <w:szCs w:val="22"/>
        </w:rPr>
        <w:t xml:space="preserve">’ products are made from copper and aluminum and their prices are thus dependent on the world market price, the </w:t>
      </w:r>
      <w:r>
        <w:rPr>
          <w:rFonts w:ascii="Arial" w:hAnsi="Arial" w:cs="Arial"/>
          <w:sz w:val="22"/>
          <w:szCs w:val="22"/>
        </w:rPr>
        <w:t>Group</w:t>
      </w:r>
      <w:r w:rsidRPr="00793A09">
        <w:rPr>
          <w:rFonts w:ascii="Arial" w:hAnsi="Arial" w:cs="Arial"/>
          <w:sz w:val="22"/>
          <w:szCs w:val="22"/>
        </w:rPr>
        <w:t xml:space="preserve"> may overstate the value of inventories.</w:t>
      </w:r>
    </w:p>
    <w:p w:rsidR="00B94B0E" w:rsidRDefault="00B94B0E" w:rsidP="00B94B0E">
      <w:pPr>
        <w:pStyle w:val="ps-000-normal"/>
        <w:spacing w:before="120" w:line="360" w:lineRule="exact"/>
        <w:rPr>
          <w:rFonts w:ascii="Arial" w:hAnsi="Arial" w:cs="Arial"/>
          <w:sz w:val="22"/>
          <w:szCs w:val="22"/>
        </w:rPr>
      </w:pPr>
      <w:r w:rsidRPr="00B94B0E">
        <w:rPr>
          <w:rFonts w:ascii="Arial" w:hAnsi="Arial" w:cs="Arial"/>
          <w:sz w:val="22"/>
          <w:szCs w:val="22"/>
        </w:rPr>
        <w:t>I assessed the method and the assumptions applied by management in determining such allowance</w:t>
      </w:r>
      <w:r w:rsidRPr="00B94B0E">
        <w:rPr>
          <w:rFonts w:ascii="Arial" w:hAnsi="Arial" w:cs="Arial"/>
          <w:sz w:val="22"/>
          <w:szCs w:val="22"/>
          <w:cs/>
        </w:rPr>
        <w:t xml:space="preserve"> </w:t>
      </w:r>
      <w:r w:rsidRPr="00B94B0E">
        <w:rPr>
          <w:rFonts w:ascii="Arial" w:hAnsi="Arial" w:cs="Arial"/>
          <w:sz w:val="22"/>
          <w:szCs w:val="22"/>
        </w:rPr>
        <w:t xml:space="preserve">by gaining an understanding of the basis applied in determining the allowance for diminution in value of inventory and reviewing the consistency of the application of that basis. </w:t>
      </w:r>
      <w:r>
        <w:rPr>
          <w:rFonts w:ascii="Arial" w:hAnsi="Arial" w:cs="Arial"/>
          <w:sz w:val="22"/>
          <w:szCs w:val="22"/>
        </w:rPr>
        <w:t xml:space="preserve">      </w:t>
      </w:r>
      <w:r w:rsidR="00E378C2" w:rsidRPr="00E378C2">
        <w:rPr>
          <w:rFonts w:ascii="Arial" w:hAnsi="Arial" w:cs="Arial"/>
          <w:sz w:val="22"/>
          <w:szCs w:val="22"/>
        </w:rPr>
        <w:t>I reviewed the preparation of the report comparing the net realisable value of inventory with the cost of inventory for each product line, analysed trends in the market prices of the main raw materials and, on a sampling basis, examined supporting documents for actual sales transactions occurring after the period-end. </w:t>
      </w:r>
      <w:r w:rsidRPr="00B94B0E">
        <w:rPr>
          <w:rFonts w:ascii="Arial" w:hAnsi="Arial" w:cs="Arial"/>
          <w:sz w:val="22"/>
          <w:szCs w:val="22"/>
        </w:rPr>
        <w:t>In addition, I reviewed the preparation of the inventory aging report, analysed the inventory holding periods and inventory movement to identify product lines with indicators of lower than normal inventory turnover.</w:t>
      </w:r>
    </w:p>
    <w:p w:rsidR="00B94B0E" w:rsidRDefault="00B94B0E">
      <w:pPr>
        <w:overflowPunct/>
        <w:autoSpaceDE/>
        <w:autoSpaceDN/>
        <w:adjustRightInd/>
        <w:spacing w:after="200" w:line="276" w:lineRule="auto"/>
        <w:textAlignment w:val="auto"/>
        <w:rPr>
          <w:rFonts w:ascii="Arial" w:hAnsi="Arial" w:cs="Arial"/>
          <w:i/>
          <w:iCs/>
          <w:color w:val="000000"/>
          <w:sz w:val="22"/>
          <w:szCs w:val="22"/>
          <w:u w:val="single"/>
        </w:rPr>
      </w:pPr>
      <w:r>
        <w:rPr>
          <w:rFonts w:ascii="Arial" w:hAnsi="Arial" w:cs="Arial"/>
          <w:i/>
          <w:iCs/>
          <w:sz w:val="22"/>
          <w:szCs w:val="22"/>
          <w:u w:val="single"/>
        </w:rPr>
        <w:br w:type="page"/>
      </w:r>
    </w:p>
    <w:p w:rsidR="00793A09" w:rsidRPr="00F64D42" w:rsidRDefault="00793A09" w:rsidP="009F06C2">
      <w:pPr>
        <w:pStyle w:val="ps-000-normal"/>
        <w:spacing w:before="240" w:line="380" w:lineRule="exact"/>
        <w:rPr>
          <w:rFonts w:ascii="Arial" w:hAnsi="Arial" w:cs="Arial"/>
          <w:i/>
          <w:iCs/>
          <w:sz w:val="22"/>
          <w:szCs w:val="22"/>
        </w:rPr>
      </w:pPr>
      <w:r w:rsidRPr="00F64D42">
        <w:rPr>
          <w:rFonts w:ascii="Arial" w:hAnsi="Arial" w:cs="Arial"/>
          <w:i/>
          <w:iCs/>
          <w:sz w:val="22"/>
          <w:szCs w:val="22"/>
        </w:rPr>
        <w:lastRenderedPageBreak/>
        <w:t>Revenue recognition</w:t>
      </w:r>
      <w:r w:rsidR="00C9644A" w:rsidRPr="00F64D42">
        <w:rPr>
          <w:rFonts w:ascii="Arial" w:hAnsi="Arial" w:cs="Arial"/>
          <w:i/>
          <w:iCs/>
          <w:sz w:val="22"/>
          <w:szCs w:val="22"/>
        </w:rPr>
        <w:t xml:space="preserve"> under bill and hold arrangements</w:t>
      </w:r>
    </w:p>
    <w:p w:rsidR="00793A09" w:rsidRDefault="00793A09" w:rsidP="009F06C2">
      <w:pPr>
        <w:pStyle w:val="ps-000-normal"/>
        <w:spacing w:before="120" w:line="380" w:lineRule="exact"/>
        <w:rPr>
          <w:rFonts w:ascii="Arial" w:hAnsi="Arial" w:cs="Arial"/>
          <w:sz w:val="22"/>
          <w:szCs w:val="22"/>
        </w:rPr>
      </w:pPr>
      <w:r w:rsidRPr="00793A09">
        <w:rPr>
          <w:rFonts w:ascii="Arial" w:hAnsi="Arial" w:cs="Arial"/>
          <w:sz w:val="22"/>
          <w:szCs w:val="22"/>
        </w:rPr>
        <w:t xml:space="preserve">During the year 2016, the Company recognised revenue from sales under bill and hold arrangements totaling Baht </w:t>
      </w:r>
      <w:r w:rsidR="00E40DEE">
        <w:rPr>
          <w:rFonts w:ascii="Arial" w:hAnsi="Arial" w:cs="Arial"/>
          <w:sz w:val="22"/>
          <w:szCs w:val="22"/>
        </w:rPr>
        <w:t>165</w:t>
      </w:r>
      <w:r w:rsidRPr="00793A09">
        <w:rPr>
          <w:rFonts w:ascii="Arial" w:hAnsi="Arial" w:cs="Arial"/>
          <w:sz w:val="22"/>
          <w:szCs w:val="22"/>
        </w:rPr>
        <w:t xml:space="preserve"> million or equivalent to </w:t>
      </w:r>
      <w:r w:rsidR="00E40DEE">
        <w:rPr>
          <w:rFonts w:ascii="Arial" w:hAnsi="Arial" w:cs="Arial"/>
          <w:sz w:val="22"/>
          <w:szCs w:val="22"/>
        </w:rPr>
        <w:t>7</w:t>
      </w:r>
      <w:r w:rsidRPr="00793A09">
        <w:rPr>
          <w:rFonts w:ascii="Arial" w:hAnsi="Arial" w:cs="Arial"/>
          <w:sz w:val="22"/>
          <w:szCs w:val="22"/>
        </w:rPr>
        <w:t xml:space="preserve"> percent of revenue</w:t>
      </w:r>
      <w:r w:rsidR="00C9644A">
        <w:rPr>
          <w:rFonts w:ascii="Arial" w:hAnsi="Arial" w:cs="Arial"/>
          <w:sz w:val="22"/>
          <w:szCs w:val="22"/>
        </w:rPr>
        <w:t xml:space="preserve"> from sales of the Company</w:t>
      </w:r>
      <w:r w:rsidRPr="00793A09">
        <w:rPr>
          <w:rFonts w:ascii="Arial" w:hAnsi="Arial" w:cs="Arial"/>
          <w:sz w:val="22"/>
          <w:szCs w:val="22"/>
        </w:rPr>
        <w:t>. The Company has entered into sales contracts or trading agreements with some customers, such as state-owned enterprises and large construction companies, whereby the counterparties agree in advance that delivery of goods is to be made on request. If consideration of the specific conditions of such agreements is not made in non-compliance with the related accounting standards, revenue may be recognised in the wrong period.</w:t>
      </w:r>
    </w:p>
    <w:p w:rsidR="00B94B0E" w:rsidRDefault="00793A09" w:rsidP="00B94B0E">
      <w:pPr>
        <w:pStyle w:val="ps-000-normal"/>
        <w:spacing w:before="120" w:line="360" w:lineRule="exact"/>
        <w:rPr>
          <w:rFonts w:ascii="Arial" w:hAnsi="Arial" w:cs="Arial"/>
          <w:sz w:val="22"/>
          <w:szCs w:val="22"/>
        </w:rPr>
      </w:pPr>
      <w:r w:rsidRPr="00793A09">
        <w:rPr>
          <w:rFonts w:ascii="Arial" w:hAnsi="Arial" w:cs="Arial"/>
          <w:sz w:val="22"/>
          <w:szCs w:val="22"/>
        </w:rPr>
        <w:t>I have assessed and tested the Company’s internal controls with respect to the sales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by making enquiry of responsible executives, gaining an understanding of the controls and selecting samples to test the operation of the designed controls</w:t>
      </w:r>
      <w:r w:rsidRPr="00793A09">
        <w:rPr>
          <w:rFonts w:ascii="Arial" w:hAnsi="Arial" w:cs="Arial"/>
          <w:sz w:val="22"/>
          <w:szCs w:val="22"/>
        </w:rPr>
        <w:t xml:space="preserve">. I have also </w:t>
      </w:r>
      <w:r w:rsidR="00C9644A">
        <w:rPr>
          <w:rFonts w:ascii="Arial" w:hAnsi="Arial" w:cs="Arial"/>
          <w:sz w:val="22"/>
          <w:szCs w:val="22"/>
        </w:rPr>
        <w:t>read the sales contracts, enquired</w:t>
      </w:r>
      <w:r w:rsidRPr="00793A09">
        <w:rPr>
          <w:rFonts w:ascii="Arial" w:hAnsi="Arial" w:cs="Arial"/>
          <w:sz w:val="22"/>
          <w:szCs w:val="22"/>
        </w:rPr>
        <w:t xml:space="preserve"> of the Company’s management to gain an understanding of the specific sales con</w:t>
      </w:r>
      <w:r w:rsidR="00C9644A">
        <w:rPr>
          <w:rFonts w:ascii="Arial" w:hAnsi="Arial" w:cs="Arial"/>
          <w:sz w:val="22"/>
          <w:szCs w:val="22"/>
        </w:rPr>
        <w:t>ditions and examined</w:t>
      </w:r>
      <w:r w:rsidRPr="00793A09">
        <w:rPr>
          <w:rFonts w:ascii="Arial" w:hAnsi="Arial" w:cs="Arial"/>
          <w:sz w:val="22"/>
          <w:szCs w:val="22"/>
        </w:rPr>
        <w:t xml:space="preserve"> supporting documents. In addition, </w:t>
      </w:r>
      <w:r w:rsidR="00C9644A">
        <w:rPr>
          <w:rFonts w:ascii="Arial" w:hAnsi="Arial" w:cs="Arial"/>
          <w:sz w:val="22"/>
          <w:szCs w:val="22"/>
        </w:rPr>
        <w:t xml:space="preserve">  </w:t>
      </w:r>
      <w:r w:rsidRPr="00793A09">
        <w:rPr>
          <w:rFonts w:ascii="Arial" w:hAnsi="Arial" w:cs="Arial"/>
          <w:sz w:val="22"/>
          <w:szCs w:val="22"/>
        </w:rPr>
        <w:t>I have observed the Company’s inventory count procedures and directly sent confirmation requests to customers for the outstanding balances of sales under bill and hold arrangements, which covered the sales amounts, quantities and conditions of sale.</w:t>
      </w:r>
    </w:p>
    <w:p w:rsidR="00C9644A" w:rsidRPr="00F64D42" w:rsidRDefault="00C9644A" w:rsidP="00B94B0E">
      <w:pPr>
        <w:pStyle w:val="ps-000-normal"/>
        <w:spacing w:before="120" w:line="360" w:lineRule="exact"/>
        <w:rPr>
          <w:rFonts w:ascii="Arial" w:hAnsi="Arial" w:cs="Arial"/>
          <w:sz w:val="22"/>
          <w:szCs w:val="22"/>
        </w:rPr>
      </w:pPr>
      <w:r w:rsidRPr="00F64D42">
        <w:rPr>
          <w:rFonts w:ascii="Arial" w:hAnsi="Arial" w:cs="Arial"/>
          <w:i/>
          <w:iCs/>
          <w:sz w:val="22"/>
          <w:szCs w:val="22"/>
        </w:rPr>
        <w:t>Revenue recognition</w:t>
      </w:r>
    </w:p>
    <w:p w:rsidR="00C9644A" w:rsidRPr="00D7206B" w:rsidRDefault="00C9644A" w:rsidP="00C9644A">
      <w:pPr>
        <w:pStyle w:val="ps-000-normal"/>
        <w:spacing w:before="120" w:line="380" w:lineRule="exact"/>
        <w:rPr>
          <w:rFonts w:ascii="Arial" w:hAnsi="Arial" w:cs="Browallia New"/>
          <w:sz w:val="22"/>
          <w:szCs w:val="28"/>
        </w:rPr>
      </w:pPr>
      <w:r>
        <w:rPr>
          <w:rFonts w:ascii="Arial" w:hAnsi="Arial" w:cs="Arial"/>
          <w:sz w:val="22"/>
          <w:szCs w:val="22"/>
        </w:rPr>
        <w:t>Sales revenues are</w:t>
      </w:r>
      <w:r w:rsidRPr="005B10E2">
        <w:rPr>
          <w:rFonts w:ascii="Arial" w:hAnsi="Arial" w:cs="Arial"/>
          <w:sz w:val="22"/>
          <w:szCs w:val="22"/>
        </w:rPr>
        <w:t xml:space="preserve"> highly significant to the financial statements and a key indicator of business performance in which management and financial statements’ users are interested. Because the increases or decreases</w:t>
      </w:r>
      <w:r>
        <w:rPr>
          <w:rFonts w:ascii="Arial" w:hAnsi="Arial" w:cs="Arial"/>
          <w:sz w:val="22"/>
          <w:szCs w:val="22"/>
        </w:rPr>
        <w:t xml:space="preserve"> in revenue</w:t>
      </w:r>
      <w:r w:rsidRPr="005B10E2">
        <w:rPr>
          <w:rFonts w:ascii="Arial" w:hAnsi="Arial" w:cs="Arial"/>
          <w:sz w:val="22"/>
          <w:szCs w:val="22"/>
        </w:rPr>
        <w:t xml:space="preserve"> directly affect the Group’s performance, I draw a special consideration </w:t>
      </w:r>
      <w:r>
        <w:rPr>
          <w:rFonts w:ascii="Arial" w:hAnsi="Arial" w:cs="Arial"/>
          <w:sz w:val="22"/>
          <w:szCs w:val="22"/>
        </w:rPr>
        <w:t>regarding</w:t>
      </w:r>
      <w:r w:rsidRPr="005B10E2">
        <w:rPr>
          <w:rFonts w:ascii="Arial" w:hAnsi="Arial" w:cs="Arial"/>
          <w:sz w:val="22"/>
          <w:szCs w:val="22"/>
        </w:rPr>
        <w:t xml:space="preserve"> the revenue recognition of the Group</w:t>
      </w:r>
      <w:r>
        <w:rPr>
          <w:rFonts w:ascii="Arial" w:hAnsi="Arial" w:cs="Browallia New"/>
          <w:sz w:val="22"/>
          <w:szCs w:val="28"/>
        </w:rPr>
        <w:t>.</w:t>
      </w:r>
    </w:p>
    <w:p w:rsidR="00C9644A" w:rsidRPr="00E85414" w:rsidRDefault="00C9644A" w:rsidP="00C9644A">
      <w:pPr>
        <w:pStyle w:val="ps-000-normal"/>
        <w:spacing w:before="120" w:line="380" w:lineRule="exact"/>
        <w:rPr>
          <w:rFonts w:ascii="Arial" w:hAnsi="Arial" w:cs="Arial"/>
          <w:sz w:val="22"/>
          <w:szCs w:val="22"/>
        </w:rPr>
      </w:pPr>
      <w:r w:rsidRPr="00A07890">
        <w:rPr>
          <w:rFonts w:ascii="Arial" w:hAnsi="Arial" w:cs="Arial"/>
          <w:sz w:val="22"/>
          <w:szCs w:val="22"/>
        </w:rPr>
        <w:t xml:space="preserve">I have </w:t>
      </w:r>
      <w:r>
        <w:rPr>
          <w:rFonts w:ascii="Arial" w:hAnsi="Arial" w:cs="Arial"/>
          <w:sz w:val="22"/>
          <w:szCs w:val="22"/>
        </w:rPr>
        <w:t>examined the revenue recognition of the Group by</w:t>
      </w:r>
    </w:p>
    <w:p w:rsidR="00C9644A" w:rsidRPr="00E85414" w:rsidRDefault="00C9644A" w:rsidP="00C9644A">
      <w:pPr>
        <w:pStyle w:val="ps-000-normal"/>
        <w:numPr>
          <w:ilvl w:val="0"/>
          <w:numId w:val="26"/>
        </w:numPr>
        <w:spacing w:before="120" w:line="380" w:lineRule="exact"/>
        <w:rPr>
          <w:rFonts w:ascii="Arial" w:hAnsi="Arial" w:cs="Arial"/>
          <w:sz w:val="22"/>
          <w:szCs w:val="22"/>
        </w:rPr>
      </w:pPr>
      <w:r w:rsidRPr="00E85414">
        <w:rPr>
          <w:rFonts w:ascii="Arial" w:hAnsi="Arial" w:cs="Arial"/>
          <w:sz w:val="22"/>
          <w:szCs w:val="22"/>
        </w:rPr>
        <w:t xml:space="preserve">Assessed </w:t>
      </w:r>
      <w:r>
        <w:rPr>
          <w:rFonts w:ascii="Arial" w:hAnsi="Arial" w:cs="Arial"/>
          <w:sz w:val="22"/>
          <w:szCs w:val="22"/>
        </w:rPr>
        <w:t xml:space="preserve">and tested </w:t>
      </w:r>
      <w:r w:rsidRPr="00E85414">
        <w:rPr>
          <w:rFonts w:ascii="Arial" w:hAnsi="Arial" w:cs="Arial"/>
          <w:sz w:val="22"/>
          <w:szCs w:val="22"/>
        </w:rPr>
        <w:t xml:space="preserve">the Group’s internal controls with respect to the revenue cycle </w:t>
      </w:r>
      <w:r w:rsidRPr="004F5BB1">
        <w:rPr>
          <w:rFonts w:ascii="Arial" w:hAnsi="Arial" w:cs="Arial"/>
          <w:sz w:val="22"/>
          <w:szCs w:val="22"/>
        </w:rPr>
        <w:t>by making enquiry of responsible executives, gaining an understanding of the controls and selecting representative samples to test the operation of the designed controls</w:t>
      </w:r>
      <w:r w:rsidRPr="00E85414">
        <w:rPr>
          <w:rFonts w:ascii="Arial" w:hAnsi="Arial" w:cs="Arial"/>
          <w:sz w:val="22"/>
          <w:szCs w:val="22"/>
        </w:rPr>
        <w:t xml:space="preserve">. </w:t>
      </w:r>
    </w:p>
    <w:p w:rsidR="00C9644A" w:rsidRPr="00E85414" w:rsidRDefault="00C9644A" w:rsidP="00C9644A">
      <w:pPr>
        <w:pStyle w:val="ps-000-normal"/>
        <w:numPr>
          <w:ilvl w:val="0"/>
          <w:numId w:val="26"/>
        </w:numPr>
        <w:spacing w:before="120" w:line="380" w:lineRule="exact"/>
        <w:rPr>
          <w:rFonts w:ascii="Arial" w:hAnsi="Arial" w:cs="Arial"/>
          <w:sz w:val="22"/>
          <w:szCs w:val="22"/>
        </w:rPr>
      </w:pPr>
      <w:r>
        <w:rPr>
          <w:rFonts w:ascii="Arial" w:hAnsi="Arial" w:cs="Arial"/>
          <w:sz w:val="22"/>
          <w:szCs w:val="22"/>
        </w:rPr>
        <w:t xml:space="preserve">Examined, on a sampling basis, </w:t>
      </w:r>
      <w:r w:rsidRPr="00E85414">
        <w:rPr>
          <w:rFonts w:ascii="Arial" w:hAnsi="Arial" w:cs="Arial"/>
          <w:sz w:val="22"/>
          <w:szCs w:val="22"/>
        </w:rPr>
        <w:t xml:space="preserve">supporting documents for actual sales transactions occurring during the year </w:t>
      </w:r>
      <w:r>
        <w:rPr>
          <w:rFonts w:ascii="Arial" w:hAnsi="Arial" w:cs="Arial"/>
          <w:sz w:val="22"/>
          <w:szCs w:val="22"/>
        </w:rPr>
        <w:t>and</w:t>
      </w:r>
      <w:r w:rsidRPr="00E85414">
        <w:rPr>
          <w:rFonts w:ascii="Arial" w:hAnsi="Arial" w:cs="Arial"/>
          <w:sz w:val="22"/>
          <w:szCs w:val="22"/>
        </w:rPr>
        <w:t xml:space="preserve"> near the end of t</w:t>
      </w:r>
      <w:r>
        <w:rPr>
          <w:rFonts w:ascii="Arial" w:hAnsi="Arial" w:cs="Arial"/>
          <w:sz w:val="22"/>
          <w:szCs w:val="22"/>
        </w:rPr>
        <w:t>he accounting period.</w:t>
      </w:r>
    </w:p>
    <w:p w:rsidR="00C9644A" w:rsidRPr="00E85414" w:rsidRDefault="00C9644A" w:rsidP="00C9644A">
      <w:pPr>
        <w:pStyle w:val="ps-000-normal"/>
        <w:numPr>
          <w:ilvl w:val="0"/>
          <w:numId w:val="26"/>
        </w:numPr>
        <w:spacing w:before="120" w:line="380" w:lineRule="exact"/>
        <w:rPr>
          <w:rFonts w:ascii="Arial" w:hAnsi="Arial" w:cs="Arial"/>
          <w:sz w:val="22"/>
          <w:szCs w:val="22"/>
        </w:rPr>
      </w:pPr>
      <w:r w:rsidRPr="00E85414">
        <w:rPr>
          <w:rFonts w:ascii="Arial" w:hAnsi="Arial" w:cs="Arial"/>
          <w:sz w:val="22"/>
          <w:szCs w:val="22"/>
        </w:rPr>
        <w:t>Review</w:t>
      </w:r>
      <w:r>
        <w:rPr>
          <w:rFonts w:ascii="Arial" w:hAnsi="Arial" w:cs="Arial"/>
          <w:sz w:val="22"/>
          <w:szCs w:val="22"/>
        </w:rPr>
        <w:t>ed</w:t>
      </w:r>
      <w:r w:rsidRPr="00E85414">
        <w:rPr>
          <w:rFonts w:ascii="Arial" w:hAnsi="Arial" w:cs="Arial"/>
          <w:sz w:val="22"/>
          <w:szCs w:val="22"/>
        </w:rPr>
        <w:t xml:space="preserve"> credit notes that the </w:t>
      </w:r>
      <w:r>
        <w:rPr>
          <w:rFonts w:ascii="Arial" w:hAnsi="Arial" w:cs="Arial"/>
          <w:sz w:val="22"/>
          <w:szCs w:val="22"/>
        </w:rPr>
        <w:t>Group</w:t>
      </w:r>
      <w:r w:rsidRPr="00E85414">
        <w:rPr>
          <w:rFonts w:ascii="Arial" w:hAnsi="Arial" w:cs="Arial"/>
          <w:sz w:val="22"/>
          <w:szCs w:val="22"/>
        </w:rPr>
        <w:t xml:space="preserve"> issued after the period-end.</w:t>
      </w:r>
    </w:p>
    <w:p w:rsidR="00C9644A" w:rsidRPr="00E85414" w:rsidRDefault="00C9644A" w:rsidP="00C9644A">
      <w:pPr>
        <w:pStyle w:val="ps-000-normal"/>
        <w:numPr>
          <w:ilvl w:val="0"/>
          <w:numId w:val="26"/>
        </w:numPr>
        <w:spacing w:before="120" w:line="380" w:lineRule="exact"/>
        <w:rPr>
          <w:rFonts w:ascii="Arial" w:hAnsi="Arial" w:cs="Arial"/>
          <w:sz w:val="22"/>
          <w:szCs w:val="22"/>
        </w:rPr>
      </w:pPr>
      <w:r w:rsidRPr="00E85414">
        <w:rPr>
          <w:rFonts w:ascii="Arial" w:hAnsi="Arial" w:cs="Arial"/>
          <w:sz w:val="22"/>
          <w:szCs w:val="22"/>
        </w:rPr>
        <w:t>Perform</w:t>
      </w:r>
      <w:r>
        <w:rPr>
          <w:rFonts w:ascii="Arial" w:hAnsi="Arial" w:cs="Arial"/>
          <w:sz w:val="22"/>
          <w:szCs w:val="22"/>
        </w:rPr>
        <w:t>ed</w:t>
      </w:r>
      <w:r w:rsidRPr="00E85414">
        <w:rPr>
          <w:rFonts w:ascii="Arial" w:hAnsi="Arial" w:cs="Arial"/>
          <w:sz w:val="22"/>
          <w:szCs w:val="22"/>
        </w:rPr>
        <w:t xml:space="preserve"> analytical procedures on disaggregated data to detect po</w:t>
      </w:r>
      <w:r>
        <w:rPr>
          <w:rFonts w:ascii="Arial" w:hAnsi="Arial" w:cs="Arial"/>
          <w:sz w:val="22"/>
          <w:szCs w:val="22"/>
        </w:rPr>
        <w:t>ssible irregularities in sales</w:t>
      </w:r>
      <w:r w:rsidRPr="00E85414">
        <w:rPr>
          <w:rFonts w:ascii="Arial" w:hAnsi="Arial" w:cs="Arial"/>
          <w:sz w:val="22"/>
          <w:szCs w:val="22"/>
        </w:rPr>
        <w:t xml:space="preserve"> transactions throughout the period, particularly for accounting entries made through journal vouchers.</w:t>
      </w:r>
    </w:p>
    <w:p w:rsidR="00B94B0E" w:rsidRDefault="00B94B0E">
      <w:pPr>
        <w:overflowPunct/>
        <w:autoSpaceDE/>
        <w:autoSpaceDN/>
        <w:adjustRightInd/>
        <w:spacing w:after="200" w:line="276" w:lineRule="auto"/>
        <w:textAlignment w:val="auto"/>
        <w:rPr>
          <w:rFonts w:ascii="Arial" w:hAnsi="Arial" w:cs="Arial"/>
          <w:i/>
          <w:iCs/>
          <w:color w:val="000000"/>
          <w:sz w:val="22"/>
          <w:szCs w:val="22"/>
          <w:u w:val="single"/>
        </w:rPr>
      </w:pPr>
      <w:r>
        <w:rPr>
          <w:rFonts w:ascii="Arial" w:hAnsi="Arial" w:cs="Arial"/>
          <w:i/>
          <w:iCs/>
          <w:sz w:val="22"/>
          <w:szCs w:val="22"/>
          <w:u w:val="single"/>
        </w:rPr>
        <w:br w:type="page"/>
      </w:r>
    </w:p>
    <w:p w:rsidR="00EC252B" w:rsidRPr="00F64D42" w:rsidRDefault="00EC252B" w:rsidP="00EC252B">
      <w:pPr>
        <w:pStyle w:val="ps-000-normal"/>
        <w:spacing w:before="240" w:line="360" w:lineRule="exact"/>
        <w:rPr>
          <w:rFonts w:ascii="Arial" w:hAnsi="Arial" w:cs="Arial"/>
          <w:i/>
          <w:iCs/>
          <w:sz w:val="22"/>
          <w:szCs w:val="22"/>
        </w:rPr>
      </w:pPr>
      <w:r w:rsidRPr="00F64D42">
        <w:rPr>
          <w:rFonts w:ascii="Arial" w:hAnsi="Arial" w:cs="Arial"/>
          <w:i/>
          <w:iCs/>
          <w:sz w:val="22"/>
          <w:szCs w:val="22"/>
        </w:rPr>
        <w:lastRenderedPageBreak/>
        <w:t>Deferred tax asset from unused taxable losses</w:t>
      </w:r>
    </w:p>
    <w:p w:rsidR="00EC252B" w:rsidRPr="0094647E" w:rsidRDefault="00EC252B" w:rsidP="00EC252B">
      <w:pPr>
        <w:pStyle w:val="ps-000-normal"/>
        <w:spacing w:before="120" w:line="360" w:lineRule="exact"/>
        <w:rPr>
          <w:rFonts w:ascii="Arial" w:hAnsi="Arial" w:cs="Arial"/>
          <w:sz w:val="22"/>
          <w:szCs w:val="22"/>
          <w:cs/>
        </w:rPr>
      </w:pPr>
      <w:r w:rsidRPr="0094647E">
        <w:rPr>
          <w:rFonts w:ascii="Arial" w:hAnsi="Arial" w:cs="Arial"/>
          <w:sz w:val="22"/>
          <w:szCs w:val="22"/>
        </w:rPr>
        <w:t>As at 31 December 2016, the Group had deferred tax asset from unused taxable losses</w:t>
      </w:r>
      <w:r>
        <w:rPr>
          <w:rFonts w:ascii="Arial" w:hAnsi="Arial" w:cs="Arial"/>
          <w:sz w:val="22"/>
          <w:szCs w:val="22"/>
        </w:rPr>
        <w:t>.</w:t>
      </w:r>
      <w:r w:rsidRPr="0094647E">
        <w:rPr>
          <w:rFonts w:ascii="Arial" w:hAnsi="Arial" w:cs="Arial"/>
          <w:sz w:val="22"/>
          <w:szCs w:val="22"/>
        </w:rPr>
        <w:t xml:space="preserve"> The Group disclosed its accounting policy and details relating to </w:t>
      </w:r>
      <w:r>
        <w:rPr>
          <w:rFonts w:ascii="Arial" w:hAnsi="Arial" w:cs="Arial"/>
          <w:sz w:val="22"/>
          <w:szCs w:val="22"/>
        </w:rPr>
        <w:t>the deferred tax asset in Note 4</w:t>
      </w:r>
      <w:r w:rsidRPr="0094647E">
        <w:rPr>
          <w:rFonts w:ascii="Arial" w:hAnsi="Arial" w:cs="Arial"/>
          <w:sz w:val="22"/>
          <w:szCs w:val="22"/>
        </w:rPr>
        <w:t xml:space="preserve"> to the financial statements. A deferred tax asset is recognised when it is highly probable that the Group’s taxable profit will be sufficient to allow utilisa</w:t>
      </w:r>
      <w:r>
        <w:rPr>
          <w:rFonts w:ascii="Arial" w:hAnsi="Arial" w:cs="Arial"/>
          <w:sz w:val="22"/>
          <w:szCs w:val="22"/>
        </w:rPr>
        <w:t xml:space="preserve">tion of the deferred tax asset </w:t>
      </w:r>
      <w:r w:rsidRPr="0094647E">
        <w:rPr>
          <w:rFonts w:ascii="Arial" w:hAnsi="Arial" w:cs="Arial"/>
          <w:sz w:val="22"/>
          <w:szCs w:val="22"/>
        </w:rPr>
        <w:t>in the future. Determining whether there will be sufficient future taxable profit to utilise taxable losses requires significant management judgment with respect to the preparation of business plans and projections of future taxable profit based on approved business plans. Therefore, there is a risk with respect to the amount of deferred tax asset.</w:t>
      </w:r>
    </w:p>
    <w:p w:rsidR="00EC252B" w:rsidRPr="00EC252B" w:rsidRDefault="00EC252B" w:rsidP="00EC252B">
      <w:pPr>
        <w:pStyle w:val="ps-000-normal"/>
        <w:spacing w:before="120" w:line="360" w:lineRule="exact"/>
        <w:rPr>
          <w:rFonts w:ascii="Arial" w:hAnsi="Arial" w:cs="Arial"/>
          <w:sz w:val="22"/>
          <w:szCs w:val="22"/>
        </w:rPr>
      </w:pPr>
      <w:r w:rsidRPr="0094647E">
        <w:rPr>
          <w:rFonts w:ascii="Arial" w:hAnsi="Arial" w:cs="Arial"/>
          <w:sz w:val="22"/>
          <w:szCs w:val="22"/>
        </w:rPr>
        <w:t>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Furthermore, I compared the past projections with actual taxable profits to assess the exercise of management judgment in estimating the taxable profits</w:t>
      </w:r>
      <w:r w:rsidRPr="0094647E">
        <w:rPr>
          <w:rFonts w:ascii="Arial" w:hAnsi="Arial" w:cs="Arial"/>
          <w:sz w:val="22"/>
          <w:szCs w:val="22"/>
          <w:cs/>
        </w:rPr>
        <w:t>.</w:t>
      </w:r>
      <w:r w:rsidRPr="0094647E">
        <w:rPr>
          <w:rFonts w:ascii="Arial" w:hAnsi="Arial" w:cs="Arial"/>
          <w:sz w:val="22"/>
          <w:szCs w:val="22"/>
        </w:rPr>
        <w:t xml:space="preserve"> I also tested the calculation of future taxable profit based on the above information and assumptions</w:t>
      </w:r>
      <w:r w:rsidR="00B94B0E">
        <w:rPr>
          <w:rFonts w:ascii="Arial" w:hAnsi="Arial" w:cs="Arial"/>
          <w:sz w:val="22"/>
          <w:szCs w:val="22"/>
        </w:rPr>
        <w:t xml:space="preserve">. </w:t>
      </w:r>
      <w:r w:rsidRPr="0094647E">
        <w:rPr>
          <w:rFonts w:ascii="Arial" w:hAnsi="Arial" w:cs="Arial"/>
          <w:sz w:val="22"/>
          <w:szCs w:val="22"/>
        </w:rPr>
        <w:t>In addition, I reviewed the disclosures made with respect to temporary differences and unused taxable losses for which deferred tax asset was not recognised by the Group.</w:t>
      </w:r>
    </w:p>
    <w:p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B94B0E" w:rsidRDefault="00B94B0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Responsibilities of Management and Those Charged with Governance for the Financial Statements</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C252B" w:rsidRDefault="00EC252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A0371" w:rsidRPr="00F80F6B" w:rsidRDefault="008A0371" w:rsidP="009F06C2">
      <w:pPr>
        <w:pStyle w:val="ps-000-normal"/>
        <w:spacing w:before="240" w:line="380" w:lineRule="exact"/>
        <w:rPr>
          <w:rFonts w:ascii="Arial" w:hAnsi="Arial" w:cs="Arial"/>
          <w:sz w:val="22"/>
          <w:szCs w:val="22"/>
        </w:rPr>
      </w:pPr>
      <w:r w:rsidRPr="00F80F6B">
        <w:rPr>
          <w:rFonts w:ascii="Arial" w:hAnsi="Arial" w:cs="Arial"/>
          <w:sz w:val="22"/>
          <w:szCs w:val="22"/>
        </w:rPr>
        <w:t xml:space="preserve">The engagement partner on the audit resulting in this independent auditor’s report is </w:t>
      </w:r>
      <w:r w:rsidR="00E40DEE">
        <w:rPr>
          <w:rFonts w:ascii="Arial" w:hAnsi="Arial" w:cs="Arial"/>
          <w:sz w:val="22"/>
          <w:szCs w:val="22"/>
        </w:rPr>
        <w:t xml:space="preserve">                                                                           </w:t>
      </w:r>
      <w:r w:rsidRPr="00F80F6B">
        <w:rPr>
          <w:rFonts w:ascii="Arial" w:hAnsi="Arial" w:cs="Arial"/>
          <w:sz w:val="22"/>
          <w:szCs w:val="22"/>
        </w:rPr>
        <w:t>Miss</w:t>
      </w:r>
      <w:r>
        <w:rPr>
          <w:rFonts w:ascii="Arial" w:hAnsi="Arial" w:cs="Arial"/>
          <w:sz w:val="22"/>
          <w:szCs w:val="22"/>
        </w:rPr>
        <w:t xml:space="preserve"> </w:t>
      </w:r>
      <w:r>
        <w:rPr>
          <w:rFonts w:ascii="Arial" w:hAnsi="Arial" w:cstheme="minorBidi"/>
          <w:sz w:val="22"/>
          <w:szCs w:val="22"/>
        </w:rPr>
        <w:t>Krongkaew Limkittikul</w:t>
      </w:r>
      <w:r>
        <w:rPr>
          <w:rFonts w:ascii="Arial" w:hAnsi="Arial" w:cs="Arial"/>
          <w:sz w:val="22"/>
          <w:szCs w:val="22"/>
        </w:rPr>
        <w:t>.</w:t>
      </w:r>
    </w:p>
    <w:p w:rsidR="000C2407" w:rsidRPr="00215428" w:rsidRDefault="00703B1D"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Krongkaew Limkittikul</w:t>
      </w:r>
      <w:r w:rsidR="000C2407" w:rsidRPr="00215428">
        <w:rPr>
          <w:rFonts w:ascii="Arial" w:hAnsi="Arial"/>
          <w:sz w:val="22"/>
          <w:szCs w:val="22"/>
        </w:rPr>
        <w:t xml:space="preserve"> </w:t>
      </w:r>
    </w:p>
    <w:p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703B1D">
        <w:rPr>
          <w:rFonts w:ascii="Arial" w:hAnsi="Arial"/>
          <w:sz w:val="22"/>
          <w:szCs w:val="22"/>
        </w:rPr>
        <w:t>5874</w:t>
      </w:r>
    </w:p>
    <w:p w:rsidR="000C2407" w:rsidRDefault="000C2407" w:rsidP="00254CDA">
      <w:pPr>
        <w:tabs>
          <w:tab w:val="left" w:pos="720"/>
        </w:tabs>
        <w:spacing w:line="380" w:lineRule="exact"/>
        <w:ind w:right="-43"/>
        <w:jc w:val="thaiDistribute"/>
        <w:rPr>
          <w:rFonts w:ascii="Arial" w:hAnsi="Arial"/>
          <w:sz w:val="22"/>
          <w:szCs w:val="22"/>
        </w:rPr>
      </w:pPr>
    </w:p>
    <w:p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8A0371">
        <w:rPr>
          <w:rFonts w:ascii="Arial" w:hAnsi="Arial"/>
          <w:sz w:val="22"/>
          <w:szCs w:val="22"/>
        </w:rPr>
        <w:t>2</w:t>
      </w:r>
      <w:r w:rsidR="00E40DEE">
        <w:rPr>
          <w:rFonts w:ascii="Arial" w:hAnsi="Arial"/>
          <w:sz w:val="22"/>
          <w:szCs w:val="22"/>
        </w:rPr>
        <w:t>8</w:t>
      </w:r>
      <w:r w:rsidR="008A0371">
        <w:rPr>
          <w:rFonts w:ascii="Arial" w:hAnsi="Arial"/>
          <w:sz w:val="22"/>
          <w:szCs w:val="22"/>
        </w:rPr>
        <w:t xml:space="preserve"> February 2017</w:t>
      </w:r>
    </w:p>
    <w:sectPr w:rsidR="00432C0B" w:rsidRPr="00215428" w:rsidSect="009F06C2">
      <w:footerReference w:type="first" r:id="rId15"/>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39F" w:rsidRDefault="000C639F" w:rsidP="00E46A4F">
      <w:r>
        <w:separator/>
      </w:r>
    </w:p>
  </w:endnote>
  <w:endnote w:type="continuationSeparator" w:id="0">
    <w:p w:rsidR="000C639F" w:rsidRDefault="000C639F"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rsidR="005934C6" w:rsidRDefault="005934C6" w:rsidP="00432C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709237"/>
      <w:docPartObj>
        <w:docPartGallery w:val="Page Numbers (Bottom of Page)"/>
        <w:docPartUnique/>
      </w:docPartObj>
    </w:sdtPr>
    <w:sdtEndPr>
      <w:rPr>
        <w:rFonts w:ascii="Arial" w:hAnsi="Arial" w:cs="Arial"/>
        <w:noProof/>
        <w:sz w:val="22"/>
        <w:szCs w:val="22"/>
      </w:rPr>
    </w:sdtEndPr>
    <w:sdtContent>
      <w:p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ED0699">
          <w:rPr>
            <w:rFonts w:ascii="Arial" w:hAnsi="Arial" w:cs="Arial"/>
            <w:noProof/>
            <w:sz w:val="22"/>
            <w:szCs w:val="22"/>
          </w:rPr>
          <w:t>7</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BFF" w:rsidRDefault="00640BFF">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119604"/>
      <w:docPartObj>
        <w:docPartGallery w:val="Page Numbers (Bottom of Page)"/>
        <w:docPartUnique/>
      </w:docPartObj>
    </w:sdtPr>
    <w:sdtEndPr>
      <w:rPr>
        <w:rFonts w:ascii="Arial" w:hAnsi="Arial" w:cs="Arial"/>
        <w:noProof/>
        <w:sz w:val="22"/>
        <w:szCs w:val="22"/>
      </w:rPr>
    </w:sdtEndPr>
    <w:sdtContent>
      <w:p w:rsidR="00640BFF" w:rsidRPr="00215428" w:rsidRDefault="000C639F">
        <w:pPr>
          <w:pStyle w:val="Footer"/>
          <w:jc w:val="right"/>
          <w:rPr>
            <w:rFonts w:ascii="Arial" w:hAnsi="Arial" w:cs="Arial"/>
            <w:sz w:val="22"/>
            <w:szCs w:val="22"/>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023541"/>
      <w:docPartObj>
        <w:docPartGallery w:val="Page Numbers (Bottom of Page)"/>
        <w:docPartUnique/>
      </w:docPartObj>
    </w:sdtPr>
    <w:sdtEndPr>
      <w:rPr>
        <w:rFonts w:ascii="Arial" w:hAnsi="Arial" w:cs="Arial"/>
        <w:noProof/>
        <w:sz w:val="22"/>
        <w:szCs w:val="22"/>
      </w:rPr>
    </w:sdtEndPr>
    <w:sdtContent>
      <w:p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ED0699">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39F" w:rsidRDefault="000C639F" w:rsidP="00E46A4F">
      <w:r>
        <w:separator/>
      </w:r>
    </w:p>
  </w:footnote>
  <w:footnote w:type="continuationSeparator" w:id="0">
    <w:p w:rsidR="000C639F" w:rsidRDefault="000C639F" w:rsidP="00E46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6C2" w:rsidRDefault="009F06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6C2" w:rsidRDefault="009F06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nsid w:val="47D742AF"/>
    <w:multiLevelType w:val="singleLevel"/>
    <w:tmpl w:val="FD428CD8"/>
    <w:lvl w:ilvl="0">
      <w:start w:val="1"/>
      <w:numFmt w:val="decimal"/>
      <w:lvlText w:val="%1."/>
      <w:legacy w:legacy="1" w:legacySpace="0" w:legacyIndent="283"/>
      <w:lvlJc w:val="left"/>
      <w:pPr>
        <w:ind w:left="643" w:hanging="283"/>
      </w:pPr>
    </w:lvl>
  </w:abstractNum>
  <w:abstractNum w:abstractNumId="8">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5"/>
  </w:num>
  <w:num w:numId="3">
    <w:abstractNumId w:val="10"/>
  </w:num>
  <w:num w:numId="4">
    <w:abstractNumId w:val="8"/>
  </w:num>
  <w:num w:numId="5">
    <w:abstractNumId w:val="24"/>
  </w:num>
  <w:num w:numId="6">
    <w:abstractNumId w:val="4"/>
  </w:num>
  <w:num w:numId="7">
    <w:abstractNumId w:val="19"/>
  </w:num>
  <w:num w:numId="8">
    <w:abstractNumId w:val="5"/>
  </w:num>
  <w:num w:numId="9">
    <w:abstractNumId w:val="15"/>
  </w:num>
  <w:num w:numId="10">
    <w:abstractNumId w:val="16"/>
  </w:num>
  <w:num w:numId="11">
    <w:abstractNumId w:val="6"/>
  </w:num>
  <w:num w:numId="12">
    <w:abstractNumId w:val="11"/>
  </w:num>
  <w:num w:numId="13">
    <w:abstractNumId w:val="3"/>
  </w:num>
  <w:num w:numId="14">
    <w:abstractNumId w:val="1"/>
  </w:num>
  <w:num w:numId="15">
    <w:abstractNumId w:val="2"/>
  </w:num>
  <w:num w:numId="16">
    <w:abstractNumId w:val="14"/>
  </w:num>
  <w:num w:numId="17">
    <w:abstractNumId w:val="9"/>
  </w:num>
  <w:num w:numId="18">
    <w:abstractNumId w:val="21"/>
  </w:num>
  <w:num w:numId="19">
    <w:abstractNumId w:val="0"/>
  </w:num>
  <w:num w:numId="20">
    <w:abstractNumId w:val="12"/>
  </w:num>
  <w:num w:numId="21">
    <w:abstractNumId w:val="20"/>
  </w:num>
  <w:num w:numId="22">
    <w:abstractNumId w:val="18"/>
  </w:num>
  <w:num w:numId="23">
    <w:abstractNumId w:val="17"/>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407"/>
    <w:rsid w:val="000011DC"/>
    <w:rsid w:val="000043DA"/>
    <w:rsid w:val="00011E6D"/>
    <w:rsid w:val="00012113"/>
    <w:rsid w:val="0001227C"/>
    <w:rsid w:val="00012B5F"/>
    <w:rsid w:val="00014661"/>
    <w:rsid w:val="000178C2"/>
    <w:rsid w:val="00023C89"/>
    <w:rsid w:val="000267AF"/>
    <w:rsid w:val="00033410"/>
    <w:rsid w:val="0003763C"/>
    <w:rsid w:val="00055E44"/>
    <w:rsid w:val="000567EA"/>
    <w:rsid w:val="00057BB8"/>
    <w:rsid w:val="0006647F"/>
    <w:rsid w:val="00067CD6"/>
    <w:rsid w:val="0007209D"/>
    <w:rsid w:val="00074370"/>
    <w:rsid w:val="00074B5A"/>
    <w:rsid w:val="00074FA1"/>
    <w:rsid w:val="00082C31"/>
    <w:rsid w:val="0008336E"/>
    <w:rsid w:val="00087A24"/>
    <w:rsid w:val="0009145A"/>
    <w:rsid w:val="0009500C"/>
    <w:rsid w:val="000A621B"/>
    <w:rsid w:val="000A6F66"/>
    <w:rsid w:val="000B3057"/>
    <w:rsid w:val="000C2407"/>
    <w:rsid w:val="000C2EB5"/>
    <w:rsid w:val="000C639F"/>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53B4"/>
    <w:rsid w:val="001C660F"/>
    <w:rsid w:val="001D0D25"/>
    <w:rsid w:val="001D176E"/>
    <w:rsid w:val="001D332E"/>
    <w:rsid w:val="001D5777"/>
    <w:rsid w:val="001D5C2C"/>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664"/>
    <w:rsid w:val="004309F0"/>
    <w:rsid w:val="0043108F"/>
    <w:rsid w:val="00432AC8"/>
    <w:rsid w:val="00432C0B"/>
    <w:rsid w:val="0043413E"/>
    <w:rsid w:val="00456F33"/>
    <w:rsid w:val="00463C3D"/>
    <w:rsid w:val="00470B0A"/>
    <w:rsid w:val="0047172B"/>
    <w:rsid w:val="00473F75"/>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1C3C"/>
    <w:rsid w:val="0054471D"/>
    <w:rsid w:val="005533C0"/>
    <w:rsid w:val="00555721"/>
    <w:rsid w:val="00563F9F"/>
    <w:rsid w:val="00564ED9"/>
    <w:rsid w:val="00565047"/>
    <w:rsid w:val="00565D55"/>
    <w:rsid w:val="00565E32"/>
    <w:rsid w:val="0056724F"/>
    <w:rsid w:val="00570D42"/>
    <w:rsid w:val="00576038"/>
    <w:rsid w:val="0058511D"/>
    <w:rsid w:val="005934C6"/>
    <w:rsid w:val="00594584"/>
    <w:rsid w:val="00597362"/>
    <w:rsid w:val="005A0E60"/>
    <w:rsid w:val="005A2892"/>
    <w:rsid w:val="005B2DE0"/>
    <w:rsid w:val="005B447F"/>
    <w:rsid w:val="005D7592"/>
    <w:rsid w:val="005E31C1"/>
    <w:rsid w:val="005E4A4E"/>
    <w:rsid w:val="005F460D"/>
    <w:rsid w:val="005F493A"/>
    <w:rsid w:val="005F4DBD"/>
    <w:rsid w:val="00604E8E"/>
    <w:rsid w:val="00614A96"/>
    <w:rsid w:val="0062192B"/>
    <w:rsid w:val="00640BFF"/>
    <w:rsid w:val="006441C6"/>
    <w:rsid w:val="0064737B"/>
    <w:rsid w:val="00650143"/>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66E6"/>
    <w:rsid w:val="006E46B7"/>
    <w:rsid w:val="006E6FA7"/>
    <w:rsid w:val="006F17BD"/>
    <w:rsid w:val="006F4913"/>
    <w:rsid w:val="00702A35"/>
    <w:rsid w:val="00703B1D"/>
    <w:rsid w:val="00707BEE"/>
    <w:rsid w:val="007101F5"/>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7326F"/>
    <w:rsid w:val="00775BF6"/>
    <w:rsid w:val="00776A30"/>
    <w:rsid w:val="00776AF9"/>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E5D45"/>
    <w:rsid w:val="007F05D4"/>
    <w:rsid w:val="007F1E67"/>
    <w:rsid w:val="007F3478"/>
    <w:rsid w:val="007F38EF"/>
    <w:rsid w:val="007F417B"/>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E1C83"/>
    <w:rsid w:val="008F080A"/>
    <w:rsid w:val="008F22C8"/>
    <w:rsid w:val="008F568A"/>
    <w:rsid w:val="00901228"/>
    <w:rsid w:val="00902BA8"/>
    <w:rsid w:val="0090375D"/>
    <w:rsid w:val="00903BB6"/>
    <w:rsid w:val="00906AE7"/>
    <w:rsid w:val="00923761"/>
    <w:rsid w:val="00924512"/>
    <w:rsid w:val="0092578A"/>
    <w:rsid w:val="00927C9A"/>
    <w:rsid w:val="00936233"/>
    <w:rsid w:val="00940002"/>
    <w:rsid w:val="00940160"/>
    <w:rsid w:val="00943F15"/>
    <w:rsid w:val="00960E39"/>
    <w:rsid w:val="00967CB4"/>
    <w:rsid w:val="00971F15"/>
    <w:rsid w:val="00971F78"/>
    <w:rsid w:val="00983B2D"/>
    <w:rsid w:val="00984889"/>
    <w:rsid w:val="009863B4"/>
    <w:rsid w:val="0098761D"/>
    <w:rsid w:val="009938B0"/>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67BC"/>
    <w:rsid w:val="00A96D36"/>
    <w:rsid w:val="00AA4824"/>
    <w:rsid w:val="00AA6027"/>
    <w:rsid w:val="00AB097F"/>
    <w:rsid w:val="00AB2A17"/>
    <w:rsid w:val="00AD0361"/>
    <w:rsid w:val="00AD44D8"/>
    <w:rsid w:val="00AE29FA"/>
    <w:rsid w:val="00AF227D"/>
    <w:rsid w:val="00AF39DC"/>
    <w:rsid w:val="00AF7834"/>
    <w:rsid w:val="00B01EC3"/>
    <w:rsid w:val="00B05E3F"/>
    <w:rsid w:val="00B109D2"/>
    <w:rsid w:val="00B13BAA"/>
    <w:rsid w:val="00B24581"/>
    <w:rsid w:val="00B30F91"/>
    <w:rsid w:val="00B32C83"/>
    <w:rsid w:val="00B423BB"/>
    <w:rsid w:val="00B43F84"/>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6DE"/>
    <w:rsid w:val="00C22732"/>
    <w:rsid w:val="00C246BA"/>
    <w:rsid w:val="00C27CA5"/>
    <w:rsid w:val="00C33619"/>
    <w:rsid w:val="00C3502D"/>
    <w:rsid w:val="00C35677"/>
    <w:rsid w:val="00C3668D"/>
    <w:rsid w:val="00C46EC5"/>
    <w:rsid w:val="00C53504"/>
    <w:rsid w:val="00C5492F"/>
    <w:rsid w:val="00C572DA"/>
    <w:rsid w:val="00C57799"/>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71AB"/>
    <w:rsid w:val="00CA7C55"/>
    <w:rsid w:val="00CB2033"/>
    <w:rsid w:val="00CB3B06"/>
    <w:rsid w:val="00CB4966"/>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67B9"/>
    <w:rsid w:val="00EB0139"/>
    <w:rsid w:val="00EB47DB"/>
    <w:rsid w:val="00EC252B"/>
    <w:rsid w:val="00EC6748"/>
    <w:rsid w:val="00ED0699"/>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macro"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5B52B-E779-4C73-BA7A-F59FC3561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ACCT-DIREK</cp:lastModifiedBy>
  <cp:revision>2</cp:revision>
  <cp:lastPrinted>2017-02-27T09:10:00Z</cp:lastPrinted>
  <dcterms:created xsi:type="dcterms:W3CDTF">2017-02-28T09:54:00Z</dcterms:created>
  <dcterms:modified xsi:type="dcterms:W3CDTF">2017-02-28T09:54:00Z</dcterms:modified>
</cp:coreProperties>
</file>