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Look w:val="01E0" w:firstRow="1" w:lastRow="1" w:firstColumn="1" w:lastColumn="1" w:noHBand="0" w:noVBand="0"/>
      </w:tblPr>
      <w:tblGrid>
        <w:gridCol w:w="2628"/>
        <w:gridCol w:w="7110"/>
      </w:tblGrid>
      <w:tr w:rsidR="003C36A1" w:rsidRPr="00F87818" w:rsidTr="00352BE8">
        <w:trPr>
          <w:trHeight w:val="2865"/>
        </w:trPr>
        <w:tc>
          <w:tcPr>
            <w:tcW w:w="2628" w:type="dxa"/>
          </w:tcPr>
          <w:p w:rsidR="003C36A1" w:rsidRPr="003C2071" w:rsidRDefault="003C36A1" w:rsidP="003C36A1">
            <w:pPr>
              <w:rPr>
                <w:rFonts w:ascii="Angsana New" w:hAnsi="Angsana New"/>
                <w:sz w:val="36"/>
                <w:szCs w:val="36"/>
              </w:rPr>
            </w:pPr>
            <w:bookmarkStart w:id="0" w:name="_GoBack"/>
            <w:bookmarkEnd w:id="0"/>
          </w:p>
        </w:tc>
        <w:tc>
          <w:tcPr>
            <w:tcW w:w="7110" w:type="dxa"/>
            <w:vAlign w:val="center"/>
          </w:tcPr>
          <w:p w:rsidR="003C36A1" w:rsidRPr="00F87818" w:rsidRDefault="003C36A1" w:rsidP="003C36A1">
            <w:pPr>
              <w:spacing w:line="380" w:lineRule="exact"/>
              <w:ind w:left="14"/>
              <w:rPr>
                <w:rFonts w:cs="Times New Roman"/>
                <w:color w:val="7E7F82"/>
                <w:spacing w:val="-4"/>
                <w:sz w:val="28"/>
              </w:rPr>
            </w:pPr>
            <w:r w:rsidRPr="00F87818">
              <w:rPr>
                <w:rFonts w:cs="Times New Roman"/>
                <w:color w:val="7E7F82"/>
                <w:spacing w:val="-4"/>
                <w:sz w:val="28"/>
              </w:rPr>
              <w:t xml:space="preserve">Thai Luxe Enterprises Public Company Limited </w:t>
            </w:r>
          </w:p>
          <w:p w:rsidR="003C36A1" w:rsidRPr="00F87818" w:rsidRDefault="003C36A1" w:rsidP="003C36A1">
            <w:pPr>
              <w:spacing w:line="380" w:lineRule="exact"/>
              <w:ind w:left="14"/>
              <w:rPr>
                <w:rFonts w:cs="Times New Roman"/>
                <w:color w:val="7E7F82"/>
                <w:spacing w:val="-4"/>
                <w:sz w:val="28"/>
              </w:rPr>
            </w:pPr>
            <w:r w:rsidRPr="00F87818">
              <w:rPr>
                <w:rFonts w:cs="Times New Roman"/>
                <w:color w:val="7E7F82"/>
                <w:spacing w:val="-4"/>
                <w:sz w:val="28"/>
              </w:rPr>
              <w:t>and its subsidiaries</w:t>
            </w:r>
          </w:p>
          <w:p w:rsidR="003C36A1" w:rsidRPr="00F87818" w:rsidRDefault="003C36A1" w:rsidP="003C36A1">
            <w:pPr>
              <w:spacing w:line="380" w:lineRule="exact"/>
              <w:ind w:left="14"/>
              <w:rPr>
                <w:rFonts w:cs="Times New Roman"/>
                <w:color w:val="7E7F82"/>
                <w:spacing w:val="-4"/>
                <w:sz w:val="28"/>
              </w:rPr>
            </w:pPr>
            <w:r w:rsidRPr="00F87818">
              <w:rPr>
                <w:rFonts w:cs="Times New Roman"/>
                <w:color w:val="7E7F82"/>
                <w:spacing w:val="-4"/>
                <w:sz w:val="28"/>
              </w:rPr>
              <w:t>R</w:t>
            </w:r>
            <w:r w:rsidR="005741F1" w:rsidRPr="00F87818">
              <w:rPr>
                <w:rFonts w:cs="Times New Roman"/>
                <w:color w:val="7E7F82"/>
                <w:spacing w:val="-4"/>
                <w:sz w:val="28"/>
              </w:rPr>
              <w:t>eview r</w:t>
            </w:r>
            <w:r w:rsidRPr="00F87818">
              <w:rPr>
                <w:rFonts w:cs="Times New Roman"/>
                <w:color w:val="7E7F82"/>
                <w:spacing w:val="-4"/>
                <w:sz w:val="28"/>
              </w:rPr>
              <w:t xml:space="preserve">eport and </w:t>
            </w:r>
            <w:r w:rsidR="0004227E" w:rsidRPr="00F87818">
              <w:rPr>
                <w:rFonts w:cs="Times New Roman"/>
                <w:color w:val="7E7F82"/>
                <w:spacing w:val="-4"/>
                <w:sz w:val="28"/>
              </w:rPr>
              <w:t xml:space="preserve">interim </w:t>
            </w:r>
            <w:r w:rsidRPr="00F87818">
              <w:rPr>
                <w:rFonts w:cs="Times New Roman"/>
                <w:color w:val="7E7F82"/>
                <w:spacing w:val="-4"/>
                <w:sz w:val="28"/>
              </w:rPr>
              <w:t>consolidated financial statements</w:t>
            </w:r>
          </w:p>
          <w:p w:rsidR="003C36A1" w:rsidRPr="00F87818" w:rsidRDefault="00722830" w:rsidP="00A85FD7">
            <w:pPr>
              <w:spacing w:line="380" w:lineRule="exact"/>
              <w:ind w:left="14" w:right="-168"/>
              <w:rPr>
                <w:rFonts w:cs="Times New Roman"/>
                <w:color w:val="7E7F82"/>
                <w:spacing w:val="-4"/>
                <w:sz w:val="28"/>
              </w:rPr>
            </w:pPr>
            <w:r w:rsidRPr="00F87818">
              <w:rPr>
                <w:rFonts w:cs="Times New Roman"/>
                <w:color w:val="7E7F82"/>
                <w:spacing w:val="-4"/>
                <w:sz w:val="28"/>
              </w:rPr>
              <w:t xml:space="preserve">For the </w:t>
            </w:r>
            <w:r w:rsidR="00FB20FC" w:rsidRPr="00F87818">
              <w:rPr>
                <w:rFonts w:cs="Times New Roman"/>
                <w:color w:val="7E7F82"/>
                <w:spacing w:val="-4"/>
                <w:sz w:val="28"/>
              </w:rPr>
              <w:t>three</w:t>
            </w:r>
            <w:r w:rsidR="00FB20FC" w:rsidRPr="00F87818">
              <w:rPr>
                <w:color w:val="7E7F82"/>
                <w:spacing w:val="-4"/>
                <w:sz w:val="28"/>
                <w:cs/>
              </w:rPr>
              <w:t>-</w:t>
            </w:r>
            <w:r w:rsidR="00FB20FC" w:rsidRPr="00F87818">
              <w:rPr>
                <w:rFonts w:cs="Times New Roman"/>
                <w:color w:val="7E7F82"/>
                <w:spacing w:val="-4"/>
                <w:sz w:val="28"/>
              </w:rPr>
              <w:t>month period</w:t>
            </w:r>
            <w:r w:rsidRPr="00F87818">
              <w:rPr>
                <w:color w:val="7E7F82"/>
                <w:spacing w:val="-4"/>
                <w:sz w:val="28"/>
                <w:cs/>
              </w:rPr>
              <w:t xml:space="preserve"> </w:t>
            </w:r>
            <w:r w:rsidR="00E36CD2" w:rsidRPr="00F87818">
              <w:rPr>
                <w:rFonts w:cs="Times New Roman"/>
                <w:color w:val="7E7F82"/>
                <w:spacing w:val="-4"/>
                <w:sz w:val="28"/>
              </w:rPr>
              <w:t>ended</w:t>
            </w:r>
            <w:r w:rsidR="00367CD1" w:rsidRPr="00F87818">
              <w:rPr>
                <w:color w:val="7E7F82"/>
                <w:spacing w:val="-4"/>
                <w:sz w:val="28"/>
                <w:cs/>
              </w:rPr>
              <w:t xml:space="preserve"> </w:t>
            </w:r>
            <w:r w:rsidR="00A85FD7" w:rsidRPr="00F87818">
              <w:rPr>
                <w:rFonts w:cstheme="minorBidi"/>
                <w:color w:val="7E7F82"/>
                <w:spacing w:val="-4"/>
                <w:sz w:val="28"/>
              </w:rPr>
              <w:t>31 March 2017</w:t>
            </w:r>
          </w:p>
        </w:tc>
      </w:tr>
    </w:tbl>
    <w:p w:rsidR="003C36A1" w:rsidRPr="00F87818" w:rsidRDefault="003C36A1" w:rsidP="003C36A1">
      <w:pPr>
        <w:rPr>
          <w:szCs w:val="24"/>
          <w:cs/>
        </w:rPr>
        <w:sectPr w:rsidR="003C36A1" w:rsidRPr="00F87818" w:rsidSect="00352BE8">
          <w:footerReference w:type="default" r:id="rId8"/>
          <w:pgSz w:w="11907" w:h="16840" w:code="9"/>
          <w:pgMar w:top="2160" w:right="1080" w:bottom="11520" w:left="360" w:header="720" w:footer="720" w:gutter="0"/>
          <w:cols w:space="720"/>
          <w:titlePg/>
          <w:docGrid w:linePitch="360"/>
        </w:sectPr>
      </w:pPr>
    </w:p>
    <w:p w:rsidR="003C36A1" w:rsidRPr="00F87818" w:rsidRDefault="00BB5EC8" w:rsidP="00352BE8">
      <w:pPr>
        <w:spacing w:line="380" w:lineRule="exact"/>
        <w:ind w:right="-43"/>
        <w:rPr>
          <w:rFonts w:ascii="Arial" w:hAnsi="Arial"/>
          <w:b/>
          <w:bCs/>
          <w:sz w:val="22"/>
          <w:szCs w:val="22"/>
        </w:rPr>
      </w:pPr>
      <w:r w:rsidRPr="00F87818">
        <w:rPr>
          <w:rFonts w:ascii="Arial" w:eastAsia="Arial Unicode MS" w:hAnsi="Arial" w:cs="Arial Unicode MS"/>
          <w:b/>
          <w:bCs/>
          <w:sz w:val="22"/>
          <w:szCs w:val="22"/>
        </w:rPr>
        <w:lastRenderedPageBreak/>
        <w:t>Independent Auditor’s Report on Review of Interim Financial Information</w:t>
      </w:r>
      <w:r w:rsidR="001C3125" w:rsidRPr="00F87818">
        <w:rPr>
          <w:rFonts w:ascii="Arial" w:hAnsi="Arial"/>
          <w:b/>
          <w:bCs/>
          <w:sz w:val="22"/>
          <w:szCs w:val="22"/>
          <w:cs/>
        </w:rPr>
        <w:t xml:space="preserve"> </w:t>
      </w:r>
    </w:p>
    <w:p w:rsidR="003C36A1" w:rsidRPr="00F87818" w:rsidRDefault="003C36A1" w:rsidP="00352BE8">
      <w:pPr>
        <w:spacing w:line="380" w:lineRule="exact"/>
        <w:ind w:right="-45"/>
        <w:rPr>
          <w:rFonts w:ascii="Arial" w:hAnsi="Arial"/>
          <w:sz w:val="22"/>
          <w:szCs w:val="22"/>
        </w:rPr>
      </w:pPr>
      <w:r w:rsidRPr="00F87818">
        <w:rPr>
          <w:rFonts w:ascii="Arial" w:hAnsi="Arial"/>
          <w:sz w:val="22"/>
          <w:szCs w:val="22"/>
        </w:rPr>
        <w:t>To the Shareholders of Thai Luxe Enterprises Public Company Limited</w:t>
      </w:r>
    </w:p>
    <w:p w:rsidR="00411ED4" w:rsidRPr="00F87818" w:rsidRDefault="00411ED4" w:rsidP="004D7312">
      <w:pPr>
        <w:spacing w:before="360" w:after="120" w:line="380" w:lineRule="exact"/>
        <w:rPr>
          <w:rFonts w:ascii="Arial" w:hAnsi="Arial" w:cs="Arial"/>
          <w:sz w:val="22"/>
          <w:szCs w:val="22"/>
        </w:rPr>
      </w:pPr>
      <w:r w:rsidRPr="00F87818">
        <w:rPr>
          <w:rFonts w:ascii="Arial" w:hAnsi="Arial" w:cs="Arial"/>
          <w:sz w:val="22"/>
          <w:szCs w:val="22"/>
        </w:rPr>
        <w:t xml:space="preserve">I have reviewed the accompanying consolidated statement of financial position of Thai Luxe Enterprises Public Company Limited and its subsidiaries as at </w:t>
      </w:r>
      <w:r w:rsidR="00A85FD7" w:rsidRPr="00F87818">
        <w:rPr>
          <w:rFonts w:ascii="Arial" w:hAnsi="Arial" w:cs="Arial"/>
          <w:sz w:val="22"/>
          <w:szCs w:val="22"/>
        </w:rPr>
        <w:t>31 March 2017</w:t>
      </w:r>
      <w:r w:rsidRPr="00F87818">
        <w:rPr>
          <w:rFonts w:ascii="Arial" w:hAnsi="Arial" w:cs="Arial"/>
          <w:sz w:val="22"/>
          <w:szCs w:val="22"/>
        </w:rPr>
        <w:t xml:space="preserve">, </w:t>
      </w:r>
      <w:r w:rsidR="0083040E" w:rsidRPr="00F87818">
        <w:rPr>
          <w:rFonts w:ascii="Arial" w:hAnsi="Arial" w:cs="Arial"/>
          <w:sz w:val="22"/>
          <w:szCs w:val="22"/>
        </w:rPr>
        <w:t>the related consolidated statements of comprehensive income</w:t>
      </w:r>
      <w:r w:rsidR="00B5109E" w:rsidRPr="00F87818">
        <w:rPr>
          <w:rFonts w:ascii="Arial" w:hAnsi="Arial" w:cs="Arial"/>
          <w:sz w:val="22"/>
          <w:szCs w:val="22"/>
        </w:rPr>
        <w:t xml:space="preserve">, </w:t>
      </w:r>
      <w:r w:rsidR="0083040E" w:rsidRPr="00F87818">
        <w:rPr>
          <w:rFonts w:ascii="Arial" w:hAnsi="Arial" w:cs="Arial"/>
          <w:sz w:val="22"/>
          <w:szCs w:val="22"/>
        </w:rPr>
        <w:t xml:space="preserve">changes in shareholders’ equity and cash flows for the </w:t>
      </w:r>
      <w:r w:rsidR="00A85FD7" w:rsidRPr="00F87818">
        <w:rPr>
          <w:rFonts w:ascii="Arial" w:hAnsi="Arial" w:cs="Cordia New"/>
          <w:sz w:val="22"/>
        </w:rPr>
        <w:t>three</w:t>
      </w:r>
      <w:r w:rsidR="007E2F2F" w:rsidRPr="00F87818">
        <w:rPr>
          <w:rFonts w:ascii="Arial" w:hAnsi="Arial"/>
          <w:sz w:val="22"/>
          <w:szCs w:val="22"/>
          <w:cs/>
        </w:rPr>
        <w:t>-</w:t>
      </w:r>
      <w:r w:rsidR="007E2F2F" w:rsidRPr="00F87818">
        <w:rPr>
          <w:rFonts w:ascii="Arial" w:hAnsi="Arial" w:cs="Cordia New"/>
          <w:sz w:val="22"/>
        </w:rPr>
        <w:t>month</w:t>
      </w:r>
      <w:r w:rsidR="0083040E" w:rsidRPr="00F87818">
        <w:rPr>
          <w:rFonts w:ascii="Arial" w:hAnsi="Arial"/>
          <w:sz w:val="22"/>
          <w:szCs w:val="22"/>
          <w:cs/>
        </w:rPr>
        <w:t xml:space="preserve"> </w:t>
      </w:r>
      <w:r w:rsidR="0083040E" w:rsidRPr="00F87818">
        <w:rPr>
          <w:rFonts w:ascii="Arial" w:hAnsi="Arial" w:cs="Arial"/>
          <w:sz w:val="22"/>
          <w:szCs w:val="22"/>
        </w:rPr>
        <w:t>period then ended, as well as the condensed notes to the consolidated financial statements</w:t>
      </w:r>
      <w:r w:rsidRPr="00F87818">
        <w:rPr>
          <w:rFonts w:ascii="Arial" w:hAnsi="Arial"/>
          <w:sz w:val="22"/>
          <w:szCs w:val="22"/>
          <w:cs/>
        </w:rPr>
        <w:t xml:space="preserve">. </w:t>
      </w:r>
      <w:r w:rsidRPr="00F87818">
        <w:rPr>
          <w:rFonts w:ascii="Arial" w:hAnsi="Arial" w:cs="Arial"/>
          <w:sz w:val="22"/>
          <w:szCs w:val="22"/>
        </w:rPr>
        <w:t>I have also reviewed the sep</w:t>
      </w:r>
      <w:r w:rsidR="001A3250" w:rsidRPr="00F87818">
        <w:rPr>
          <w:rFonts w:ascii="Arial" w:hAnsi="Arial" w:cs="Arial"/>
          <w:sz w:val="22"/>
          <w:szCs w:val="22"/>
        </w:rPr>
        <w:t xml:space="preserve">arate financial information of </w:t>
      </w:r>
      <w:r w:rsidRPr="00F87818">
        <w:rPr>
          <w:rFonts w:ascii="Arial" w:hAnsi="Arial" w:cs="Arial"/>
          <w:sz w:val="22"/>
          <w:szCs w:val="22"/>
        </w:rPr>
        <w:t>Thai Luxe Enterprises Public Company Limited for the same period</w:t>
      </w:r>
      <w:r w:rsidRPr="00F87818">
        <w:rPr>
          <w:rFonts w:ascii="Arial" w:hAnsi="Arial"/>
          <w:sz w:val="22"/>
          <w:szCs w:val="22"/>
          <w:cs/>
        </w:rPr>
        <w:t>.</w:t>
      </w:r>
      <w:r w:rsidRPr="00F87818">
        <w:rPr>
          <w:rFonts w:ascii="Arial" w:hAnsi="Arial" w:cs="Arial"/>
          <w:sz w:val="22"/>
          <w:szCs w:val="22"/>
        </w:rPr>
        <w:t xml:space="preserve"> Management is responsible for the preparation and presentation of this interim financial information in accordance with</w:t>
      </w:r>
      <w:r w:rsidR="001A3250" w:rsidRPr="00F87818">
        <w:rPr>
          <w:rFonts w:ascii="Arial" w:hAnsi="Arial"/>
          <w:sz w:val="22"/>
          <w:szCs w:val="22"/>
          <w:cs/>
        </w:rPr>
        <w:t xml:space="preserve"> </w:t>
      </w:r>
      <w:r w:rsidRPr="00F87818">
        <w:rPr>
          <w:rFonts w:ascii="Arial" w:hAnsi="Arial" w:cs="Arial"/>
          <w:sz w:val="22"/>
          <w:szCs w:val="22"/>
        </w:rPr>
        <w:t>Thai Accounting Standard 34</w:t>
      </w:r>
      <w:r w:rsidR="00D06FC8" w:rsidRPr="00F87818">
        <w:rPr>
          <w:rFonts w:ascii="Arial" w:hAnsi="Arial"/>
          <w:sz w:val="22"/>
          <w:szCs w:val="22"/>
          <w:cs/>
        </w:rPr>
        <w:t xml:space="preserve"> </w:t>
      </w:r>
      <w:r w:rsidRPr="00F87818">
        <w:rPr>
          <w:rFonts w:ascii="Arial" w:hAnsi="Arial" w:cs="Arial"/>
          <w:i/>
          <w:iCs/>
          <w:sz w:val="22"/>
          <w:szCs w:val="22"/>
        </w:rPr>
        <w:t>Interim Financial Reporting</w:t>
      </w:r>
      <w:r w:rsidRPr="00F87818">
        <w:rPr>
          <w:rFonts w:ascii="Arial" w:hAnsi="Arial"/>
          <w:sz w:val="22"/>
          <w:szCs w:val="22"/>
          <w:cs/>
        </w:rPr>
        <w:t xml:space="preserve">. </w:t>
      </w:r>
      <w:r w:rsidRPr="00F87818">
        <w:rPr>
          <w:rFonts w:ascii="Arial" w:hAnsi="Arial" w:cs="Arial"/>
          <w:sz w:val="22"/>
          <w:szCs w:val="22"/>
        </w:rPr>
        <w:t>My responsibility is to express a conclusion on this interim financial information based on my review</w:t>
      </w:r>
      <w:r w:rsidRPr="00F87818">
        <w:rPr>
          <w:rFonts w:ascii="Arial" w:hAnsi="Arial"/>
          <w:sz w:val="22"/>
          <w:szCs w:val="22"/>
          <w:cs/>
        </w:rPr>
        <w:t>.</w:t>
      </w:r>
    </w:p>
    <w:p w:rsidR="009D74AB" w:rsidRPr="00F87818" w:rsidRDefault="009D74AB" w:rsidP="00352BE8">
      <w:pPr>
        <w:spacing w:before="240" w:after="120" w:line="380" w:lineRule="exact"/>
        <w:rPr>
          <w:rFonts w:ascii="Arial" w:hAnsi="Arial" w:cs="Arial"/>
          <w:b/>
          <w:bCs/>
          <w:sz w:val="22"/>
          <w:szCs w:val="22"/>
        </w:rPr>
      </w:pPr>
      <w:r w:rsidRPr="00F87818">
        <w:rPr>
          <w:rFonts w:ascii="Arial" w:hAnsi="Arial" w:cs="Arial"/>
          <w:b/>
          <w:bCs/>
          <w:sz w:val="22"/>
          <w:szCs w:val="22"/>
        </w:rPr>
        <w:t>Scope of review</w:t>
      </w:r>
    </w:p>
    <w:p w:rsidR="009D74AB" w:rsidRPr="00F87818" w:rsidRDefault="002227CF" w:rsidP="004D7312">
      <w:pPr>
        <w:tabs>
          <w:tab w:val="left" w:pos="720"/>
        </w:tabs>
        <w:spacing w:before="120" w:after="120" w:line="380" w:lineRule="exact"/>
        <w:ind w:right="-43"/>
        <w:rPr>
          <w:rFonts w:ascii="Arial" w:hAnsi="Arial"/>
          <w:sz w:val="22"/>
          <w:szCs w:val="22"/>
        </w:rPr>
      </w:pPr>
      <w:r w:rsidRPr="00F87818">
        <w:rPr>
          <w:rFonts w:ascii="Arial" w:hAnsi="Arial" w:cs="Arial"/>
          <w:sz w:val="22"/>
          <w:szCs w:val="22"/>
        </w:rPr>
        <w:t>I conducted my review</w:t>
      </w:r>
      <w:r w:rsidR="009D74AB" w:rsidRPr="00F87818">
        <w:rPr>
          <w:rFonts w:ascii="Arial" w:hAnsi="Arial" w:cs="Arial"/>
          <w:sz w:val="22"/>
          <w:szCs w:val="22"/>
        </w:rPr>
        <w:t xml:space="preserve"> in accordance with </w:t>
      </w:r>
      <w:r w:rsidR="0086558D" w:rsidRPr="00F87818">
        <w:rPr>
          <w:rFonts w:ascii="Arial" w:hAnsi="Arial" w:cs="Arial"/>
          <w:sz w:val="22"/>
          <w:szCs w:val="22"/>
        </w:rPr>
        <w:t xml:space="preserve">Thai </w:t>
      </w:r>
      <w:r w:rsidR="009D74AB" w:rsidRPr="00F87818">
        <w:rPr>
          <w:rFonts w:ascii="Arial" w:hAnsi="Arial" w:cs="Arial"/>
          <w:sz w:val="22"/>
          <w:szCs w:val="22"/>
        </w:rPr>
        <w:t xml:space="preserve">Standard on Review Engagements </w:t>
      </w:r>
      <w:r w:rsidR="009D74AB" w:rsidRPr="00F87818">
        <w:rPr>
          <w:rFonts w:ascii="Arial" w:hAnsi="Arial" w:cs="Arial"/>
          <w:sz w:val="22"/>
          <w:szCs w:val="22"/>
          <w:cs/>
        </w:rPr>
        <w:t>2410</w:t>
      </w:r>
      <w:r w:rsidR="009D74AB" w:rsidRPr="00F87818">
        <w:rPr>
          <w:rFonts w:ascii="Arial" w:hAnsi="Arial" w:cs="Arial"/>
          <w:sz w:val="22"/>
          <w:szCs w:val="22"/>
        </w:rPr>
        <w:t xml:space="preserve">, </w:t>
      </w:r>
      <w:r w:rsidR="009D74AB" w:rsidRPr="00F87818">
        <w:rPr>
          <w:rFonts w:ascii="Arial" w:hAnsi="Arial" w:cs="Arial"/>
          <w:i/>
          <w:iCs/>
          <w:sz w:val="22"/>
          <w:szCs w:val="22"/>
        </w:rPr>
        <w:t>Review of Interim Financial Information Performed by the Independent Auditor of the Entity</w:t>
      </w:r>
      <w:r w:rsidR="009D74AB" w:rsidRPr="00F87818">
        <w:rPr>
          <w:rFonts w:ascii="Arial" w:hAnsi="Arial"/>
          <w:sz w:val="22"/>
          <w:szCs w:val="22"/>
          <w:cs/>
        </w:rPr>
        <w:t xml:space="preserve">. </w:t>
      </w:r>
      <w:r w:rsidR="009D74AB" w:rsidRPr="00F87818">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009D74AB" w:rsidRPr="00F87818">
        <w:rPr>
          <w:rFonts w:ascii="Arial" w:hAnsi="Arial"/>
          <w:sz w:val="22"/>
          <w:szCs w:val="22"/>
          <w:cs/>
        </w:rPr>
        <w:t xml:space="preserve">. </w:t>
      </w:r>
      <w:r w:rsidR="009D74AB" w:rsidRPr="00F87818">
        <w:rPr>
          <w:rFonts w:ascii="Arial" w:hAnsi="Arial" w:cs="Arial"/>
          <w:sz w:val="22"/>
          <w:szCs w:val="22"/>
        </w:rPr>
        <w:t>A review is substantially less in scope than an audit conducted in accordance with</w:t>
      </w:r>
      <w:r w:rsidR="0080023F" w:rsidRPr="00F87818">
        <w:rPr>
          <w:rFonts w:ascii="Arial" w:hAnsi="Arial"/>
          <w:sz w:val="22"/>
          <w:szCs w:val="22"/>
          <w:cs/>
        </w:rPr>
        <w:t xml:space="preserve"> </w:t>
      </w:r>
      <w:r w:rsidR="00F86C93" w:rsidRPr="00F87818">
        <w:rPr>
          <w:rFonts w:ascii="Arial" w:hAnsi="Arial" w:cs="Arial"/>
          <w:sz w:val="22"/>
          <w:szCs w:val="22"/>
        </w:rPr>
        <w:t>Thai</w:t>
      </w:r>
      <w:r w:rsidR="0080023F" w:rsidRPr="00F87818">
        <w:rPr>
          <w:rFonts w:ascii="Arial" w:hAnsi="Arial"/>
          <w:sz w:val="22"/>
          <w:szCs w:val="22"/>
          <w:cs/>
        </w:rPr>
        <w:t xml:space="preserve"> </w:t>
      </w:r>
      <w:r w:rsidR="00F86C93" w:rsidRPr="00F87818">
        <w:rPr>
          <w:rFonts w:ascii="Arial" w:hAnsi="Arial" w:cs="Arial"/>
          <w:sz w:val="22"/>
          <w:szCs w:val="22"/>
        </w:rPr>
        <w:t>S</w:t>
      </w:r>
      <w:r w:rsidR="009D74AB" w:rsidRPr="00F87818">
        <w:rPr>
          <w:rFonts w:ascii="Arial" w:hAnsi="Arial" w:cs="Arial"/>
          <w:sz w:val="22"/>
          <w:szCs w:val="22"/>
        </w:rPr>
        <w:t xml:space="preserve">tandards </w:t>
      </w:r>
      <w:r w:rsidR="00F86C93" w:rsidRPr="00F87818">
        <w:rPr>
          <w:rFonts w:ascii="Arial" w:hAnsi="Arial" w:cs="Arial"/>
          <w:sz w:val="22"/>
          <w:szCs w:val="22"/>
        </w:rPr>
        <w:t>on</w:t>
      </w:r>
      <w:r w:rsidR="00AB3FCA" w:rsidRPr="00F87818">
        <w:rPr>
          <w:rFonts w:ascii="Arial" w:hAnsi="Arial"/>
          <w:sz w:val="22"/>
          <w:szCs w:val="22"/>
          <w:cs/>
        </w:rPr>
        <w:t xml:space="preserve"> </w:t>
      </w:r>
      <w:r w:rsidR="00F86C93" w:rsidRPr="00F87818">
        <w:rPr>
          <w:rFonts w:ascii="Arial" w:hAnsi="Arial" w:cs="Arial"/>
          <w:sz w:val="22"/>
          <w:szCs w:val="22"/>
        </w:rPr>
        <w:t>A</w:t>
      </w:r>
      <w:r w:rsidR="0080023F" w:rsidRPr="00F87818">
        <w:rPr>
          <w:rFonts w:ascii="Arial" w:hAnsi="Arial" w:cs="Arial"/>
          <w:sz w:val="22"/>
          <w:szCs w:val="22"/>
        </w:rPr>
        <w:t xml:space="preserve">uditing </w:t>
      </w:r>
      <w:r w:rsidR="009D74AB" w:rsidRPr="00F87818">
        <w:rPr>
          <w:rFonts w:ascii="Arial" w:hAnsi="Arial" w:cs="Arial"/>
          <w:sz w:val="22"/>
          <w:szCs w:val="22"/>
        </w:rPr>
        <w:t>and consequently does not enable me to obtain assurance that I would become aware of all significant matters that might be identified in an audit</w:t>
      </w:r>
      <w:r w:rsidR="009D74AB" w:rsidRPr="00F87818">
        <w:rPr>
          <w:rFonts w:ascii="Arial" w:hAnsi="Arial"/>
          <w:sz w:val="22"/>
          <w:szCs w:val="22"/>
          <w:cs/>
        </w:rPr>
        <w:t xml:space="preserve">. </w:t>
      </w:r>
      <w:r w:rsidR="009D74AB" w:rsidRPr="00F87818">
        <w:rPr>
          <w:rFonts w:ascii="Arial" w:hAnsi="Arial" w:cs="Arial"/>
          <w:sz w:val="22"/>
          <w:szCs w:val="22"/>
        </w:rPr>
        <w:t>Accordingly, I do not express an audit opinion</w:t>
      </w:r>
      <w:r w:rsidR="009D74AB" w:rsidRPr="00F87818">
        <w:rPr>
          <w:rFonts w:ascii="Arial" w:hAnsi="Arial"/>
          <w:sz w:val="22"/>
          <w:szCs w:val="22"/>
          <w:cs/>
        </w:rPr>
        <w:t>.</w:t>
      </w:r>
    </w:p>
    <w:p w:rsidR="009D74AB" w:rsidRPr="00F87818" w:rsidRDefault="00A423CA" w:rsidP="00352BE8">
      <w:pPr>
        <w:tabs>
          <w:tab w:val="left" w:pos="3352"/>
        </w:tabs>
        <w:spacing w:before="240" w:after="120" w:line="380" w:lineRule="exact"/>
        <w:rPr>
          <w:rFonts w:ascii="Arial" w:hAnsi="Arial" w:cs="Arial"/>
          <w:b/>
          <w:bCs/>
          <w:sz w:val="22"/>
          <w:szCs w:val="22"/>
        </w:rPr>
      </w:pPr>
      <w:r w:rsidRPr="00F87818">
        <w:rPr>
          <w:rFonts w:ascii="Arial" w:hAnsi="Arial" w:cs="Arial"/>
          <w:b/>
          <w:bCs/>
          <w:sz w:val="22"/>
          <w:szCs w:val="22"/>
        </w:rPr>
        <w:t>Conclusion</w:t>
      </w:r>
    </w:p>
    <w:p w:rsidR="003C36A1" w:rsidRPr="00F87818" w:rsidRDefault="009D74AB" w:rsidP="004D7312">
      <w:pPr>
        <w:tabs>
          <w:tab w:val="left" w:pos="720"/>
        </w:tabs>
        <w:spacing w:before="120" w:after="120" w:line="380" w:lineRule="exact"/>
        <w:ind w:right="-43"/>
        <w:rPr>
          <w:rFonts w:ascii="Arial" w:hAnsi="Arial"/>
          <w:sz w:val="22"/>
          <w:szCs w:val="22"/>
        </w:rPr>
      </w:pPr>
      <w:r w:rsidRPr="00F8781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9A1C2B" w:rsidRPr="00F87818">
        <w:rPr>
          <w:rFonts w:ascii="Arial" w:hAnsi="Arial" w:cs="Arial"/>
          <w:sz w:val="22"/>
          <w:szCs w:val="22"/>
        </w:rPr>
        <w:t xml:space="preserve">Thai </w:t>
      </w:r>
      <w:r w:rsidR="00D06FC8" w:rsidRPr="00F87818">
        <w:rPr>
          <w:rFonts w:ascii="Arial" w:hAnsi="Arial" w:cs="Arial"/>
          <w:sz w:val="22"/>
          <w:szCs w:val="22"/>
        </w:rPr>
        <w:t xml:space="preserve">Accounting Standard 34 </w:t>
      </w:r>
      <w:r w:rsidRPr="00F87818">
        <w:rPr>
          <w:rFonts w:ascii="Arial" w:hAnsi="Arial" w:cs="Arial"/>
          <w:i/>
          <w:iCs/>
          <w:sz w:val="22"/>
          <w:szCs w:val="22"/>
        </w:rPr>
        <w:t>Interim Financial Reporting</w:t>
      </w:r>
      <w:r w:rsidRPr="00F87818">
        <w:rPr>
          <w:rFonts w:ascii="Arial" w:hAnsi="Arial"/>
          <w:sz w:val="22"/>
          <w:szCs w:val="22"/>
          <w:cs/>
        </w:rPr>
        <w:t>.</w:t>
      </w:r>
    </w:p>
    <w:p w:rsidR="003F2B96" w:rsidRPr="00F87818" w:rsidRDefault="003F2B96">
      <w:pPr>
        <w:overflowPunct/>
        <w:autoSpaceDE/>
        <w:autoSpaceDN/>
        <w:adjustRightInd/>
        <w:spacing w:after="260" w:line="260" w:lineRule="atLeast"/>
        <w:textAlignment w:val="auto"/>
        <w:rPr>
          <w:rFonts w:ascii="Arial" w:hAnsi="Arial"/>
          <w:b/>
          <w:bCs/>
          <w:sz w:val="22"/>
          <w:szCs w:val="22"/>
          <w:cs/>
        </w:rPr>
        <w:sectPr w:rsidR="003F2B96" w:rsidRPr="00F87818" w:rsidSect="004D7312">
          <w:headerReference w:type="first" r:id="rId9"/>
          <w:footerReference w:type="first" r:id="rId10"/>
          <w:pgSz w:w="11909" w:h="16834" w:code="9"/>
          <w:pgMar w:top="3600" w:right="1080" w:bottom="1080" w:left="1339" w:header="706" w:footer="706" w:gutter="0"/>
          <w:pgNumType w:start="1"/>
          <w:cols w:space="720"/>
          <w:titlePg/>
          <w:docGrid w:linePitch="326"/>
        </w:sectPr>
      </w:pPr>
    </w:p>
    <w:p w:rsidR="0083040E" w:rsidRPr="00F87818" w:rsidRDefault="0083040E" w:rsidP="009C7C2F">
      <w:pPr>
        <w:tabs>
          <w:tab w:val="left" w:pos="3352"/>
        </w:tabs>
        <w:spacing w:before="240" w:after="120" w:line="370" w:lineRule="exact"/>
        <w:rPr>
          <w:rFonts w:ascii="Arial" w:hAnsi="Arial" w:cs="Arial"/>
          <w:b/>
          <w:bCs/>
          <w:sz w:val="22"/>
          <w:szCs w:val="22"/>
        </w:rPr>
      </w:pPr>
      <w:r w:rsidRPr="00F87818">
        <w:rPr>
          <w:rFonts w:ascii="Arial" w:hAnsi="Arial" w:cs="Arial"/>
          <w:b/>
          <w:bCs/>
          <w:sz w:val="22"/>
          <w:szCs w:val="22"/>
        </w:rPr>
        <w:lastRenderedPageBreak/>
        <w:t>Emphasis of matter</w:t>
      </w:r>
    </w:p>
    <w:p w:rsidR="00E6606A" w:rsidRPr="00F87818" w:rsidRDefault="005C39D3" w:rsidP="005C39D3">
      <w:pPr>
        <w:spacing w:before="120" w:after="120" w:line="370" w:lineRule="exact"/>
        <w:rPr>
          <w:rFonts w:ascii="Arial" w:hAnsi="Arial" w:cs="Arial"/>
          <w:sz w:val="22"/>
          <w:szCs w:val="22"/>
        </w:rPr>
      </w:pPr>
      <w:r>
        <w:rPr>
          <w:rFonts w:ascii="Arial" w:hAnsi="Arial" w:cs="Arial"/>
          <w:sz w:val="22"/>
          <w:szCs w:val="22"/>
        </w:rPr>
        <w:t xml:space="preserve">Without expressing a qualified conclusion on the aforementioned interim financial information,                   </w:t>
      </w:r>
      <w:r w:rsidR="00E6606A" w:rsidRPr="00F87818">
        <w:rPr>
          <w:rFonts w:ascii="Arial" w:hAnsi="Arial" w:cs="Arial"/>
          <w:sz w:val="22"/>
          <w:szCs w:val="22"/>
        </w:rPr>
        <w:t xml:space="preserve">I draw attention to the following Notes to </w:t>
      </w:r>
      <w:r w:rsidR="002F538B" w:rsidRPr="00F87818">
        <w:rPr>
          <w:rFonts w:ascii="Arial" w:hAnsi="Arial" w:cs="Arial"/>
          <w:sz w:val="22"/>
          <w:szCs w:val="22"/>
        </w:rPr>
        <w:t xml:space="preserve">interim </w:t>
      </w:r>
      <w:r w:rsidR="00E6606A" w:rsidRPr="00F87818">
        <w:rPr>
          <w:rFonts w:ascii="Arial" w:hAnsi="Arial" w:cs="Arial"/>
          <w:sz w:val="22"/>
          <w:szCs w:val="22"/>
        </w:rPr>
        <w:t>consolidated financial statements</w:t>
      </w:r>
      <w:r w:rsidR="00E6606A" w:rsidRPr="00F87818">
        <w:rPr>
          <w:rFonts w:ascii="Arial" w:hAnsi="Arial"/>
          <w:sz w:val="22"/>
          <w:szCs w:val="22"/>
          <w:cs/>
        </w:rPr>
        <w:t>.</w:t>
      </w:r>
    </w:p>
    <w:p w:rsidR="00E6606A" w:rsidRPr="00762F5E" w:rsidRDefault="00E6606A" w:rsidP="009C7C2F">
      <w:pPr>
        <w:pStyle w:val="af1"/>
        <w:numPr>
          <w:ilvl w:val="0"/>
          <w:numId w:val="13"/>
        </w:numPr>
        <w:overflowPunct/>
        <w:autoSpaceDE/>
        <w:autoSpaceDN/>
        <w:adjustRightInd/>
        <w:spacing w:before="120" w:after="120" w:line="370" w:lineRule="exact"/>
        <w:contextualSpacing w:val="0"/>
        <w:textAlignment w:val="auto"/>
        <w:rPr>
          <w:rFonts w:ascii="Arial" w:hAnsi="Arial" w:cs="Arial"/>
          <w:sz w:val="22"/>
          <w:szCs w:val="22"/>
        </w:rPr>
      </w:pPr>
      <w:r w:rsidRPr="00762F5E">
        <w:rPr>
          <w:rFonts w:ascii="Arial" w:hAnsi="Arial" w:cs="Arial"/>
          <w:sz w:val="22"/>
          <w:szCs w:val="22"/>
        </w:rPr>
        <w:t xml:space="preserve">Investment </w:t>
      </w:r>
      <w:r w:rsidR="002F538B" w:rsidRPr="00762F5E">
        <w:rPr>
          <w:rFonts w:ascii="Arial" w:hAnsi="Arial" w:cs="Arial"/>
          <w:sz w:val="22"/>
          <w:szCs w:val="22"/>
        </w:rPr>
        <w:t>in available</w:t>
      </w:r>
      <w:r w:rsidR="002F538B" w:rsidRPr="00762F5E">
        <w:rPr>
          <w:rFonts w:ascii="Arial" w:hAnsi="Arial"/>
          <w:sz w:val="22"/>
          <w:szCs w:val="22"/>
          <w:cs/>
        </w:rPr>
        <w:t>-</w:t>
      </w:r>
      <w:r w:rsidR="002F538B" w:rsidRPr="00762F5E">
        <w:rPr>
          <w:rFonts w:ascii="Arial" w:hAnsi="Arial" w:cs="Arial"/>
          <w:sz w:val="22"/>
          <w:szCs w:val="22"/>
        </w:rPr>
        <w:t>for</w:t>
      </w:r>
      <w:r w:rsidR="002F538B" w:rsidRPr="00762F5E">
        <w:rPr>
          <w:rFonts w:ascii="Arial" w:hAnsi="Arial"/>
          <w:sz w:val="22"/>
          <w:szCs w:val="22"/>
          <w:cs/>
        </w:rPr>
        <w:t>-</w:t>
      </w:r>
      <w:r w:rsidR="002F538B" w:rsidRPr="00762F5E">
        <w:rPr>
          <w:rFonts w:ascii="Arial" w:hAnsi="Arial" w:cs="Arial"/>
          <w:sz w:val="22"/>
          <w:szCs w:val="22"/>
        </w:rPr>
        <w:t>sale securities</w:t>
      </w:r>
      <w:r w:rsidRPr="00762F5E">
        <w:rPr>
          <w:rFonts w:ascii="Arial" w:hAnsi="Arial"/>
          <w:sz w:val="22"/>
          <w:szCs w:val="22"/>
          <w:cs/>
        </w:rPr>
        <w:t xml:space="preserve"> </w:t>
      </w:r>
      <w:r w:rsidR="002F538B" w:rsidRPr="00762F5E">
        <w:rPr>
          <w:rFonts w:ascii="Arial" w:hAnsi="Arial"/>
          <w:sz w:val="22"/>
          <w:szCs w:val="22"/>
          <w:cs/>
        </w:rPr>
        <w:t>(</w:t>
      </w:r>
      <w:r w:rsidR="002F538B" w:rsidRPr="00762F5E">
        <w:rPr>
          <w:rFonts w:ascii="Arial" w:hAnsi="Arial" w:cs="Arial"/>
          <w:sz w:val="22"/>
          <w:szCs w:val="22"/>
        </w:rPr>
        <w:t>as at 31 March 2017 amounting to approximately Baht 1,044 million</w:t>
      </w:r>
      <w:r w:rsidR="002F538B" w:rsidRPr="00762F5E">
        <w:rPr>
          <w:rFonts w:ascii="Arial" w:hAnsi="Arial"/>
          <w:sz w:val="22"/>
          <w:szCs w:val="22"/>
          <w:cs/>
        </w:rPr>
        <w:t>)</w:t>
      </w:r>
    </w:p>
    <w:p w:rsidR="00762F5E" w:rsidRPr="00762F5E" w:rsidRDefault="00762F5E" w:rsidP="00762F5E">
      <w:pPr>
        <w:pStyle w:val="af1"/>
        <w:spacing w:before="120" w:after="120" w:line="370" w:lineRule="exact"/>
        <w:ind w:left="360"/>
        <w:contextualSpacing w:val="0"/>
        <w:rPr>
          <w:rFonts w:ascii="Arial" w:hAnsi="Arial" w:cs="Arial"/>
          <w:sz w:val="22"/>
          <w:szCs w:val="22"/>
        </w:rPr>
      </w:pPr>
      <w:r w:rsidRPr="00762F5E">
        <w:rPr>
          <w:rFonts w:ascii="Arial" w:hAnsi="Arial" w:cs="Arial"/>
          <w:sz w:val="22"/>
          <w:szCs w:val="22"/>
        </w:rPr>
        <w:t>As described in Note 4</w:t>
      </w:r>
      <w:r w:rsidRPr="00762F5E">
        <w:rPr>
          <w:rFonts w:ascii="Arial" w:hAnsi="Arial"/>
          <w:sz w:val="22"/>
          <w:szCs w:val="22"/>
          <w:cs/>
        </w:rPr>
        <w:t>.</w:t>
      </w:r>
      <w:r w:rsidRPr="00762F5E">
        <w:rPr>
          <w:rFonts w:ascii="Arial" w:hAnsi="Arial" w:cs="Arial"/>
          <w:sz w:val="22"/>
          <w:szCs w:val="22"/>
        </w:rPr>
        <w:t xml:space="preserve">1 to the interim consolidated financial statements, the Company has                                                  an investment in the ordinary shares of a related company that is listed on the Market for Alternative Investment </w:t>
      </w:r>
      <w:r w:rsidRPr="00762F5E">
        <w:rPr>
          <w:rFonts w:ascii="Arial" w:hAnsi="Arial"/>
          <w:sz w:val="22"/>
          <w:szCs w:val="22"/>
          <w:cs/>
        </w:rPr>
        <w:t>(</w:t>
      </w:r>
      <w:r w:rsidRPr="00762F5E">
        <w:rPr>
          <w:rFonts w:ascii="Arial" w:hAnsi="Arial" w:cs="Arial"/>
          <w:sz w:val="22"/>
          <w:szCs w:val="22"/>
        </w:rPr>
        <w:t>MAI</w:t>
      </w:r>
      <w:r w:rsidRPr="00762F5E">
        <w:rPr>
          <w:rFonts w:ascii="Arial" w:hAnsi="Arial"/>
          <w:sz w:val="22"/>
          <w:szCs w:val="22"/>
          <w:cs/>
        </w:rPr>
        <w:t>)</w:t>
      </w:r>
      <w:r w:rsidRPr="00762F5E">
        <w:rPr>
          <w:rFonts w:ascii="Arial" w:hAnsi="Arial" w:cs="Arial"/>
          <w:sz w:val="22"/>
          <w:szCs w:val="22"/>
        </w:rPr>
        <w:t>, representing approximately 14</w:t>
      </w:r>
      <w:r w:rsidRPr="00762F5E">
        <w:rPr>
          <w:rFonts w:ascii="Arial" w:hAnsi="Arial"/>
          <w:sz w:val="22"/>
          <w:szCs w:val="22"/>
          <w:cs/>
        </w:rPr>
        <w:t xml:space="preserve">% </w:t>
      </w:r>
      <w:r w:rsidRPr="00762F5E">
        <w:rPr>
          <w:rFonts w:ascii="Arial" w:hAnsi="Arial" w:cs="Arial"/>
          <w:sz w:val="22"/>
          <w:szCs w:val="22"/>
        </w:rPr>
        <w:t>of the total share capital of  that company</w:t>
      </w:r>
      <w:r w:rsidRPr="00762F5E">
        <w:rPr>
          <w:rFonts w:ascii="Arial" w:hAnsi="Arial"/>
          <w:sz w:val="22"/>
          <w:szCs w:val="22"/>
          <w:cs/>
        </w:rPr>
        <w:t xml:space="preserve">. </w:t>
      </w:r>
      <w:r w:rsidRPr="00762F5E">
        <w:rPr>
          <w:rFonts w:ascii="Arial" w:hAnsi="Arial" w:cs="Arial"/>
          <w:sz w:val="22"/>
          <w:szCs w:val="22"/>
        </w:rPr>
        <w:t>Some shareholders of the Company are also shareholders of that company</w:t>
      </w:r>
      <w:r w:rsidRPr="00762F5E">
        <w:rPr>
          <w:rFonts w:ascii="Arial" w:hAnsi="Arial"/>
          <w:sz w:val="22"/>
          <w:szCs w:val="22"/>
          <w:cs/>
        </w:rPr>
        <w:t xml:space="preserve">. </w:t>
      </w:r>
      <w:r w:rsidRPr="00762F5E">
        <w:rPr>
          <w:rFonts w:ascii="Arial" w:hAnsi="Arial" w:cs="Arial"/>
          <w:sz w:val="22"/>
          <w:szCs w:val="22"/>
        </w:rPr>
        <w:t>The Company has informed us that the Company has no intention to participate in the management of that company and also has no influence over it</w:t>
      </w:r>
      <w:r w:rsidRPr="00762F5E">
        <w:rPr>
          <w:rFonts w:ascii="Arial" w:hAnsi="Arial"/>
          <w:sz w:val="22"/>
          <w:szCs w:val="22"/>
          <w:cs/>
        </w:rPr>
        <w:t xml:space="preserve">. </w:t>
      </w:r>
      <w:r w:rsidRPr="00762F5E">
        <w:rPr>
          <w:rFonts w:ascii="Arial" w:hAnsi="Arial" w:cs="Arial"/>
          <w:sz w:val="22"/>
          <w:szCs w:val="22"/>
        </w:rPr>
        <w:t>In June 2016, the Company reclassified the investment from available</w:t>
      </w:r>
      <w:r w:rsidRPr="00762F5E">
        <w:rPr>
          <w:rFonts w:ascii="Arial" w:hAnsi="Arial"/>
          <w:sz w:val="22"/>
          <w:szCs w:val="22"/>
          <w:cs/>
        </w:rPr>
        <w:t>-</w:t>
      </w:r>
      <w:r w:rsidRPr="00762F5E">
        <w:rPr>
          <w:rFonts w:ascii="Arial" w:hAnsi="Arial" w:cs="Arial"/>
          <w:sz w:val="22"/>
          <w:szCs w:val="22"/>
        </w:rPr>
        <w:t>for</w:t>
      </w:r>
      <w:r w:rsidRPr="00762F5E">
        <w:rPr>
          <w:rFonts w:ascii="Arial" w:hAnsi="Arial"/>
          <w:sz w:val="22"/>
          <w:szCs w:val="22"/>
          <w:cs/>
        </w:rPr>
        <w:t>-</w:t>
      </w:r>
      <w:r w:rsidRPr="00762F5E">
        <w:rPr>
          <w:rFonts w:ascii="Arial" w:hAnsi="Arial" w:cs="Arial"/>
          <w:sz w:val="22"/>
          <w:szCs w:val="22"/>
        </w:rPr>
        <w:t>sale securities to trading securities based on  the purpose of holding its investment as per a resolution passed by</w:t>
      </w:r>
      <w:r w:rsidRPr="00762F5E">
        <w:rPr>
          <w:rFonts w:ascii="Arial" w:hAnsi="Arial"/>
          <w:sz w:val="22"/>
          <w:szCs w:val="22"/>
          <w:cs/>
        </w:rPr>
        <w:t xml:space="preserve"> </w:t>
      </w:r>
      <w:r w:rsidRPr="00762F5E">
        <w:rPr>
          <w:rFonts w:ascii="Arial" w:hAnsi="Arial" w:cs="Arial"/>
          <w:sz w:val="22"/>
          <w:szCs w:val="22"/>
        </w:rPr>
        <w:t>a meeting of the Board of Directors of the Company</w:t>
      </w:r>
      <w:r w:rsidRPr="00762F5E">
        <w:rPr>
          <w:rFonts w:ascii="Arial" w:hAnsi="Arial"/>
          <w:sz w:val="22"/>
          <w:szCs w:val="22"/>
          <w:cs/>
        </w:rPr>
        <w:t xml:space="preserve">. </w:t>
      </w:r>
      <w:r w:rsidRPr="00762F5E">
        <w:rPr>
          <w:rFonts w:ascii="Arial" w:hAnsi="Arial" w:cs="Arial"/>
          <w:sz w:val="22"/>
          <w:szCs w:val="22"/>
        </w:rPr>
        <w:t xml:space="preserve">During 2016, the Company recognised an unrealised gain on     the revaluation of these shares </w:t>
      </w:r>
      <w:r w:rsidRPr="00762F5E">
        <w:rPr>
          <w:rFonts w:ascii="Arial" w:hAnsi="Arial"/>
          <w:sz w:val="22"/>
          <w:szCs w:val="22"/>
          <w:cs/>
        </w:rPr>
        <w:t>(</w:t>
      </w:r>
      <w:r w:rsidRPr="00762F5E">
        <w:rPr>
          <w:rFonts w:ascii="Arial" w:hAnsi="Arial" w:cs="Arial"/>
          <w:sz w:val="22"/>
          <w:szCs w:val="22"/>
        </w:rPr>
        <w:t>based on the latest bid price on the MAI as of 30 December 2016</w:t>
      </w:r>
      <w:r w:rsidRPr="00762F5E">
        <w:rPr>
          <w:rFonts w:ascii="Arial" w:hAnsi="Arial"/>
          <w:sz w:val="22"/>
          <w:szCs w:val="22"/>
          <w:cs/>
        </w:rPr>
        <w:t xml:space="preserve">) </w:t>
      </w:r>
      <w:r w:rsidRPr="00762F5E">
        <w:rPr>
          <w:rFonts w:ascii="Arial" w:hAnsi="Arial" w:cs="Arial"/>
          <w:sz w:val="22"/>
          <w:szCs w:val="22"/>
        </w:rPr>
        <w:t>of Baht 653 million</w:t>
      </w:r>
      <w:r w:rsidRPr="00762F5E">
        <w:rPr>
          <w:rFonts w:ascii="Arial" w:hAnsi="Arial"/>
          <w:sz w:val="22"/>
          <w:szCs w:val="22"/>
          <w:cs/>
        </w:rPr>
        <w:t xml:space="preserve">. </w:t>
      </w:r>
      <w:r w:rsidRPr="00762F5E">
        <w:rPr>
          <w:rFonts w:ascii="Arial" w:hAnsi="Arial" w:cs="Arial"/>
          <w:sz w:val="22"/>
          <w:szCs w:val="22"/>
        </w:rPr>
        <w:t>However, up to the reporting date, nearly one year from the reclassification of this investment, the volume of these shares traded by the Company</w:t>
      </w:r>
      <w:r w:rsidRPr="00762F5E">
        <w:rPr>
          <w:rFonts w:ascii="Arial" w:hAnsi="Arial"/>
          <w:sz w:val="22"/>
          <w:szCs w:val="22"/>
          <w:cs/>
        </w:rPr>
        <w:t xml:space="preserve"> </w:t>
      </w:r>
      <w:r w:rsidRPr="00762F5E">
        <w:rPr>
          <w:rFonts w:ascii="Arial" w:hAnsi="Arial" w:cs="Arial"/>
          <w:sz w:val="22"/>
          <w:szCs w:val="22"/>
        </w:rPr>
        <w:t>is low and infrequent and assessment showed a lack of evidence to support the reclassification      of this investment as trading securities</w:t>
      </w:r>
      <w:r w:rsidRPr="00762F5E">
        <w:rPr>
          <w:rFonts w:ascii="Arial" w:hAnsi="Arial"/>
          <w:sz w:val="22"/>
          <w:szCs w:val="22"/>
          <w:cs/>
        </w:rPr>
        <w:t xml:space="preserve">. </w:t>
      </w:r>
      <w:r w:rsidRPr="00762F5E">
        <w:rPr>
          <w:rFonts w:ascii="Arial" w:hAnsi="Arial" w:cs="Arial"/>
          <w:sz w:val="22"/>
          <w:szCs w:val="22"/>
        </w:rPr>
        <w:t>This investment therefore was reclassified again as available</w:t>
      </w:r>
      <w:r w:rsidRPr="00762F5E">
        <w:rPr>
          <w:rFonts w:ascii="Arial" w:hAnsi="Arial"/>
          <w:sz w:val="22"/>
          <w:szCs w:val="22"/>
          <w:cs/>
        </w:rPr>
        <w:t>-</w:t>
      </w:r>
      <w:r w:rsidRPr="00762F5E">
        <w:rPr>
          <w:rFonts w:ascii="Arial" w:hAnsi="Arial" w:cs="Arial"/>
          <w:sz w:val="22"/>
          <w:szCs w:val="22"/>
        </w:rPr>
        <w:t>for</w:t>
      </w:r>
      <w:r w:rsidRPr="00762F5E">
        <w:rPr>
          <w:rFonts w:ascii="Arial" w:hAnsi="Arial"/>
          <w:sz w:val="22"/>
          <w:szCs w:val="22"/>
          <w:cs/>
        </w:rPr>
        <w:t>-</w:t>
      </w:r>
      <w:r w:rsidRPr="00762F5E">
        <w:rPr>
          <w:rFonts w:ascii="Arial" w:hAnsi="Arial" w:cs="Arial"/>
          <w:sz w:val="22"/>
          <w:szCs w:val="22"/>
        </w:rPr>
        <w:t>sale securities, and is considered a long</w:t>
      </w:r>
      <w:r w:rsidRPr="00762F5E">
        <w:rPr>
          <w:rFonts w:ascii="Arial" w:hAnsi="Arial"/>
          <w:sz w:val="22"/>
          <w:szCs w:val="22"/>
          <w:cs/>
        </w:rPr>
        <w:t>-</w:t>
      </w:r>
      <w:r w:rsidRPr="00762F5E">
        <w:rPr>
          <w:rFonts w:ascii="Arial" w:hAnsi="Arial" w:cs="Arial"/>
          <w:sz w:val="22"/>
          <w:szCs w:val="22"/>
        </w:rPr>
        <w:t>term investment, effective from</w:t>
      </w:r>
      <w:r w:rsidRPr="00762F5E">
        <w:rPr>
          <w:rFonts w:ascii="Arial" w:hAnsi="Arial"/>
          <w:sz w:val="22"/>
          <w:szCs w:val="22"/>
          <w:cs/>
        </w:rPr>
        <w:t xml:space="preserve"> </w:t>
      </w:r>
      <w:r w:rsidRPr="00762F5E">
        <w:rPr>
          <w:rFonts w:ascii="Arial" w:hAnsi="Arial" w:cs="Arial"/>
          <w:sz w:val="22"/>
          <w:szCs w:val="22"/>
        </w:rPr>
        <w:t xml:space="preserve">            1 January 2017</w:t>
      </w:r>
      <w:r w:rsidRPr="00762F5E">
        <w:rPr>
          <w:rFonts w:ascii="Arial" w:hAnsi="Arial"/>
          <w:sz w:val="22"/>
          <w:szCs w:val="22"/>
          <w:cs/>
        </w:rPr>
        <w:t xml:space="preserve">. </w:t>
      </w:r>
      <w:r w:rsidRPr="00762F5E">
        <w:rPr>
          <w:rFonts w:ascii="Arial" w:hAnsi="Arial" w:cs="Arial"/>
          <w:sz w:val="22"/>
          <w:szCs w:val="22"/>
        </w:rPr>
        <w:t xml:space="preserve">An unrealised gain on the revaluation of the investment in the first quarter   </w:t>
      </w:r>
      <w:r w:rsidRPr="0047668E">
        <w:rPr>
          <w:rFonts w:ascii="Arial" w:hAnsi="Arial" w:cs="Arial"/>
          <w:spacing w:val="-6"/>
          <w:sz w:val="22"/>
          <w:szCs w:val="22"/>
        </w:rPr>
        <w:t xml:space="preserve">of the year 2017 of approximately Baht 109 million was recorded in the shareholders’ equity directly through other comprehensive income, based on the latest bid price of the shares as of </w:t>
      </w:r>
      <w:r w:rsidR="005C39D3">
        <w:rPr>
          <w:rFonts w:ascii="Arial" w:hAnsi="Arial"/>
          <w:spacing w:val="-6"/>
          <w:sz w:val="22"/>
          <w:szCs w:val="22"/>
          <w:cs/>
        </w:rPr>
        <w:t xml:space="preserve">                           </w:t>
      </w:r>
      <w:r w:rsidRPr="0047668E">
        <w:rPr>
          <w:rFonts w:ascii="Arial" w:hAnsi="Arial" w:cs="Arial"/>
          <w:spacing w:val="-6"/>
          <w:sz w:val="22"/>
          <w:szCs w:val="22"/>
        </w:rPr>
        <w:t>30 December 2016 which was Baht 21</w:t>
      </w:r>
      <w:r w:rsidRPr="0047668E">
        <w:rPr>
          <w:rFonts w:ascii="Arial" w:hAnsi="Arial"/>
          <w:spacing w:val="-6"/>
          <w:sz w:val="22"/>
          <w:szCs w:val="22"/>
          <w:cs/>
        </w:rPr>
        <w:t>.</w:t>
      </w:r>
      <w:r w:rsidRPr="0047668E">
        <w:rPr>
          <w:rFonts w:ascii="Arial" w:hAnsi="Arial" w:cs="Arial"/>
          <w:spacing w:val="-6"/>
          <w:sz w:val="22"/>
          <w:szCs w:val="22"/>
        </w:rPr>
        <w:t xml:space="preserve">7 per share and the latest bid price of the shares as of </w:t>
      </w:r>
      <w:r w:rsidR="005C39D3">
        <w:rPr>
          <w:rFonts w:ascii="Arial" w:hAnsi="Arial"/>
          <w:spacing w:val="-6"/>
          <w:sz w:val="22"/>
          <w:szCs w:val="22"/>
          <w:cs/>
        </w:rPr>
        <w:t xml:space="preserve">             </w:t>
      </w:r>
      <w:r w:rsidRPr="0047668E">
        <w:rPr>
          <w:rFonts w:ascii="Arial" w:hAnsi="Arial" w:cs="Arial"/>
          <w:spacing w:val="-6"/>
          <w:sz w:val="22"/>
          <w:szCs w:val="22"/>
        </w:rPr>
        <w:t>the end of the first quarter of the year 2017 which was Baht 24</w:t>
      </w:r>
      <w:r w:rsidRPr="0047668E">
        <w:rPr>
          <w:rFonts w:ascii="Arial" w:hAnsi="Arial"/>
          <w:spacing w:val="-6"/>
          <w:sz w:val="22"/>
          <w:szCs w:val="22"/>
          <w:cs/>
        </w:rPr>
        <w:t>.</w:t>
      </w:r>
      <w:r w:rsidRPr="0047668E">
        <w:rPr>
          <w:rFonts w:ascii="Arial" w:hAnsi="Arial" w:cs="Arial"/>
          <w:spacing w:val="-6"/>
          <w:sz w:val="22"/>
          <w:szCs w:val="22"/>
        </w:rPr>
        <w:t>3 per share</w:t>
      </w:r>
      <w:r w:rsidRPr="0047668E">
        <w:rPr>
          <w:rFonts w:ascii="Arial" w:hAnsi="Arial"/>
          <w:spacing w:val="-6"/>
          <w:sz w:val="22"/>
          <w:szCs w:val="22"/>
          <w:cs/>
        </w:rPr>
        <w:t>.</w:t>
      </w:r>
      <w:r w:rsidRPr="00762F5E">
        <w:rPr>
          <w:rFonts w:ascii="Arial" w:hAnsi="Arial"/>
          <w:sz w:val="22"/>
          <w:szCs w:val="22"/>
          <w:cs/>
        </w:rPr>
        <w:t xml:space="preserve"> </w:t>
      </w:r>
    </w:p>
    <w:p w:rsidR="00762F5E" w:rsidRPr="00762F5E" w:rsidRDefault="00762F5E" w:rsidP="00762F5E">
      <w:pPr>
        <w:pStyle w:val="af1"/>
        <w:spacing w:before="120" w:after="120" w:line="370" w:lineRule="exact"/>
        <w:ind w:left="360"/>
        <w:contextualSpacing w:val="0"/>
        <w:rPr>
          <w:rFonts w:ascii="Arial" w:hAnsi="Arial" w:cs="Arial"/>
          <w:sz w:val="22"/>
          <w:szCs w:val="22"/>
        </w:rPr>
      </w:pPr>
      <w:r w:rsidRPr="0047668E">
        <w:rPr>
          <w:rFonts w:ascii="Arial" w:hAnsi="Arial" w:cs="Arial"/>
          <w:spacing w:val="-4"/>
          <w:sz w:val="22"/>
          <w:szCs w:val="22"/>
        </w:rPr>
        <w:t>As at 12 May 2017, the latest bid price of the shares was Baht 19</w:t>
      </w:r>
      <w:r w:rsidRPr="0047668E">
        <w:rPr>
          <w:rFonts w:ascii="Arial" w:hAnsi="Arial"/>
          <w:spacing w:val="-4"/>
          <w:sz w:val="22"/>
          <w:szCs w:val="22"/>
          <w:cs/>
        </w:rPr>
        <w:t>.</w:t>
      </w:r>
      <w:r w:rsidRPr="0047668E">
        <w:rPr>
          <w:rFonts w:ascii="Arial" w:hAnsi="Arial" w:cs="Arial"/>
          <w:spacing w:val="-4"/>
          <w:sz w:val="22"/>
          <w:szCs w:val="22"/>
        </w:rPr>
        <w:t>8 per share</w:t>
      </w:r>
      <w:r w:rsidRPr="0047668E">
        <w:rPr>
          <w:rFonts w:ascii="Arial" w:hAnsi="Arial"/>
          <w:spacing w:val="-4"/>
          <w:sz w:val="22"/>
          <w:szCs w:val="22"/>
          <w:cs/>
        </w:rPr>
        <w:t xml:space="preserve">. </w:t>
      </w:r>
      <w:r w:rsidRPr="0047668E">
        <w:rPr>
          <w:rFonts w:ascii="Arial" w:hAnsi="Arial" w:cs="Arial"/>
          <w:spacing w:val="-4"/>
          <w:sz w:val="22"/>
          <w:szCs w:val="22"/>
        </w:rPr>
        <w:t>If this price was used in the valuation of the investment, it would eliminate the unrealised gain on revaluation</w:t>
      </w:r>
      <w:r w:rsidRPr="00762F5E">
        <w:rPr>
          <w:rFonts w:ascii="Arial" w:hAnsi="Arial" w:cs="Arial"/>
          <w:sz w:val="22"/>
          <w:szCs w:val="22"/>
        </w:rPr>
        <w:t xml:space="preserve"> of the investment in the first quarter of approximately Baht 109 million, which was directly recorded in shareholders’ equity, and a loss would be incurred</w:t>
      </w:r>
      <w:r w:rsidRPr="00762F5E">
        <w:rPr>
          <w:rFonts w:ascii="Arial" w:hAnsi="Arial"/>
          <w:sz w:val="22"/>
          <w:szCs w:val="22"/>
          <w:cs/>
        </w:rPr>
        <w:t>.</w:t>
      </w:r>
    </w:p>
    <w:p w:rsidR="00762F5E" w:rsidRPr="00762F5E" w:rsidRDefault="00762F5E" w:rsidP="00762F5E">
      <w:pPr>
        <w:pStyle w:val="af1"/>
        <w:spacing w:before="120" w:after="120" w:line="370" w:lineRule="exact"/>
        <w:ind w:left="360"/>
        <w:contextualSpacing w:val="0"/>
        <w:rPr>
          <w:rFonts w:ascii="Arial" w:hAnsi="Arial" w:cs="Arial"/>
          <w:sz w:val="22"/>
          <w:szCs w:val="22"/>
        </w:rPr>
      </w:pPr>
      <w:r w:rsidRPr="00762F5E">
        <w:rPr>
          <w:rFonts w:ascii="Arial" w:hAnsi="Arial" w:cs="Arial"/>
          <w:sz w:val="22"/>
          <w:szCs w:val="22"/>
        </w:rPr>
        <w:t>The outstanding balance of this investment as at 31 March 2017 is approximately Baht 1,044 million, and represents 55</w:t>
      </w:r>
      <w:r w:rsidRPr="00762F5E">
        <w:rPr>
          <w:rFonts w:ascii="Arial" w:hAnsi="Arial"/>
          <w:sz w:val="22"/>
          <w:szCs w:val="22"/>
          <w:cs/>
        </w:rPr>
        <w:t xml:space="preserve">% </w:t>
      </w:r>
      <w:r w:rsidRPr="00762F5E">
        <w:rPr>
          <w:rFonts w:ascii="Arial" w:hAnsi="Arial" w:cs="Arial"/>
          <w:sz w:val="22"/>
          <w:szCs w:val="22"/>
        </w:rPr>
        <w:t>of the net asset value of the Group</w:t>
      </w:r>
      <w:r w:rsidRPr="00762F5E">
        <w:rPr>
          <w:rFonts w:ascii="Arial" w:hAnsi="Arial"/>
          <w:sz w:val="22"/>
          <w:szCs w:val="22"/>
          <w:cs/>
        </w:rPr>
        <w:t xml:space="preserve">. </w:t>
      </w:r>
      <w:r w:rsidRPr="00762F5E">
        <w:rPr>
          <w:rFonts w:ascii="Arial" w:hAnsi="Arial" w:cs="Arial"/>
          <w:sz w:val="22"/>
          <w:szCs w:val="22"/>
        </w:rPr>
        <w:t>This is considered as an asset with risk being concentrated in only one related company</w:t>
      </w:r>
      <w:r w:rsidRPr="00762F5E">
        <w:rPr>
          <w:rFonts w:ascii="Arial" w:hAnsi="Arial"/>
          <w:sz w:val="22"/>
          <w:szCs w:val="22"/>
          <w:cs/>
        </w:rPr>
        <w:t xml:space="preserve">. </w:t>
      </w:r>
      <w:r w:rsidRPr="00762F5E">
        <w:rPr>
          <w:rFonts w:ascii="Arial" w:hAnsi="Arial" w:cs="Arial"/>
          <w:sz w:val="22"/>
          <w:szCs w:val="22"/>
        </w:rPr>
        <w:t>The value of the investment depends on the operating results and the future market price of this related company and    on the Company’s decisions regarding the sale of the investment</w:t>
      </w:r>
      <w:r w:rsidRPr="00762F5E">
        <w:rPr>
          <w:rFonts w:ascii="Arial" w:hAnsi="Arial"/>
          <w:sz w:val="22"/>
          <w:szCs w:val="22"/>
          <w:cs/>
        </w:rPr>
        <w:t>.</w:t>
      </w:r>
    </w:p>
    <w:p w:rsidR="00E6606A" w:rsidRPr="00762F5E" w:rsidRDefault="00B97D70" w:rsidP="00874738">
      <w:pPr>
        <w:pStyle w:val="af1"/>
        <w:numPr>
          <w:ilvl w:val="0"/>
          <w:numId w:val="13"/>
        </w:numPr>
        <w:overflowPunct/>
        <w:autoSpaceDE/>
        <w:autoSpaceDN/>
        <w:adjustRightInd/>
        <w:spacing w:before="120" w:after="120" w:line="380" w:lineRule="exact"/>
        <w:contextualSpacing w:val="0"/>
        <w:textAlignment w:val="auto"/>
        <w:rPr>
          <w:rFonts w:ascii="Arial" w:hAnsi="Arial" w:cs="Arial"/>
          <w:sz w:val="22"/>
          <w:szCs w:val="22"/>
        </w:rPr>
      </w:pPr>
      <w:r w:rsidRPr="00762F5E">
        <w:rPr>
          <w:rFonts w:ascii="Arial" w:hAnsi="Arial" w:cs="Arial"/>
          <w:sz w:val="22"/>
          <w:szCs w:val="22"/>
        </w:rPr>
        <w:lastRenderedPageBreak/>
        <w:t>Other current investment</w:t>
      </w:r>
      <w:r w:rsidR="005420E5" w:rsidRPr="00762F5E">
        <w:rPr>
          <w:rFonts w:ascii="Arial" w:hAnsi="Arial" w:cs="Arial"/>
          <w:sz w:val="22"/>
          <w:szCs w:val="22"/>
        </w:rPr>
        <w:t>s</w:t>
      </w:r>
      <w:r w:rsidRPr="00762F5E">
        <w:rPr>
          <w:rFonts w:ascii="Arial" w:hAnsi="Arial"/>
          <w:sz w:val="22"/>
          <w:szCs w:val="22"/>
          <w:cs/>
        </w:rPr>
        <w:t xml:space="preserve"> (</w:t>
      </w:r>
      <w:r w:rsidRPr="00762F5E">
        <w:rPr>
          <w:rFonts w:ascii="Arial" w:hAnsi="Arial" w:cs="Arial"/>
          <w:sz w:val="22"/>
          <w:szCs w:val="22"/>
        </w:rPr>
        <w:t>as at 31 March 2017 amounting to approximately of Baht 360 million and Baht 80 million</w:t>
      </w:r>
      <w:r w:rsidRPr="00762F5E">
        <w:rPr>
          <w:rFonts w:ascii="Arial" w:hAnsi="Arial"/>
          <w:sz w:val="22"/>
          <w:szCs w:val="22"/>
          <w:cs/>
        </w:rPr>
        <w:t>)</w:t>
      </w:r>
    </w:p>
    <w:p w:rsidR="00762F5E" w:rsidRPr="00762F5E" w:rsidRDefault="00762F5E" w:rsidP="00762F5E">
      <w:pPr>
        <w:pStyle w:val="af1"/>
        <w:spacing w:before="120" w:after="120" w:line="380" w:lineRule="exact"/>
        <w:ind w:left="360"/>
        <w:contextualSpacing w:val="0"/>
        <w:rPr>
          <w:rFonts w:ascii="Arial" w:hAnsi="Arial" w:cs="Arial"/>
          <w:sz w:val="22"/>
          <w:szCs w:val="22"/>
        </w:rPr>
      </w:pPr>
      <w:r w:rsidRPr="00762F5E">
        <w:rPr>
          <w:rFonts w:ascii="Arial" w:hAnsi="Arial" w:cs="Arial"/>
          <w:sz w:val="22"/>
          <w:szCs w:val="22"/>
        </w:rPr>
        <w:t>As described in Note 4</w:t>
      </w:r>
      <w:r w:rsidRPr="00762F5E">
        <w:rPr>
          <w:rFonts w:ascii="Arial" w:hAnsi="Arial"/>
          <w:sz w:val="22"/>
          <w:szCs w:val="22"/>
          <w:cs/>
        </w:rPr>
        <w:t>.</w:t>
      </w:r>
      <w:r w:rsidRPr="00762F5E">
        <w:rPr>
          <w:rFonts w:ascii="Arial" w:hAnsi="Arial" w:cs="Arial"/>
          <w:sz w:val="22"/>
          <w:szCs w:val="22"/>
        </w:rPr>
        <w:t xml:space="preserve">2 to the interim consolidated financial statements, the Company      has an investment in the bills of exchange issued by a related company </w:t>
      </w:r>
      <w:r w:rsidRPr="00762F5E">
        <w:rPr>
          <w:rFonts w:ascii="Arial" w:hAnsi="Arial"/>
          <w:sz w:val="22"/>
          <w:szCs w:val="22"/>
          <w:cs/>
        </w:rPr>
        <w:t>(</w:t>
      </w:r>
      <w:r w:rsidRPr="00762F5E">
        <w:rPr>
          <w:rFonts w:ascii="Arial" w:hAnsi="Arial" w:cs="Arial"/>
          <w:sz w:val="22"/>
          <w:szCs w:val="22"/>
        </w:rPr>
        <w:t>the same related company mentioned in 1</w:t>
      </w:r>
      <w:r w:rsidRPr="00762F5E">
        <w:rPr>
          <w:rFonts w:ascii="Arial" w:hAnsi="Arial"/>
          <w:sz w:val="22"/>
          <w:szCs w:val="22"/>
          <w:cs/>
        </w:rPr>
        <w:t xml:space="preserve">. </w:t>
      </w:r>
      <w:r w:rsidRPr="00762F5E">
        <w:rPr>
          <w:rFonts w:ascii="Arial" w:hAnsi="Arial" w:cs="Arial"/>
          <w:sz w:val="22"/>
          <w:szCs w:val="22"/>
        </w:rPr>
        <w:t>above</w:t>
      </w:r>
      <w:r w:rsidRPr="00762F5E">
        <w:rPr>
          <w:rFonts w:ascii="Arial" w:hAnsi="Arial"/>
          <w:sz w:val="22"/>
          <w:szCs w:val="22"/>
          <w:cs/>
        </w:rPr>
        <w:t xml:space="preserve">) </w:t>
      </w:r>
      <w:r w:rsidRPr="00762F5E">
        <w:rPr>
          <w:rFonts w:ascii="Arial" w:hAnsi="Arial" w:cs="Arial"/>
          <w:sz w:val="22"/>
          <w:szCs w:val="22"/>
        </w:rPr>
        <w:t>with an outstanding balance of Baht 450 million as of                                         31 December 2016</w:t>
      </w:r>
      <w:r w:rsidRPr="00762F5E">
        <w:rPr>
          <w:rFonts w:ascii="Arial" w:hAnsi="Arial"/>
          <w:sz w:val="22"/>
          <w:szCs w:val="22"/>
          <w:cs/>
        </w:rPr>
        <w:t xml:space="preserve">. </w:t>
      </w:r>
      <w:r w:rsidR="00757CB2">
        <w:rPr>
          <w:rFonts w:ascii="Arial" w:hAnsi="Arial" w:cstheme="minorBidi"/>
          <w:sz w:val="22"/>
          <w:szCs w:val="22"/>
        </w:rPr>
        <w:t>W</w:t>
      </w:r>
      <w:r w:rsidRPr="00762F5E">
        <w:rPr>
          <w:rFonts w:ascii="Arial" w:hAnsi="Arial" w:cs="Arial"/>
          <w:sz w:val="22"/>
          <w:szCs w:val="22"/>
        </w:rPr>
        <w:t>hen</w:t>
      </w:r>
      <w:r w:rsidR="00757CB2">
        <w:rPr>
          <w:rFonts w:ascii="Arial" w:hAnsi="Arial"/>
          <w:sz w:val="22"/>
          <w:szCs w:val="22"/>
          <w:cs/>
        </w:rPr>
        <w:t xml:space="preserve"> </w:t>
      </w:r>
      <w:r w:rsidR="00757CB2" w:rsidRPr="00762F5E">
        <w:rPr>
          <w:rFonts w:ascii="Arial" w:hAnsi="Arial" w:cs="Arial"/>
          <w:sz w:val="22"/>
          <w:szCs w:val="22"/>
        </w:rPr>
        <w:t>these bills of exchange</w:t>
      </w:r>
      <w:r w:rsidRPr="00762F5E">
        <w:rPr>
          <w:rFonts w:ascii="Arial" w:hAnsi="Arial" w:cs="Arial"/>
          <w:sz w:val="22"/>
          <w:szCs w:val="22"/>
        </w:rPr>
        <w:t xml:space="preserve"> came due, the repayment term was instead extended to March 2017</w:t>
      </w:r>
      <w:r w:rsidRPr="00762F5E">
        <w:rPr>
          <w:rFonts w:ascii="Arial" w:hAnsi="Arial"/>
          <w:sz w:val="22"/>
          <w:szCs w:val="22"/>
          <w:cs/>
        </w:rPr>
        <w:t xml:space="preserve">. </w:t>
      </w:r>
      <w:r w:rsidRPr="00762F5E">
        <w:rPr>
          <w:rFonts w:ascii="Arial" w:hAnsi="Arial" w:cs="Arial"/>
          <w:sz w:val="22"/>
          <w:szCs w:val="22"/>
        </w:rPr>
        <w:t xml:space="preserve">In the first quarter of the year 2017, the related company made payment of Baht 120 million to the Company on the maturity date, while the remaining amount of Baht 330 million </w:t>
      </w:r>
      <w:r w:rsidRPr="00762F5E">
        <w:rPr>
          <w:rFonts w:ascii="Arial" w:hAnsi="Arial" w:cs="Arial"/>
          <w:spacing w:val="-3"/>
          <w:sz w:val="22"/>
          <w:szCs w:val="22"/>
        </w:rPr>
        <w:t>was extended to June 2017</w:t>
      </w:r>
      <w:r w:rsidRPr="00762F5E">
        <w:rPr>
          <w:rFonts w:ascii="Arial" w:hAnsi="Arial"/>
          <w:spacing w:val="-3"/>
          <w:sz w:val="22"/>
          <w:szCs w:val="22"/>
          <w:cs/>
        </w:rPr>
        <w:t xml:space="preserve">. </w:t>
      </w:r>
      <w:r w:rsidRPr="00762F5E">
        <w:rPr>
          <w:rFonts w:ascii="Arial" w:hAnsi="Arial" w:cs="Arial"/>
          <w:spacing w:val="-3"/>
          <w:sz w:val="22"/>
          <w:szCs w:val="22"/>
        </w:rPr>
        <w:t>In addition, the Company made additional investment of Baht 30 million</w:t>
      </w:r>
      <w:r w:rsidRPr="00762F5E">
        <w:rPr>
          <w:rFonts w:ascii="Arial" w:hAnsi="Arial" w:cs="Arial"/>
          <w:sz w:val="22"/>
          <w:szCs w:val="22"/>
        </w:rPr>
        <w:t xml:space="preserve"> in bills of exchange issued by this company, which   will mature in May 2017</w:t>
      </w:r>
      <w:r w:rsidRPr="00762F5E">
        <w:rPr>
          <w:rFonts w:ascii="Arial" w:hAnsi="Arial"/>
          <w:sz w:val="22"/>
          <w:szCs w:val="22"/>
          <w:cs/>
        </w:rPr>
        <w:t xml:space="preserve">. </w:t>
      </w:r>
      <w:r w:rsidRPr="00762F5E">
        <w:rPr>
          <w:rFonts w:ascii="Arial" w:hAnsi="Arial" w:cs="Arial"/>
          <w:sz w:val="22"/>
          <w:szCs w:val="22"/>
        </w:rPr>
        <w:t>As at 31 March 2017, the outstanding balance of bills of exchange amounted to Baht 360 million, representing 19</w:t>
      </w:r>
      <w:r w:rsidRPr="00762F5E">
        <w:rPr>
          <w:rFonts w:ascii="Arial" w:hAnsi="Arial"/>
          <w:sz w:val="22"/>
          <w:szCs w:val="22"/>
          <w:cs/>
        </w:rPr>
        <w:t xml:space="preserve">% </w:t>
      </w:r>
      <w:r w:rsidRPr="00762F5E">
        <w:rPr>
          <w:rFonts w:ascii="Arial" w:hAnsi="Arial" w:cs="Arial"/>
          <w:sz w:val="22"/>
          <w:szCs w:val="22"/>
        </w:rPr>
        <w:t>of the net asset value of the Group</w:t>
      </w:r>
      <w:r w:rsidRPr="00762F5E">
        <w:rPr>
          <w:rFonts w:ascii="Arial" w:hAnsi="Arial"/>
          <w:sz w:val="22"/>
          <w:szCs w:val="22"/>
          <w:cs/>
        </w:rPr>
        <w:t xml:space="preserve">. </w:t>
      </w:r>
      <w:r w:rsidRPr="00762F5E">
        <w:rPr>
          <w:rFonts w:ascii="Arial" w:hAnsi="Arial" w:cs="Arial"/>
          <w:sz w:val="22"/>
          <w:szCs w:val="22"/>
        </w:rPr>
        <w:t>These bills of exchange are unsecured</w:t>
      </w:r>
      <w:r w:rsidRPr="00762F5E">
        <w:rPr>
          <w:rFonts w:ascii="Arial" w:hAnsi="Arial"/>
          <w:sz w:val="22"/>
          <w:szCs w:val="22"/>
          <w:cs/>
        </w:rPr>
        <w:t xml:space="preserve">. </w:t>
      </w:r>
    </w:p>
    <w:p w:rsidR="00762F5E" w:rsidRPr="00762F5E" w:rsidRDefault="00762F5E" w:rsidP="00762F5E">
      <w:pPr>
        <w:pStyle w:val="af1"/>
        <w:overflowPunct/>
        <w:autoSpaceDE/>
        <w:autoSpaceDN/>
        <w:adjustRightInd/>
        <w:spacing w:before="120" w:after="120" w:line="380" w:lineRule="exact"/>
        <w:ind w:left="360"/>
        <w:contextualSpacing w:val="0"/>
        <w:textAlignment w:val="auto"/>
        <w:rPr>
          <w:rFonts w:ascii="Arial" w:hAnsi="Arial" w:cs="Arial"/>
          <w:sz w:val="22"/>
          <w:szCs w:val="22"/>
        </w:rPr>
      </w:pPr>
      <w:r w:rsidRPr="00762F5E">
        <w:rPr>
          <w:rFonts w:ascii="Arial" w:hAnsi="Arial" w:cs="Arial"/>
          <w:spacing w:val="-3"/>
          <w:sz w:val="22"/>
          <w:szCs w:val="22"/>
        </w:rPr>
        <w:t xml:space="preserve">The Company informed us that the extensions of the repayment periods were granted for liquidity management reasons, </w:t>
      </w:r>
      <w:r w:rsidRPr="00762F5E">
        <w:rPr>
          <w:rFonts w:ascii="Arial" w:hAnsi="Arial" w:cs="Arial"/>
          <w:sz w:val="22"/>
          <w:szCs w:val="22"/>
        </w:rPr>
        <w:t xml:space="preserve">and it is currently determining the use of funds, in accordance </w:t>
      </w:r>
      <w:r w:rsidRPr="0047668E">
        <w:rPr>
          <w:rFonts w:ascii="Arial" w:hAnsi="Arial" w:cs="Arial"/>
          <w:spacing w:val="-4"/>
          <w:sz w:val="22"/>
          <w:szCs w:val="22"/>
        </w:rPr>
        <w:t>with its geothermal power generation project</w:t>
      </w:r>
      <w:r w:rsidRPr="0047668E">
        <w:rPr>
          <w:rFonts w:ascii="Arial" w:hAnsi="Arial"/>
          <w:spacing w:val="-4"/>
          <w:sz w:val="22"/>
          <w:szCs w:val="22"/>
          <w:cs/>
        </w:rPr>
        <w:t xml:space="preserve">. </w:t>
      </w:r>
      <w:r w:rsidRPr="0047668E">
        <w:rPr>
          <w:rFonts w:ascii="Arial" w:hAnsi="Arial" w:cs="Arial"/>
          <w:spacing w:val="-4"/>
          <w:sz w:val="22"/>
          <w:szCs w:val="22"/>
        </w:rPr>
        <w:t>The Company has assessed the creditworthiness</w:t>
      </w:r>
      <w:r w:rsidRPr="00762F5E">
        <w:rPr>
          <w:rFonts w:ascii="Arial" w:hAnsi="Arial" w:cs="Arial"/>
          <w:sz w:val="22"/>
          <w:szCs w:val="22"/>
        </w:rPr>
        <w:t xml:space="preserve"> of the issuers of these bills of exchange and believes that they will be settled in the future, without any default</w:t>
      </w:r>
      <w:r w:rsidRPr="00762F5E">
        <w:rPr>
          <w:rFonts w:ascii="Arial" w:hAnsi="Arial"/>
          <w:sz w:val="22"/>
          <w:szCs w:val="22"/>
          <w:cs/>
        </w:rPr>
        <w:t>.</w:t>
      </w:r>
    </w:p>
    <w:p w:rsidR="00762F5E" w:rsidRPr="00762F5E" w:rsidRDefault="00762F5E" w:rsidP="00762F5E">
      <w:pPr>
        <w:pStyle w:val="af1"/>
        <w:spacing w:before="120" w:after="120" w:line="380" w:lineRule="exact"/>
        <w:ind w:left="360"/>
        <w:contextualSpacing w:val="0"/>
        <w:rPr>
          <w:rFonts w:ascii="Arial" w:hAnsi="Arial" w:cs="Arial"/>
          <w:sz w:val="22"/>
          <w:szCs w:val="22"/>
        </w:rPr>
      </w:pPr>
      <w:r w:rsidRPr="00762F5E">
        <w:rPr>
          <w:rFonts w:ascii="Arial" w:hAnsi="Arial" w:cs="Arial"/>
          <w:sz w:val="22"/>
          <w:szCs w:val="22"/>
        </w:rPr>
        <w:t>The investments in bills of exchange are considered to be assets</w:t>
      </w:r>
      <w:r w:rsidRPr="00762F5E" w:rsidDel="006B7142">
        <w:rPr>
          <w:rFonts w:ascii="Arial" w:hAnsi="Arial"/>
          <w:sz w:val="22"/>
          <w:szCs w:val="22"/>
          <w:cs/>
        </w:rPr>
        <w:t xml:space="preserve"> </w:t>
      </w:r>
      <w:r w:rsidRPr="00762F5E">
        <w:rPr>
          <w:rFonts w:ascii="Arial" w:hAnsi="Arial" w:cs="Arial"/>
          <w:sz w:val="22"/>
          <w:szCs w:val="22"/>
        </w:rPr>
        <w:t>with a concentration of risk in only a single related company</w:t>
      </w:r>
      <w:r w:rsidRPr="00762F5E">
        <w:rPr>
          <w:rFonts w:ascii="Arial" w:hAnsi="Arial"/>
          <w:sz w:val="22"/>
          <w:szCs w:val="22"/>
          <w:cs/>
        </w:rPr>
        <w:t xml:space="preserve">. </w:t>
      </w:r>
      <w:r w:rsidRPr="00762F5E">
        <w:rPr>
          <w:rFonts w:ascii="Arial" w:hAnsi="Arial" w:cs="Arial"/>
          <w:sz w:val="22"/>
          <w:szCs w:val="22"/>
        </w:rPr>
        <w:t>Settlement of these bills of exchange depends on the ability of the related company to make payment</w:t>
      </w:r>
      <w:r w:rsidRPr="00762F5E">
        <w:rPr>
          <w:rFonts w:ascii="Arial" w:hAnsi="Arial"/>
          <w:sz w:val="22"/>
          <w:szCs w:val="22"/>
          <w:cs/>
        </w:rPr>
        <w:t xml:space="preserve">. </w:t>
      </w:r>
    </w:p>
    <w:p w:rsidR="00762F5E" w:rsidRPr="00762F5E" w:rsidRDefault="00762F5E" w:rsidP="00762F5E">
      <w:pPr>
        <w:pStyle w:val="af1"/>
        <w:spacing w:before="120" w:after="120" w:line="380" w:lineRule="exact"/>
        <w:ind w:left="360"/>
        <w:contextualSpacing w:val="0"/>
        <w:rPr>
          <w:rFonts w:ascii="Arial" w:hAnsi="Arial" w:cs="Arial"/>
          <w:sz w:val="22"/>
          <w:szCs w:val="22"/>
        </w:rPr>
      </w:pPr>
      <w:r w:rsidRPr="00762F5E">
        <w:rPr>
          <w:rFonts w:ascii="Arial" w:hAnsi="Arial" w:cs="Arial"/>
          <w:sz w:val="22"/>
          <w:szCs w:val="22"/>
        </w:rPr>
        <w:t xml:space="preserve">In addition, the Company has investments in bills of exchange issued by other companies, </w:t>
      </w:r>
      <w:r w:rsidRPr="0047668E">
        <w:rPr>
          <w:rFonts w:ascii="Arial" w:hAnsi="Arial" w:cs="Arial"/>
          <w:spacing w:val="-4"/>
          <w:sz w:val="22"/>
          <w:szCs w:val="22"/>
        </w:rPr>
        <w:t>with outstanding balances totaling Baht 150 million as of 31 December 2016</w:t>
      </w:r>
      <w:r w:rsidRPr="0047668E">
        <w:rPr>
          <w:rFonts w:ascii="Arial" w:hAnsi="Arial"/>
          <w:spacing w:val="-4"/>
          <w:sz w:val="22"/>
          <w:szCs w:val="22"/>
          <w:cs/>
        </w:rPr>
        <w:t xml:space="preserve">. </w:t>
      </w:r>
      <w:r w:rsidRPr="0047668E">
        <w:rPr>
          <w:rFonts w:ascii="Arial" w:hAnsi="Arial" w:cs="Arial"/>
          <w:spacing w:val="-4"/>
          <w:sz w:val="22"/>
          <w:szCs w:val="22"/>
        </w:rPr>
        <w:t>During the first quarter of the year 2017, the Company received payment of Bah</w:t>
      </w:r>
      <w:r w:rsidR="00757CB2">
        <w:rPr>
          <w:rFonts w:ascii="Arial" w:hAnsi="Arial" w:cs="Arial"/>
          <w:spacing w:val="-4"/>
          <w:sz w:val="22"/>
          <w:szCs w:val="22"/>
        </w:rPr>
        <w:t>t 70 million while the remaining</w:t>
      </w:r>
      <w:r w:rsidRPr="00762F5E">
        <w:rPr>
          <w:rFonts w:ascii="Arial" w:hAnsi="Arial" w:cs="Arial"/>
          <w:sz w:val="22"/>
          <w:szCs w:val="22"/>
        </w:rPr>
        <w:t xml:space="preserve"> Baht 80 million</w:t>
      </w:r>
      <w:r w:rsidR="005C39D3">
        <w:rPr>
          <w:rFonts w:ascii="Arial" w:hAnsi="Arial" w:cs="Arial"/>
          <w:sz w:val="22"/>
          <w:szCs w:val="22"/>
        </w:rPr>
        <w:t>, w</w:t>
      </w:r>
      <w:r w:rsidR="00757CB2">
        <w:rPr>
          <w:rFonts w:ascii="Arial" w:hAnsi="Arial" w:cs="Arial"/>
          <w:sz w:val="22"/>
          <w:szCs w:val="22"/>
        </w:rPr>
        <w:t>hen came due,</w:t>
      </w:r>
      <w:r w:rsidRPr="00762F5E">
        <w:rPr>
          <w:rFonts w:ascii="Arial" w:hAnsi="Arial" w:cs="Arial"/>
          <w:sz w:val="22"/>
          <w:szCs w:val="22"/>
        </w:rPr>
        <w:t xml:space="preserve"> the maturity dates instead extended </w:t>
      </w:r>
      <w:r w:rsidRPr="0047668E">
        <w:rPr>
          <w:rFonts w:ascii="Arial" w:hAnsi="Arial" w:cs="Arial"/>
          <w:spacing w:val="-4"/>
          <w:sz w:val="22"/>
          <w:szCs w:val="22"/>
        </w:rPr>
        <w:t xml:space="preserve">to April 2017 and then </w:t>
      </w:r>
      <w:r w:rsidR="005C39D3">
        <w:rPr>
          <w:rFonts w:ascii="Arial" w:hAnsi="Arial"/>
          <w:spacing w:val="-4"/>
          <w:sz w:val="22"/>
          <w:szCs w:val="22"/>
          <w:cs/>
        </w:rPr>
        <w:t xml:space="preserve">   </w:t>
      </w:r>
      <w:r w:rsidRPr="0047668E">
        <w:rPr>
          <w:rFonts w:ascii="Arial" w:hAnsi="Arial" w:cs="Arial"/>
          <w:spacing w:val="-4"/>
          <w:sz w:val="22"/>
          <w:szCs w:val="22"/>
        </w:rPr>
        <w:t>to May 2017</w:t>
      </w:r>
      <w:r w:rsidRPr="0047668E">
        <w:rPr>
          <w:rFonts w:ascii="Arial" w:hAnsi="Arial"/>
          <w:spacing w:val="-4"/>
          <w:sz w:val="22"/>
          <w:szCs w:val="22"/>
          <w:cs/>
        </w:rPr>
        <w:t xml:space="preserve">. </w:t>
      </w:r>
      <w:r w:rsidRPr="0047668E">
        <w:rPr>
          <w:rFonts w:ascii="Arial" w:hAnsi="Arial" w:cs="Arial"/>
          <w:spacing w:val="-4"/>
          <w:sz w:val="22"/>
          <w:szCs w:val="22"/>
        </w:rPr>
        <w:t>These bills of exchange are also unsecured</w:t>
      </w:r>
      <w:r w:rsidRPr="0047668E">
        <w:rPr>
          <w:rFonts w:ascii="Arial" w:hAnsi="Arial"/>
          <w:spacing w:val="-4"/>
          <w:sz w:val="22"/>
          <w:szCs w:val="22"/>
          <w:cs/>
        </w:rPr>
        <w:t xml:space="preserve">. </w:t>
      </w:r>
      <w:r w:rsidRPr="0047668E">
        <w:rPr>
          <w:rFonts w:ascii="Arial" w:hAnsi="Arial" w:cs="Arial"/>
          <w:spacing w:val="-4"/>
          <w:sz w:val="22"/>
          <w:szCs w:val="22"/>
        </w:rPr>
        <w:t>The Company</w:t>
      </w:r>
      <w:r w:rsidRPr="00762F5E">
        <w:rPr>
          <w:rFonts w:ascii="Arial" w:hAnsi="Arial"/>
          <w:sz w:val="22"/>
          <w:szCs w:val="22"/>
          <w:cs/>
        </w:rPr>
        <w:t xml:space="preserve"> </w:t>
      </w:r>
      <w:r w:rsidRPr="00762F5E">
        <w:rPr>
          <w:rFonts w:ascii="Arial" w:hAnsi="Arial" w:cs="Arial"/>
          <w:spacing w:val="-3"/>
          <w:sz w:val="22"/>
          <w:szCs w:val="22"/>
        </w:rPr>
        <w:t xml:space="preserve">informed us that </w:t>
      </w:r>
      <w:r w:rsidR="005C39D3">
        <w:rPr>
          <w:rFonts w:ascii="Arial" w:hAnsi="Arial"/>
          <w:spacing w:val="-3"/>
          <w:sz w:val="22"/>
          <w:szCs w:val="22"/>
          <w:cs/>
        </w:rPr>
        <w:t xml:space="preserve">                </w:t>
      </w:r>
      <w:r w:rsidRPr="00762F5E">
        <w:rPr>
          <w:rFonts w:ascii="Arial" w:hAnsi="Arial" w:cs="Arial"/>
          <w:spacing w:val="-3"/>
          <w:sz w:val="22"/>
          <w:szCs w:val="22"/>
        </w:rPr>
        <w:t xml:space="preserve">the extensions of the repayment periods were granted for the same reason as </w:t>
      </w:r>
      <w:r w:rsidRPr="0047668E">
        <w:rPr>
          <w:rFonts w:ascii="Arial" w:hAnsi="Arial" w:cs="Arial"/>
          <w:spacing w:val="-4"/>
          <w:sz w:val="22"/>
          <w:szCs w:val="22"/>
        </w:rPr>
        <w:t>mentioned above</w:t>
      </w:r>
      <w:r w:rsidRPr="0047668E">
        <w:rPr>
          <w:rFonts w:ascii="Arial" w:hAnsi="Arial"/>
          <w:spacing w:val="-4"/>
          <w:sz w:val="22"/>
          <w:szCs w:val="22"/>
          <w:cs/>
        </w:rPr>
        <w:t xml:space="preserve">. </w:t>
      </w:r>
      <w:r w:rsidRPr="0047668E">
        <w:rPr>
          <w:rFonts w:ascii="Arial" w:hAnsi="Arial" w:cs="Arial"/>
          <w:spacing w:val="-4"/>
          <w:sz w:val="22"/>
          <w:szCs w:val="22"/>
        </w:rPr>
        <w:t>Settlement of these bills of exchange depends on the ability of the borrowers</w:t>
      </w:r>
      <w:r w:rsidRPr="00762F5E">
        <w:rPr>
          <w:rFonts w:ascii="Arial" w:hAnsi="Arial" w:cs="Arial"/>
          <w:sz w:val="22"/>
          <w:szCs w:val="22"/>
        </w:rPr>
        <w:t xml:space="preserve"> to make payment</w:t>
      </w:r>
      <w:r w:rsidRPr="00762F5E">
        <w:rPr>
          <w:rFonts w:ascii="Arial" w:hAnsi="Arial"/>
          <w:sz w:val="22"/>
          <w:szCs w:val="22"/>
          <w:cs/>
        </w:rPr>
        <w:t>.</w:t>
      </w:r>
    </w:p>
    <w:p w:rsidR="006B53C9" w:rsidRPr="00F87818" w:rsidRDefault="006B53C9" w:rsidP="00874738">
      <w:pPr>
        <w:overflowPunct/>
        <w:autoSpaceDE/>
        <w:autoSpaceDN/>
        <w:adjustRightInd/>
        <w:spacing w:after="260" w:line="380" w:lineRule="exact"/>
        <w:textAlignment w:val="auto"/>
        <w:rPr>
          <w:rFonts w:ascii="Arial" w:hAnsi="Arial" w:cs="Arial"/>
          <w:sz w:val="22"/>
          <w:szCs w:val="22"/>
        </w:rPr>
      </w:pPr>
      <w:r w:rsidRPr="00F87818">
        <w:rPr>
          <w:rFonts w:ascii="Arial" w:hAnsi="Arial"/>
          <w:sz w:val="22"/>
          <w:szCs w:val="22"/>
          <w:cs/>
        </w:rPr>
        <w:br w:type="page"/>
      </w:r>
    </w:p>
    <w:p w:rsidR="000A61B2" w:rsidRPr="000A61B2" w:rsidRDefault="000A61B2" w:rsidP="000A61B2">
      <w:pPr>
        <w:pStyle w:val="af1"/>
        <w:numPr>
          <w:ilvl w:val="0"/>
          <w:numId w:val="13"/>
        </w:numPr>
        <w:overflowPunct/>
        <w:autoSpaceDE/>
        <w:autoSpaceDN/>
        <w:adjustRightInd/>
        <w:spacing w:before="120" w:after="120" w:line="380" w:lineRule="exact"/>
        <w:contextualSpacing w:val="0"/>
        <w:textAlignment w:val="auto"/>
        <w:rPr>
          <w:rFonts w:ascii="Arial" w:hAnsi="Arial" w:cs="Arial"/>
          <w:sz w:val="22"/>
          <w:szCs w:val="22"/>
        </w:rPr>
      </w:pPr>
      <w:r w:rsidRPr="000A61B2">
        <w:rPr>
          <w:rFonts w:ascii="Arial" w:hAnsi="Arial" w:cs="Arial"/>
          <w:sz w:val="22"/>
          <w:szCs w:val="22"/>
        </w:rPr>
        <w:lastRenderedPageBreak/>
        <w:t xml:space="preserve">Investments in the geothermal power plant projects in Japan </w:t>
      </w:r>
      <w:r w:rsidRPr="000A61B2">
        <w:rPr>
          <w:rFonts w:ascii="Arial" w:hAnsi="Arial"/>
          <w:sz w:val="22"/>
          <w:szCs w:val="22"/>
          <w:cs/>
        </w:rPr>
        <w:t>(</w:t>
      </w:r>
      <w:r w:rsidRPr="000A61B2">
        <w:rPr>
          <w:rFonts w:ascii="Arial" w:hAnsi="Arial" w:cs="Arial"/>
          <w:sz w:val="22"/>
          <w:szCs w:val="22"/>
        </w:rPr>
        <w:t>as at 31 March 2017, recorded as various types of assets such as property, plant and equipment, intangible assets, advance payments and goodwill totaling approximately Baht 422 million</w:t>
      </w:r>
      <w:r w:rsidRPr="000A61B2">
        <w:rPr>
          <w:rFonts w:ascii="Arial" w:hAnsi="Arial"/>
          <w:sz w:val="22"/>
          <w:szCs w:val="22"/>
          <w:cs/>
        </w:rPr>
        <w:t>)</w:t>
      </w:r>
    </w:p>
    <w:p w:rsidR="00E6606A" w:rsidRPr="000A61B2" w:rsidRDefault="000A61B2" w:rsidP="000A61B2">
      <w:pPr>
        <w:pStyle w:val="af1"/>
        <w:overflowPunct/>
        <w:autoSpaceDE/>
        <w:autoSpaceDN/>
        <w:adjustRightInd/>
        <w:spacing w:before="120" w:after="120" w:line="380" w:lineRule="exact"/>
        <w:ind w:left="360"/>
        <w:contextualSpacing w:val="0"/>
        <w:textAlignment w:val="auto"/>
        <w:rPr>
          <w:rFonts w:ascii="Arial" w:hAnsi="Arial" w:cs="Arial"/>
          <w:sz w:val="22"/>
          <w:szCs w:val="22"/>
        </w:rPr>
      </w:pPr>
      <w:r w:rsidRPr="000A61B2">
        <w:rPr>
          <w:rFonts w:ascii="Arial" w:hAnsi="Arial" w:cs="Arial"/>
          <w:sz w:val="22"/>
          <w:szCs w:val="22"/>
        </w:rPr>
        <w:t>As described in Note 8</w:t>
      </w:r>
      <w:r w:rsidRPr="000A61B2">
        <w:rPr>
          <w:rFonts w:ascii="Arial" w:hAnsi="Arial"/>
          <w:sz w:val="22"/>
          <w:szCs w:val="22"/>
          <w:cs/>
        </w:rPr>
        <w:t>.</w:t>
      </w:r>
      <w:r w:rsidRPr="000A61B2">
        <w:rPr>
          <w:rFonts w:ascii="Arial" w:hAnsi="Arial" w:cs="Arial"/>
          <w:sz w:val="22"/>
          <w:szCs w:val="22"/>
        </w:rPr>
        <w:t xml:space="preserve">2 to the interim consolidated financial statements, during the year 2016, Tluxe Holdings Limited, the subsidiary of the Company, acquired all ordinary shares </w:t>
      </w:r>
      <w:r>
        <w:rPr>
          <w:rFonts w:ascii="Arial" w:hAnsi="Arial" w:cstheme="minorBidi" w:hint="cs"/>
          <w:sz w:val="22"/>
          <w:szCs w:val="22"/>
          <w:cs/>
        </w:rPr>
        <w:t xml:space="preserve">                                                  </w:t>
      </w:r>
      <w:r w:rsidRPr="000A61B2">
        <w:rPr>
          <w:rFonts w:ascii="Arial" w:hAnsi="Arial" w:cs="Arial"/>
          <w:spacing w:val="-4"/>
          <w:sz w:val="22"/>
          <w:szCs w:val="22"/>
        </w:rPr>
        <w:t>of PPSN Company Limited and Sumo Power Company Limited for a total of approximately Baht</w:t>
      </w:r>
      <w:r w:rsidRPr="000A61B2">
        <w:rPr>
          <w:rFonts w:ascii="Arial" w:hAnsi="Arial" w:cs="Arial"/>
          <w:sz w:val="22"/>
          <w:szCs w:val="22"/>
        </w:rPr>
        <w:t xml:space="preserve"> 254 million</w:t>
      </w:r>
      <w:r w:rsidRPr="000A61B2">
        <w:rPr>
          <w:rFonts w:ascii="Arial" w:hAnsi="Arial"/>
          <w:sz w:val="22"/>
          <w:szCs w:val="22"/>
          <w:cs/>
        </w:rPr>
        <w:t xml:space="preserve">. </w:t>
      </w:r>
      <w:r w:rsidRPr="000A61B2">
        <w:rPr>
          <w:rFonts w:ascii="Arial" w:hAnsi="Arial" w:cs="Arial"/>
          <w:sz w:val="22"/>
          <w:szCs w:val="22"/>
        </w:rPr>
        <w:t>Those subsidiaries plan to operate the geothermal power plant projects in Japan</w:t>
      </w:r>
      <w:r w:rsidRPr="000A61B2">
        <w:rPr>
          <w:rFonts w:ascii="Arial" w:hAnsi="Arial"/>
          <w:sz w:val="22"/>
          <w:szCs w:val="22"/>
          <w:cs/>
        </w:rPr>
        <w:t xml:space="preserve">. </w:t>
      </w:r>
      <w:r w:rsidRPr="000A61B2">
        <w:rPr>
          <w:rFonts w:ascii="Arial" w:hAnsi="Arial" w:cs="Arial"/>
          <w:sz w:val="22"/>
          <w:szCs w:val="22"/>
        </w:rPr>
        <w:t>The Company has informed us that the power plants are under construction and power purchase agreements have not yet been made with customers for some of the power plants</w:t>
      </w:r>
      <w:r w:rsidRPr="000A61B2">
        <w:rPr>
          <w:rFonts w:ascii="Arial" w:hAnsi="Arial"/>
          <w:sz w:val="22"/>
          <w:szCs w:val="22"/>
          <w:cs/>
        </w:rPr>
        <w:t xml:space="preserve">. </w:t>
      </w:r>
      <w:r w:rsidRPr="000A61B2">
        <w:rPr>
          <w:rFonts w:ascii="Arial" w:hAnsi="Arial" w:cs="Arial"/>
          <w:sz w:val="22"/>
          <w:szCs w:val="22"/>
        </w:rPr>
        <w:t xml:space="preserve">During the first quarter of the year 2017, those subsidiaries reported operating losses and </w:t>
      </w:r>
      <w:r>
        <w:rPr>
          <w:rFonts w:ascii="Arial" w:hAnsi="Arial" w:cstheme="minorBidi" w:hint="cs"/>
          <w:sz w:val="22"/>
          <w:szCs w:val="22"/>
          <w:cs/>
        </w:rPr>
        <w:t xml:space="preserve">                               </w:t>
      </w:r>
      <w:r w:rsidRPr="000A61B2">
        <w:rPr>
          <w:rFonts w:ascii="Arial" w:hAnsi="Arial" w:cs="Arial"/>
          <w:spacing w:val="-4"/>
          <w:sz w:val="22"/>
          <w:szCs w:val="22"/>
        </w:rPr>
        <w:t>the Company informed us that the progress of the projects was still the same as that of last year</w:t>
      </w:r>
      <w:r w:rsidRPr="000A61B2">
        <w:rPr>
          <w:rFonts w:ascii="Arial" w:hAnsi="Arial" w:cs="Arial"/>
          <w:sz w:val="22"/>
          <w:szCs w:val="22"/>
        </w:rPr>
        <w:t>, i</w:t>
      </w:r>
      <w:r w:rsidRPr="000A61B2">
        <w:rPr>
          <w:rFonts w:ascii="Arial" w:hAnsi="Arial"/>
          <w:sz w:val="22"/>
          <w:szCs w:val="22"/>
          <w:cs/>
        </w:rPr>
        <w:t>.</w:t>
      </w:r>
      <w:r w:rsidRPr="000A61B2">
        <w:rPr>
          <w:rFonts w:ascii="Arial" w:hAnsi="Arial" w:cs="Arial"/>
          <w:sz w:val="22"/>
          <w:szCs w:val="22"/>
        </w:rPr>
        <w:t>e</w:t>
      </w:r>
      <w:r w:rsidRPr="000A61B2">
        <w:rPr>
          <w:rFonts w:ascii="Arial" w:hAnsi="Arial"/>
          <w:sz w:val="22"/>
          <w:szCs w:val="22"/>
          <w:cs/>
        </w:rPr>
        <w:t xml:space="preserve">. </w:t>
      </w:r>
      <w:r w:rsidRPr="000A61B2">
        <w:rPr>
          <w:rFonts w:ascii="Arial" w:hAnsi="Arial" w:cs="Arial"/>
          <w:sz w:val="22"/>
          <w:szCs w:val="22"/>
        </w:rPr>
        <w:t>out of 12 power plants under the investment plan, 2 plants are currently operational, while the remaining 10 plants are preparing for operation</w:t>
      </w:r>
      <w:r w:rsidRPr="000A61B2">
        <w:rPr>
          <w:rFonts w:ascii="Arial" w:hAnsi="Arial"/>
          <w:sz w:val="22"/>
          <w:szCs w:val="22"/>
          <w:cs/>
        </w:rPr>
        <w:t xml:space="preserve">. </w:t>
      </w:r>
      <w:r w:rsidRPr="000A61B2">
        <w:rPr>
          <w:rFonts w:ascii="Arial" w:hAnsi="Arial" w:cs="Arial"/>
          <w:sz w:val="22"/>
          <w:szCs w:val="22"/>
        </w:rPr>
        <w:t>In addition, another related company, SNS Power Company Limited, has acquired an operational power plant but is still in the process of transferring the power purchase agreements with the buyers to the Group</w:t>
      </w:r>
      <w:r w:rsidRPr="000A61B2">
        <w:rPr>
          <w:rFonts w:ascii="Arial" w:hAnsi="Arial"/>
          <w:sz w:val="22"/>
          <w:szCs w:val="22"/>
          <w:cs/>
        </w:rPr>
        <w:t xml:space="preserve">. </w:t>
      </w:r>
      <w:r w:rsidRPr="000A61B2">
        <w:rPr>
          <w:rFonts w:ascii="Arial" w:hAnsi="Arial" w:cs="Arial"/>
          <w:sz w:val="22"/>
          <w:szCs w:val="22"/>
        </w:rPr>
        <w:t xml:space="preserve">During the first quarter of the year 2017, there was no significant progress in these power plant projects as the subsidiaries have not made any payments for the construction or purchases of </w:t>
      </w:r>
      <w:r w:rsidRPr="000A61B2">
        <w:rPr>
          <w:rFonts w:ascii="Arial" w:hAnsi="Arial" w:cs="Arial"/>
          <w:spacing w:val="-4"/>
          <w:sz w:val="22"/>
          <w:szCs w:val="22"/>
        </w:rPr>
        <w:t>assets which are significant to the completion and readiness for operation of the non</w:t>
      </w:r>
      <w:r w:rsidRPr="000A61B2">
        <w:rPr>
          <w:rFonts w:ascii="Arial" w:hAnsi="Arial"/>
          <w:spacing w:val="-4"/>
          <w:sz w:val="22"/>
          <w:szCs w:val="22"/>
          <w:cs/>
        </w:rPr>
        <w:t>-</w:t>
      </w:r>
      <w:r w:rsidRPr="000A61B2">
        <w:rPr>
          <w:rFonts w:ascii="Arial" w:hAnsi="Arial" w:cs="Arial"/>
          <w:spacing w:val="-4"/>
          <w:sz w:val="22"/>
          <w:szCs w:val="22"/>
        </w:rPr>
        <w:t>operational</w:t>
      </w:r>
      <w:r w:rsidRPr="000A61B2">
        <w:rPr>
          <w:rFonts w:ascii="Arial" w:hAnsi="Arial" w:cs="Arial"/>
          <w:sz w:val="22"/>
          <w:szCs w:val="22"/>
        </w:rPr>
        <w:t xml:space="preserve"> power plants</w:t>
      </w:r>
      <w:r w:rsidRPr="000A61B2">
        <w:rPr>
          <w:rFonts w:ascii="Arial" w:hAnsi="Arial"/>
          <w:sz w:val="22"/>
          <w:szCs w:val="22"/>
          <w:cs/>
        </w:rPr>
        <w:t xml:space="preserve">. </w:t>
      </w:r>
      <w:r w:rsidRPr="000A61B2">
        <w:rPr>
          <w:rFonts w:ascii="Arial" w:hAnsi="Arial" w:cs="Arial"/>
          <w:sz w:val="22"/>
          <w:szCs w:val="22"/>
        </w:rPr>
        <w:t>The recoverability of these investments depends on the completion of these projects and their future operating results</w:t>
      </w:r>
      <w:r w:rsidRPr="000A61B2">
        <w:rPr>
          <w:rFonts w:ascii="Arial" w:hAnsi="Arial"/>
          <w:sz w:val="22"/>
          <w:szCs w:val="22"/>
          <w:cs/>
        </w:rPr>
        <w:t>.</w:t>
      </w:r>
    </w:p>
    <w:p w:rsidR="003C36A1" w:rsidRPr="00F87818" w:rsidRDefault="00E67F8C" w:rsidP="004E4875">
      <w:pPr>
        <w:tabs>
          <w:tab w:val="left" w:pos="720"/>
          <w:tab w:val="center" w:pos="6480"/>
        </w:tabs>
        <w:spacing w:before="1440" w:line="380" w:lineRule="exact"/>
        <w:ind w:right="-43"/>
        <w:rPr>
          <w:rFonts w:ascii="Arial" w:hAnsi="Arial"/>
          <w:sz w:val="22"/>
          <w:szCs w:val="22"/>
        </w:rPr>
      </w:pPr>
      <w:r w:rsidRPr="00F87818">
        <w:rPr>
          <w:rFonts w:ascii="Arial" w:hAnsi="Arial"/>
          <w:sz w:val="22"/>
          <w:szCs w:val="22"/>
        </w:rPr>
        <w:t>Sirirat</w:t>
      </w:r>
      <w:r w:rsidR="003C36A1" w:rsidRPr="00F87818">
        <w:rPr>
          <w:rFonts w:ascii="Arial" w:hAnsi="Arial"/>
          <w:sz w:val="22"/>
          <w:szCs w:val="22"/>
          <w:cs/>
        </w:rPr>
        <w:t xml:space="preserve"> </w:t>
      </w:r>
      <w:r w:rsidRPr="00F87818">
        <w:rPr>
          <w:rFonts w:ascii="Arial" w:hAnsi="Arial"/>
          <w:sz w:val="22"/>
          <w:szCs w:val="22"/>
        </w:rPr>
        <w:t>Sricharoensup</w:t>
      </w:r>
    </w:p>
    <w:p w:rsidR="003C36A1" w:rsidRPr="00F87818" w:rsidRDefault="003C36A1" w:rsidP="004E4875">
      <w:pPr>
        <w:tabs>
          <w:tab w:val="left" w:pos="720"/>
          <w:tab w:val="center" w:pos="6480"/>
        </w:tabs>
        <w:spacing w:line="380" w:lineRule="exact"/>
        <w:ind w:right="-43"/>
        <w:rPr>
          <w:rFonts w:ascii="Arial" w:hAnsi="Arial"/>
          <w:sz w:val="22"/>
          <w:szCs w:val="22"/>
        </w:rPr>
      </w:pPr>
      <w:r w:rsidRPr="00F87818">
        <w:rPr>
          <w:rFonts w:ascii="Arial" w:hAnsi="Arial"/>
          <w:sz w:val="22"/>
          <w:szCs w:val="22"/>
        </w:rPr>
        <w:t>Certified Public Accountant</w:t>
      </w:r>
      <w:r w:rsidRPr="00F87818">
        <w:rPr>
          <w:rFonts w:ascii="Arial" w:hAnsi="Arial"/>
          <w:sz w:val="22"/>
          <w:szCs w:val="22"/>
          <w:cs/>
        </w:rPr>
        <w:t xml:space="preserve"> (</w:t>
      </w:r>
      <w:r w:rsidRPr="00F87818">
        <w:rPr>
          <w:rFonts w:ascii="Arial" w:hAnsi="Arial"/>
          <w:sz w:val="22"/>
          <w:szCs w:val="22"/>
        </w:rPr>
        <w:t>Thailand</w:t>
      </w:r>
      <w:r w:rsidRPr="00F87818">
        <w:rPr>
          <w:rFonts w:ascii="Arial" w:hAnsi="Arial"/>
          <w:sz w:val="22"/>
          <w:szCs w:val="22"/>
          <w:cs/>
        </w:rPr>
        <w:t xml:space="preserve">) </w:t>
      </w:r>
      <w:r w:rsidRPr="00F87818">
        <w:rPr>
          <w:rFonts w:ascii="Arial" w:hAnsi="Arial"/>
          <w:sz w:val="22"/>
          <w:szCs w:val="22"/>
        </w:rPr>
        <w:t>No</w:t>
      </w:r>
      <w:r w:rsidRPr="00F87818">
        <w:rPr>
          <w:rFonts w:ascii="Arial" w:hAnsi="Arial"/>
          <w:sz w:val="22"/>
          <w:szCs w:val="22"/>
          <w:cs/>
        </w:rPr>
        <w:t xml:space="preserve">. </w:t>
      </w:r>
      <w:r w:rsidR="00E67F8C" w:rsidRPr="00F87818">
        <w:rPr>
          <w:rFonts w:ascii="Arial" w:hAnsi="Arial"/>
          <w:sz w:val="22"/>
          <w:szCs w:val="22"/>
        </w:rPr>
        <w:t>5419</w:t>
      </w:r>
    </w:p>
    <w:p w:rsidR="003C36A1" w:rsidRPr="00F87818" w:rsidRDefault="003C36A1" w:rsidP="004E4875">
      <w:pPr>
        <w:tabs>
          <w:tab w:val="left" w:pos="720"/>
          <w:tab w:val="center" w:pos="6480"/>
        </w:tabs>
        <w:spacing w:line="380" w:lineRule="exact"/>
        <w:rPr>
          <w:rFonts w:ascii="Arial" w:hAnsi="Arial"/>
          <w:sz w:val="22"/>
          <w:szCs w:val="22"/>
        </w:rPr>
      </w:pPr>
    </w:p>
    <w:p w:rsidR="00176C09" w:rsidRPr="00F87818" w:rsidRDefault="00176C09" w:rsidP="004E4875">
      <w:pPr>
        <w:tabs>
          <w:tab w:val="left" w:pos="720"/>
        </w:tabs>
        <w:spacing w:line="380" w:lineRule="exact"/>
        <w:rPr>
          <w:rFonts w:ascii="Arial" w:hAnsi="Arial"/>
          <w:sz w:val="22"/>
          <w:szCs w:val="22"/>
        </w:rPr>
      </w:pPr>
      <w:r w:rsidRPr="00F87818">
        <w:rPr>
          <w:rFonts w:ascii="Arial" w:hAnsi="Arial"/>
          <w:sz w:val="22"/>
          <w:szCs w:val="22"/>
        </w:rPr>
        <w:t>EY Office Limited</w:t>
      </w:r>
    </w:p>
    <w:p w:rsidR="003C36A1" w:rsidRPr="00A423CA" w:rsidRDefault="00F70901" w:rsidP="004E4875">
      <w:pPr>
        <w:tabs>
          <w:tab w:val="left" w:pos="720"/>
        </w:tabs>
        <w:spacing w:line="380" w:lineRule="exact"/>
        <w:rPr>
          <w:rFonts w:ascii="Arial" w:hAnsi="Arial"/>
          <w:spacing w:val="-3"/>
          <w:sz w:val="22"/>
          <w:szCs w:val="22"/>
        </w:rPr>
      </w:pPr>
      <w:r w:rsidRPr="00F87818">
        <w:rPr>
          <w:rFonts w:ascii="Arial" w:hAnsi="Arial"/>
          <w:spacing w:val="-3"/>
          <w:sz w:val="22"/>
          <w:szCs w:val="22"/>
        </w:rPr>
        <w:t>Bangkok</w:t>
      </w:r>
      <w:r w:rsidRPr="00F87818">
        <w:rPr>
          <w:rFonts w:ascii="Arial" w:hAnsi="Arial"/>
          <w:spacing w:val="-3"/>
          <w:sz w:val="22"/>
          <w:szCs w:val="22"/>
          <w:cs/>
        </w:rPr>
        <w:t>:</w:t>
      </w:r>
      <w:r w:rsidR="00683DF0" w:rsidRPr="00F87818">
        <w:rPr>
          <w:rFonts w:ascii="Arial" w:hAnsi="Arial"/>
          <w:spacing w:val="-3"/>
          <w:sz w:val="22"/>
          <w:szCs w:val="22"/>
          <w:cs/>
        </w:rPr>
        <w:t xml:space="preserve"> </w:t>
      </w:r>
      <w:r w:rsidR="004636FD" w:rsidRPr="00F87818">
        <w:rPr>
          <w:rFonts w:ascii="Arial" w:hAnsi="Arial"/>
          <w:spacing w:val="-3"/>
          <w:sz w:val="22"/>
          <w:szCs w:val="22"/>
        </w:rPr>
        <w:t xml:space="preserve">15 May </w:t>
      </w:r>
      <w:r w:rsidR="00A85FD7" w:rsidRPr="00F87818">
        <w:rPr>
          <w:rFonts w:ascii="Arial" w:hAnsi="Arial"/>
          <w:spacing w:val="-3"/>
          <w:sz w:val="22"/>
          <w:szCs w:val="22"/>
        </w:rPr>
        <w:t>2017</w:t>
      </w:r>
    </w:p>
    <w:sectPr w:rsidR="003C36A1" w:rsidRPr="00A423CA" w:rsidSect="009C7C2F">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F99" w:rsidRDefault="00DE5F99" w:rsidP="00CA46D7">
      <w:r>
        <w:separator/>
      </w:r>
    </w:p>
  </w:endnote>
  <w:endnote w:type="continuationSeparator" w:id="0">
    <w:p w:rsidR="00DE5F99" w:rsidRDefault="00DE5F99" w:rsidP="00C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B6D" w:rsidRPr="00685D75" w:rsidRDefault="00E77AD0" w:rsidP="00685D75">
    <w:pPr>
      <w:pStyle w:val="a5"/>
      <w:jc w:val="right"/>
      <w:rPr>
        <w:rFonts w:ascii="Arial" w:hAnsi="Arial" w:cs="Arial"/>
        <w:sz w:val="22"/>
        <w:szCs w:val="22"/>
      </w:rPr>
    </w:pPr>
    <w:r w:rsidRPr="00685D75">
      <w:rPr>
        <w:rFonts w:ascii="Arial" w:hAnsi="Arial" w:cs="Arial"/>
        <w:sz w:val="22"/>
        <w:szCs w:val="22"/>
        <w:cs/>
      </w:rPr>
      <w:fldChar w:fldCharType="begin"/>
    </w:r>
    <w:r w:rsidR="00430B6D" w:rsidRPr="00685D75">
      <w:rPr>
        <w:rFonts w:ascii="Arial" w:hAnsi="Arial"/>
        <w:sz w:val="22"/>
        <w:szCs w:val="22"/>
        <w:cs/>
      </w:rPr>
      <w:instrText xml:space="preserve"> </w:instrText>
    </w:r>
    <w:r w:rsidR="00430B6D" w:rsidRPr="00685D75">
      <w:rPr>
        <w:rFonts w:ascii="Arial" w:hAnsi="Arial" w:cs="Arial"/>
        <w:sz w:val="22"/>
        <w:szCs w:val="22"/>
      </w:rPr>
      <w:instrText>PAGE   \</w:instrText>
    </w:r>
    <w:r w:rsidR="00430B6D" w:rsidRPr="00685D75">
      <w:rPr>
        <w:rFonts w:ascii="Arial" w:hAnsi="Arial"/>
        <w:sz w:val="22"/>
        <w:szCs w:val="22"/>
        <w:cs/>
      </w:rPr>
      <w:instrText xml:space="preserve">* </w:instrText>
    </w:r>
    <w:r w:rsidR="00430B6D" w:rsidRPr="00685D75">
      <w:rPr>
        <w:rFonts w:ascii="Arial" w:hAnsi="Arial" w:cs="Arial"/>
        <w:sz w:val="22"/>
        <w:szCs w:val="22"/>
      </w:rPr>
      <w:instrText>MERGEFORMAT</w:instrText>
    </w:r>
    <w:r w:rsidR="00430B6D" w:rsidRPr="00685D75">
      <w:rPr>
        <w:rFonts w:ascii="Arial" w:hAnsi="Arial"/>
        <w:sz w:val="22"/>
        <w:szCs w:val="22"/>
        <w:cs/>
      </w:rPr>
      <w:instrText xml:space="preserve"> </w:instrText>
    </w:r>
    <w:r w:rsidRPr="00685D75">
      <w:rPr>
        <w:rFonts w:ascii="Arial" w:hAnsi="Arial" w:cs="Arial"/>
        <w:sz w:val="22"/>
        <w:szCs w:val="22"/>
        <w:cs/>
      </w:rPr>
      <w:fldChar w:fldCharType="separate"/>
    </w:r>
    <w:r w:rsidR="00F44241" w:rsidRPr="00F44241">
      <w:rPr>
        <w:rFonts w:ascii="Arial" w:hAnsi="Arial" w:cs="Arial"/>
        <w:noProof/>
        <w:sz w:val="22"/>
        <w:szCs w:val="22"/>
        <w:cs/>
      </w:rPr>
      <w:t>4</w:t>
    </w:r>
    <w:r w:rsidRPr="00685D75">
      <w:rPr>
        <w:rFonts w:ascii="Arial" w:hAnsi="Arial" w:cs="Arial"/>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D46" w:rsidRDefault="00FE4D46">
    <w:pPr>
      <w:pStyle w:val="a5"/>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168291"/>
      <w:docPartObj>
        <w:docPartGallery w:val="Page Numbers (Bottom of Page)"/>
        <w:docPartUnique/>
      </w:docPartObj>
    </w:sdtPr>
    <w:sdtEndPr>
      <w:rPr>
        <w:noProof/>
      </w:rPr>
    </w:sdtEndPr>
    <w:sdtContent>
      <w:p w:rsidR="00FE4D46" w:rsidRDefault="00FE4D46">
        <w:pPr>
          <w:pStyle w:val="a5"/>
          <w:jc w:val="right"/>
        </w:pPr>
        <w:r w:rsidRPr="00FE4D46">
          <w:rPr>
            <w:rFonts w:ascii="Arial" w:hAnsi="Arial" w:cs="Arial"/>
            <w:sz w:val="22"/>
            <w:szCs w:val="24"/>
          </w:rPr>
          <w:fldChar w:fldCharType="begin"/>
        </w:r>
        <w:r w:rsidRPr="00FE4D46">
          <w:rPr>
            <w:rFonts w:ascii="Arial" w:hAnsi="Arial" w:cs="Arial"/>
            <w:sz w:val="22"/>
            <w:szCs w:val="24"/>
          </w:rPr>
          <w:instrText xml:space="preserve"> PAGE   \</w:instrText>
        </w:r>
        <w:r w:rsidRPr="00FE4D46">
          <w:rPr>
            <w:rFonts w:ascii="Arial" w:hAnsi="Arial"/>
            <w:sz w:val="22"/>
            <w:szCs w:val="22"/>
            <w:cs/>
          </w:rPr>
          <w:instrText xml:space="preserve">* </w:instrText>
        </w:r>
        <w:r w:rsidRPr="00FE4D46">
          <w:rPr>
            <w:rFonts w:ascii="Arial" w:hAnsi="Arial" w:cs="Arial"/>
            <w:sz w:val="22"/>
            <w:szCs w:val="24"/>
          </w:rPr>
          <w:instrText xml:space="preserve">MERGEFORMAT </w:instrText>
        </w:r>
        <w:r w:rsidRPr="00FE4D46">
          <w:rPr>
            <w:rFonts w:ascii="Arial" w:hAnsi="Arial" w:cs="Arial"/>
            <w:sz w:val="22"/>
            <w:szCs w:val="24"/>
          </w:rPr>
          <w:fldChar w:fldCharType="separate"/>
        </w:r>
        <w:r w:rsidR="00F44241">
          <w:rPr>
            <w:rFonts w:ascii="Arial" w:hAnsi="Arial" w:cs="Arial"/>
            <w:noProof/>
            <w:sz w:val="22"/>
            <w:szCs w:val="24"/>
          </w:rPr>
          <w:t>2</w:t>
        </w:r>
        <w:r w:rsidRPr="00FE4D46">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F99" w:rsidRDefault="00DE5F99" w:rsidP="00CA46D7">
      <w:r>
        <w:separator/>
      </w:r>
    </w:p>
  </w:footnote>
  <w:footnote w:type="continuationSeparator" w:id="0">
    <w:p w:rsidR="00DE5F99" w:rsidRDefault="00DE5F99" w:rsidP="00CA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BBA" w:rsidRDefault="00917B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1"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714313"/>
    <w:multiLevelType w:val="hybridMultilevel"/>
    <w:tmpl w:val="10C0DDB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55682"/>
    <w:multiLevelType w:val="hybridMultilevel"/>
    <w:tmpl w:val="C8DEA8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0"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 w:numId="6">
    <w:abstractNumId w:val="10"/>
  </w:num>
  <w:num w:numId="7">
    <w:abstractNumId w:val="13"/>
  </w:num>
  <w:num w:numId="8">
    <w:abstractNumId w:val="5"/>
  </w:num>
  <w:num w:numId="9">
    <w:abstractNumId w:val="6"/>
  </w:num>
  <w:num w:numId="10">
    <w:abstractNumId w:val="11"/>
  </w:num>
  <w:num w:numId="11">
    <w:abstractNumId w:val="9"/>
  </w:num>
  <w:num w:numId="12">
    <w:abstractNumId w:val="12"/>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82"/>
    <w:rsid w:val="00007081"/>
    <w:rsid w:val="00011D85"/>
    <w:rsid w:val="00016ED7"/>
    <w:rsid w:val="00021D07"/>
    <w:rsid w:val="000229DD"/>
    <w:rsid w:val="00025DC6"/>
    <w:rsid w:val="00032B8A"/>
    <w:rsid w:val="0004227E"/>
    <w:rsid w:val="00043DF1"/>
    <w:rsid w:val="00044C87"/>
    <w:rsid w:val="00045E9B"/>
    <w:rsid w:val="00046138"/>
    <w:rsid w:val="000517FC"/>
    <w:rsid w:val="00052FFB"/>
    <w:rsid w:val="00053CB6"/>
    <w:rsid w:val="00057598"/>
    <w:rsid w:val="00057757"/>
    <w:rsid w:val="00062D93"/>
    <w:rsid w:val="00064084"/>
    <w:rsid w:val="00067435"/>
    <w:rsid w:val="0007027D"/>
    <w:rsid w:val="0007027F"/>
    <w:rsid w:val="00070D41"/>
    <w:rsid w:val="00071154"/>
    <w:rsid w:val="00072B50"/>
    <w:rsid w:val="00076D81"/>
    <w:rsid w:val="00082C18"/>
    <w:rsid w:val="00091DF2"/>
    <w:rsid w:val="00096500"/>
    <w:rsid w:val="000A33D4"/>
    <w:rsid w:val="000A3BCB"/>
    <w:rsid w:val="000A61B2"/>
    <w:rsid w:val="000C0DAD"/>
    <w:rsid w:val="000C2248"/>
    <w:rsid w:val="000C27AE"/>
    <w:rsid w:val="000C53BC"/>
    <w:rsid w:val="000C6B92"/>
    <w:rsid w:val="000C7020"/>
    <w:rsid w:val="000C798E"/>
    <w:rsid w:val="000D3E91"/>
    <w:rsid w:val="000D6039"/>
    <w:rsid w:val="000F5754"/>
    <w:rsid w:val="000F600F"/>
    <w:rsid w:val="00105575"/>
    <w:rsid w:val="00106346"/>
    <w:rsid w:val="001067D7"/>
    <w:rsid w:val="00111A38"/>
    <w:rsid w:val="00113DBF"/>
    <w:rsid w:val="001153A9"/>
    <w:rsid w:val="00117CA5"/>
    <w:rsid w:val="00122779"/>
    <w:rsid w:val="00133A1E"/>
    <w:rsid w:val="00137209"/>
    <w:rsid w:val="00141977"/>
    <w:rsid w:val="00143FE5"/>
    <w:rsid w:val="00147614"/>
    <w:rsid w:val="00150C1F"/>
    <w:rsid w:val="001518DF"/>
    <w:rsid w:val="00156971"/>
    <w:rsid w:val="00161B9F"/>
    <w:rsid w:val="0016633C"/>
    <w:rsid w:val="00173C10"/>
    <w:rsid w:val="00174B99"/>
    <w:rsid w:val="00176C09"/>
    <w:rsid w:val="00187CDB"/>
    <w:rsid w:val="00193E51"/>
    <w:rsid w:val="0019640B"/>
    <w:rsid w:val="001A250A"/>
    <w:rsid w:val="001A3250"/>
    <w:rsid w:val="001A6F7E"/>
    <w:rsid w:val="001C083A"/>
    <w:rsid w:val="001C0F8D"/>
    <w:rsid w:val="001C1B02"/>
    <w:rsid w:val="001C21BB"/>
    <w:rsid w:val="001C3125"/>
    <w:rsid w:val="001C5702"/>
    <w:rsid w:val="001C6528"/>
    <w:rsid w:val="001E1830"/>
    <w:rsid w:val="001F3D8B"/>
    <w:rsid w:val="001F72A8"/>
    <w:rsid w:val="002031C2"/>
    <w:rsid w:val="00204E77"/>
    <w:rsid w:val="00206231"/>
    <w:rsid w:val="00207934"/>
    <w:rsid w:val="00214FEA"/>
    <w:rsid w:val="00216FF7"/>
    <w:rsid w:val="002209DA"/>
    <w:rsid w:val="002218D9"/>
    <w:rsid w:val="00221A22"/>
    <w:rsid w:val="002227CF"/>
    <w:rsid w:val="00223AD3"/>
    <w:rsid w:val="00224A94"/>
    <w:rsid w:val="002303CF"/>
    <w:rsid w:val="00233169"/>
    <w:rsid w:val="00235AF2"/>
    <w:rsid w:val="002411FD"/>
    <w:rsid w:val="00241CFD"/>
    <w:rsid w:val="00245195"/>
    <w:rsid w:val="00246882"/>
    <w:rsid w:val="00257D73"/>
    <w:rsid w:val="00283FF2"/>
    <w:rsid w:val="00285AF5"/>
    <w:rsid w:val="00287E1B"/>
    <w:rsid w:val="00290714"/>
    <w:rsid w:val="00296A90"/>
    <w:rsid w:val="002974BC"/>
    <w:rsid w:val="002C1E31"/>
    <w:rsid w:val="002C2C57"/>
    <w:rsid w:val="002C4328"/>
    <w:rsid w:val="002C55F1"/>
    <w:rsid w:val="002D6A06"/>
    <w:rsid w:val="002D6A36"/>
    <w:rsid w:val="002E02B1"/>
    <w:rsid w:val="002E0FE1"/>
    <w:rsid w:val="002E3FF8"/>
    <w:rsid w:val="002E49ED"/>
    <w:rsid w:val="002F0EF8"/>
    <w:rsid w:val="002F1375"/>
    <w:rsid w:val="002F538B"/>
    <w:rsid w:val="002F5E5B"/>
    <w:rsid w:val="002F7200"/>
    <w:rsid w:val="00300CCC"/>
    <w:rsid w:val="00304862"/>
    <w:rsid w:val="00304FF2"/>
    <w:rsid w:val="00311A4C"/>
    <w:rsid w:val="0031260A"/>
    <w:rsid w:val="00312C46"/>
    <w:rsid w:val="00312F1E"/>
    <w:rsid w:val="00323A1B"/>
    <w:rsid w:val="00330C2E"/>
    <w:rsid w:val="00332C4E"/>
    <w:rsid w:val="00352BE8"/>
    <w:rsid w:val="00367CD1"/>
    <w:rsid w:val="00371DC1"/>
    <w:rsid w:val="00374534"/>
    <w:rsid w:val="003761C0"/>
    <w:rsid w:val="00381F6E"/>
    <w:rsid w:val="003906F6"/>
    <w:rsid w:val="00390F86"/>
    <w:rsid w:val="00397FD6"/>
    <w:rsid w:val="003A0221"/>
    <w:rsid w:val="003A3062"/>
    <w:rsid w:val="003B52F2"/>
    <w:rsid w:val="003C0A5B"/>
    <w:rsid w:val="003C36A1"/>
    <w:rsid w:val="003C39CF"/>
    <w:rsid w:val="003D137F"/>
    <w:rsid w:val="003D329E"/>
    <w:rsid w:val="003D667F"/>
    <w:rsid w:val="003E00D3"/>
    <w:rsid w:val="003E147E"/>
    <w:rsid w:val="003E1EC3"/>
    <w:rsid w:val="003E50A1"/>
    <w:rsid w:val="003F0E56"/>
    <w:rsid w:val="003F2B96"/>
    <w:rsid w:val="003F53FC"/>
    <w:rsid w:val="00400175"/>
    <w:rsid w:val="00402ACA"/>
    <w:rsid w:val="00405934"/>
    <w:rsid w:val="00411E49"/>
    <w:rsid w:val="00411ED4"/>
    <w:rsid w:val="00411F92"/>
    <w:rsid w:val="00416DF6"/>
    <w:rsid w:val="00420E9B"/>
    <w:rsid w:val="00423E47"/>
    <w:rsid w:val="00430B6D"/>
    <w:rsid w:val="0043497D"/>
    <w:rsid w:val="00435800"/>
    <w:rsid w:val="004363CE"/>
    <w:rsid w:val="004364AD"/>
    <w:rsid w:val="00436D10"/>
    <w:rsid w:val="0044046E"/>
    <w:rsid w:val="00447B11"/>
    <w:rsid w:val="0045007E"/>
    <w:rsid w:val="004553C7"/>
    <w:rsid w:val="004608FE"/>
    <w:rsid w:val="0046252B"/>
    <w:rsid w:val="0046333E"/>
    <w:rsid w:val="004636FD"/>
    <w:rsid w:val="00470C5B"/>
    <w:rsid w:val="0047518F"/>
    <w:rsid w:val="0047668E"/>
    <w:rsid w:val="00476D95"/>
    <w:rsid w:val="004802BD"/>
    <w:rsid w:val="00481516"/>
    <w:rsid w:val="004818D5"/>
    <w:rsid w:val="00485289"/>
    <w:rsid w:val="00493362"/>
    <w:rsid w:val="004A7C37"/>
    <w:rsid w:val="004B082E"/>
    <w:rsid w:val="004B2E2E"/>
    <w:rsid w:val="004B4E65"/>
    <w:rsid w:val="004B68F4"/>
    <w:rsid w:val="004C235E"/>
    <w:rsid w:val="004C3FA9"/>
    <w:rsid w:val="004C5833"/>
    <w:rsid w:val="004C7463"/>
    <w:rsid w:val="004D248B"/>
    <w:rsid w:val="004D3737"/>
    <w:rsid w:val="004D7312"/>
    <w:rsid w:val="004E11D9"/>
    <w:rsid w:val="004E3CF7"/>
    <w:rsid w:val="004E4875"/>
    <w:rsid w:val="004F2B0F"/>
    <w:rsid w:val="004F2E02"/>
    <w:rsid w:val="004F5D21"/>
    <w:rsid w:val="004F63F6"/>
    <w:rsid w:val="005032B5"/>
    <w:rsid w:val="00504E62"/>
    <w:rsid w:val="0050604B"/>
    <w:rsid w:val="00513E3F"/>
    <w:rsid w:val="00516089"/>
    <w:rsid w:val="0051620F"/>
    <w:rsid w:val="0051750F"/>
    <w:rsid w:val="00524965"/>
    <w:rsid w:val="0052571A"/>
    <w:rsid w:val="00533FDF"/>
    <w:rsid w:val="00535BCE"/>
    <w:rsid w:val="005375B0"/>
    <w:rsid w:val="005420E5"/>
    <w:rsid w:val="00551146"/>
    <w:rsid w:val="0055269C"/>
    <w:rsid w:val="00553A78"/>
    <w:rsid w:val="005544F5"/>
    <w:rsid w:val="005547C1"/>
    <w:rsid w:val="0055496F"/>
    <w:rsid w:val="005606EC"/>
    <w:rsid w:val="00565FC7"/>
    <w:rsid w:val="005706F7"/>
    <w:rsid w:val="005741F1"/>
    <w:rsid w:val="00574AD1"/>
    <w:rsid w:val="00577526"/>
    <w:rsid w:val="0058154C"/>
    <w:rsid w:val="00584295"/>
    <w:rsid w:val="005906D1"/>
    <w:rsid w:val="00592AB0"/>
    <w:rsid w:val="0059623C"/>
    <w:rsid w:val="005A54B5"/>
    <w:rsid w:val="005B1A8B"/>
    <w:rsid w:val="005B390B"/>
    <w:rsid w:val="005C06ED"/>
    <w:rsid w:val="005C39D3"/>
    <w:rsid w:val="005C468C"/>
    <w:rsid w:val="005C5FA5"/>
    <w:rsid w:val="005C713A"/>
    <w:rsid w:val="005E203B"/>
    <w:rsid w:val="005E23F5"/>
    <w:rsid w:val="005F130F"/>
    <w:rsid w:val="005F3443"/>
    <w:rsid w:val="005F37B0"/>
    <w:rsid w:val="005F7416"/>
    <w:rsid w:val="006017F1"/>
    <w:rsid w:val="00604BEB"/>
    <w:rsid w:val="006132CA"/>
    <w:rsid w:val="00620FB4"/>
    <w:rsid w:val="00623207"/>
    <w:rsid w:val="0062521D"/>
    <w:rsid w:val="00627DD7"/>
    <w:rsid w:val="00627EDF"/>
    <w:rsid w:val="00630C47"/>
    <w:rsid w:val="00634063"/>
    <w:rsid w:val="00635FFA"/>
    <w:rsid w:val="00637B21"/>
    <w:rsid w:val="006423E0"/>
    <w:rsid w:val="00644EAF"/>
    <w:rsid w:val="0064543D"/>
    <w:rsid w:val="006454E7"/>
    <w:rsid w:val="006470B1"/>
    <w:rsid w:val="00654B48"/>
    <w:rsid w:val="00660082"/>
    <w:rsid w:val="00661F32"/>
    <w:rsid w:val="00672654"/>
    <w:rsid w:val="006801EC"/>
    <w:rsid w:val="00683DF0"/>
    <w:rsid w:val="00684969"/>
    <w:rsid w:val="00684C91"/>
    <w:rsid w:val="00685D75"/>
    <w:rsid w:val="00686DA5"/>
    <w:rsid w:val="006874A8"/>
    <w:rsid w:val="00693992"/>
    <w:rsid w:val="006A510A"/>
    <w:rsid w:val="006B358C"/>
    <w:rsid w:val="006B53C9"/>
    <w:rsid w:val="006B7C83"/>
    <w:rsid w:val="006B7FFB"/>
    <w:rsid w:val="006C3634"/>
    <w:rsid w:val="006C4369"/>
    <w:rsid w:val="006C6A7C"/>
    <w:rsid w:val="006C7235"/>
    <w:rsid w:val="006C7DB2"/>
    <w:rsid w:val="006D1090"/>
    <w:rsid w:val="006D454F"/>
    <w:rsid w:val="006E1A98"/>
    <w:rsid w:val="006E24F8"/>
    <w:rsid w:val="006E323A"/>
    <w:rsid w:val="007005D4"/>
    <w:rsid w:val="00703FEB"/>
    <w:rsid w:val="00711625"/>
    <w:rsid w:val="00716B24"/>
    <w:rsid w:val="00722830"/>
    <w:rsid w:val="007272A2"/>
    <w:rsid w:val="00731604"/>
    <w:rsid w:val="00740DB9"/>
    <w:rsid w:val="0074193B"/>
    <w:rsid w:val="007440A3"/>
    <w:rsid w:val="007473D9"/>
    <w:rsid w:val="00755EE1"/>
    <w:rsid w:val="00757CA4"/>
    <w:rsid w:val="00757CB2"/>
    <w:rsid w:val="00761E24"/>
    <w:rsid w:val="00762F5E"/>
    <w:rsid w:val="007700EC"/>
    <w:rsid w:val="0078196C"/>
    <w:rsid w:val="007855FD"/>
    <w:rsid w:val="007906A6"/>
    <w:rsid w:val="007944FD"/>
    <w:rsid w:val="00797A16"/>
    <w:rsid w:val="007A207E"/>
    <w:rsid w:val="007A22E6"/>
    <w:rsid w:val="007B3DBC"/>
    <w:rsid w:val="007B63F1"/>
    <w:rsid w:val="007C62F2"/>
    <w:rsid w:val="007C7411"/>
    <w:rsid w:val="007D4F16"/>
    <w:rsid w:val="007D4F8A"/>
    <w:rsid w:val="007D7F38"/>
    <w:rsid w:val="007D7FAD"/>
    <w:rsid w:val="007E2885"/>
    <w:rsid w:val="007E2F2F"/>
    <w:rsid w:val="007E36F8"/>
    <w:rsid w:val="007E4CA1"/>
    <w:rsid w:val="007E5E7E"/>
    <w:rsid w:val="007E6A7C"/>
    <w:rsid w:val="007F1255"/>
    <w:rsid w:val="007F44E5"/>
    <w:rsid w:val="0080023F"/>
    <w:rsid w:val="00801F19"/>
    <w:rsid w:val="0080588F"/>
    <w:rsid w:val="008077E8"/>
    <w:rsid w:val="00812635"/>
    <w:rsid w:val="00816FF6"/>
    <w:rsid w:val="00820C9E"/>
    <w:rsid w:val="008210DB"/>
    <w:rsid w:val="0083040E"/>
    <w:rsid w:val="00834973"/>
    <w:rsid w:val="00835E7D"/>
    <w:rsid w:val="008411D5"/>
    <w:rsid w:val="00844CE5"/>
    <w:rsid w:val="00846A0E"/>
    <w:rsid w:val="00854E41"/>
    <w:rsid w:val="0086558D"/>
    <w:rsid w:val="00870789"/>
    <w:rsid w:val="00870E78"/>
    <w:rsid w:val="00874738"/>
    <w:rsid w:val="00883FAD"/>
    <w:rsid w:val="00884BFC"/>
    <w:rsid w:val="0089256A"/>
    <w:rsid w:val="008933FE"/>
    <w:rsid w:val="008961C1"/>
    <w:rsid w:val="008A04ED"/>
    <w:rsid w:val="008A061C"/>
    <w:rsid w:val="008A1DF5"/>
    <w:rsid w:val="008A2605"/>
    <w:rsid w:val="008A263F"/>
    <w:rsid w:val="008A6061"/>
    <w:rsid w:val="008B0652"/>
    <w:rsid w:val="008B16B9"/>
    <w:rsid w:val="008B258A"/>
    <w:rsid w:val="008B51F7"/>
    <w:rsid w:val="008B77D8"/>
    <w:rsid w:val="008C0D3D"/>
    <w:rsid w:val="008C515B"/>
    <w:rsid w:val="008D0F6F"/>
    <w:rsid w:val="008D572C"/>
    <w:rsid w:val="008D75CC"/>
    <w:rsid w:val="008D7A4E"/>
    <w:rsid w:val="008E101E"/>
    <w:rsid w:val="008E42AE"/>
    <w:rsid w:val="008E79EB"/>
    <w:rsid w:val="008F66A3"/>
    <w:rsid w:val="00905687"/>
    <w:rsid w:val="009129D2"/>
    <w:rsid w:val="00913EB8"/>
    <w:rsid w:val="00915D34"/>
    <w:rsid w:val="00917BBA"/>
    <w:rsid w:val="00921264"/>
    <w:rsid w:val="0092127D"/>
    <w:rsid w:val="00921678"/>
    <w:rsid w:val="00935639"/>
    <w:rsid w:val="00936310"/>
    <w:rsid w:val="009451B0"/>
    <w:rsid w:val="00947714"/>
    <w:rsid w:val="009608D4"/>
    <w:rsid w:val="00961948"/>
    <w:rsid w:val="00962001"/>
    <w:rsid w:val="00963D0E"/>
    <w:rsid w:val="009725B3"/>
    <w:rsid w:val="00972920"/>
    <w:rsid w:val="00984B3E"/>
    <w:rsid w:val="0098541F"/>
    <w:rsid w:val="00996636"/>
    <w:rsid w:val="00996B84"/>
    <w:rsid w:val="009A1C2B"/>
    <w:rsid w:val="009A59F0"/>
    <w:rsid w:val="009B1888"/>
    <w:rsid w:val="009B379E"/>
    <w:rsid w:val="009C612F"/>
    <w:rsid w:val="009C6FA7"/>
    <w:rsid w:val="009C7C2F"/>
    <w:rsid w:val="009D0AA9"/>
    <w:rsid w:val="009D634A"/>
    <w:rsid w:val="009D74AB"/>
    <w:rsid w:val="009E2CC1"/>
    <w:rsid w:val="009E36FC"/>
    <w:rsid w:val="009E66D4"/>
    <w:rsid w:val="009F1B57"/>
    <w:rsid w:val="00A11A82"/>
    <w:rsid w:val="00A12F71"/>
    <w:rsid w:val="00A15CF9"/>
    <w:rsid w:val="00A264B1"/>
    <w:rsid w:val="00A303DD"/>
    <w:rsid w:val="00A423CA"/>
    <w:rsid w:val="00A549E2"/>
    <w:rsid w:val="00A607B3"/>
    <w:rsid w:val="00A60C7F"/>
    <w:rsid w:val="00A61348"/>
    <w:rsid w:val="00A646EC"/>
    <w:rsid w:val="00A676D2"/>
    <w:rsid w:val="00A719B4"/>
    <w:rsid w:val="00A74C74"/>
    <w:rsid w:val="00A7568F"/>
    <w:rsid w:val="00A75814"/>
    <w:rsid w:val="00A7717C"/>
    <w:rsid w:val="00A81CB9"/>
    <w:rsid w:val="00A83B19"/>
    <w:rsid w:val="00A85F9E"/>
    <w:rsid w:val="00A85FD7"/>
    <w:rsid w:val="00A86724"/>
    <w:rsid w:val="00A86B26"/>
    <w:rsid w:val="00A91EFF"/>
    <w:rsid w:val="00A970A7"/>
    <w:rsid w:val="00AA050F"/>
    <w:rsid w:val="00AA098C"/>
    <w:rsid w:val="00AA4904"/>
    <w:rsid w:val="00AA4EAD"/>
    <w:rsid w:val="00AB2CCA"/>
    <w:rsid w:val="00AB3FCA"/>
    <w:rsid w:val="00AC1907"/>
    <w:rsid w:val="00AD458B"/>
    <w:rsid w:val="00AD473C"/>
    <w:rsid w:val="00AD6636"/>
    <w:rsid w:val="00AE4BAF"/>
    <w:rsid w:val="00AE7D97"/>
    <w:rsid w:val="00B12C4D"/>
    <w:rsid w:val="00B176A4"/>
    <w:rsid w:val="00B23671"/>
    <w:rsid w:val="00B26687"/>
    <w:rsid w:val="00B27652"/>
    <w:rsid w:val="00B34AFF"/>
    <w:rsid w:val="00B3556E"/>
    <w:rsid w:val="00B40FE7"/>
    <w:rsid w:val="00B41023"/>
    <w:rsid w:val="00B413F2"/>
    <w:rsid w:val="00B43286"/>
    <w:rsid w:val="00B47232"/>
    <w:rsid w:val="00B5109E"/>
    <w:rsid w:val="00B56C9E"/>
    <w:rsid w:val="00B635FC"/>
    <w:rsid w:val="00B6393D"/>
    <w:rsid w:val="00B63D75"/>
    <w:rsid w:val="00B64C23"/>
    <w:rsid w:val="00B67FB5"/>
    <w:rsid w:val="00B73224"/>
    <w:rsid w:val="00B732D7"/>
    <w:rsid w:val="00B74525"/>
    <w:rsid w:val="00B751CB"/>
    <w:rsid w:val="00B8176D"/>
    <w:rsid w:val="00B84762"/>
    <w:rsid w:val="00B8731E"/>
    <w:rsid w:val="00B93622"/>
    <w:rsid w:val="00B9494F"/>
    <w:rsid w:val="00B97D70"/>
    <w:rsid w:val="00BA061C"/>
    <w:rsid w:val="00BA1AB5"/>
    <w:rsid w:val="00BB0A55"/>
    <w:rsid w:val="00BB1A4E"/>
    <w:rsid w:val="00BB5EC8"/>
    <w:rsid w:val="00BC3428"/>
    <w:rsid w:val="00BC6DD1"/>
    <w:rsid w:val="00BC768C"/>
    <w:rsid w:val="00BE085C"/>
    <w:rsid w:val="00BE3AB5"/>
    <w:rsid w:val="00BE7236"/>
    <w:rsid w:val="00BF11A0"/>
    <w:rsid w:val="00BF2BB3"/>
    <w:rsid w:val="00BF42C3"/>
    <w:rsid w:val="00BF4315"/>
    <w:rsid w:val="00C041AF"/>
    <w:rsid w:val="00C05C06"/>
    <w:rsid w:val="00C05FCB"/>
    <w:rsid w:val="00C11115"/>
    <w:rsid w:val="00C11F5D"/>
    <w:rsid w:val="00C155EF"/>
    <w:rsid w:val="00C245B8"/>
    <w:rsid w:val="00C25F28"/>
    <w:rsid w:val="00C2729C"/>
    <w:rsid w:val="00C30D5D"/>
    <w:rsid w:val="00C36EA2"/>
    <w:rsid w:val="00C4042B"/>
    <w:rsid w:val="00C4325B"/>
    <w:rsid w:val="00C550FF"/>
    <w:rsid w:val="00C61C29"/>
    <w:rsid w:val="00C65C80"/>
    <w:rsid w:val="00C749B7"/>
    <w:rsid w:val="00C81F5C"/>
    <w:rsid w:val="00C92590"/>
    <w:rsid w:val="00CA3542"/>
    <w:rsid w:val="00CA46D7"/>
    <w:rsid w:val="00CB7E05"/>
    <w:rsid w:val="00CC402C"/>
    <w:rsid w:val="00CC5316"/>
    <w:rsid w:val="00CC6FA7"/>
    <w:rsid w:val="00CD1C95"/>
    <w:rsid w:val="00CD2E07"/>
    <w:rsid w:val="00CD6B02"/>
    <w:rsid w:val="00CD7BF5"/>
    <w:rsid w:val="00CD7EFA"/>
    <w:rsid w:val="00CE4B86"/>
    <w:rsid w:val="00CE4F4C"/>
    <w:rsid w:val="00CF1229"/>
    <w:rsid w:val="00CF15C5"/>
    <w:rsid w:val="00CF5400"/>
    <w:rsid w:val="00D002F2"/>
    <w:rsid w:val="00D0276A"/>
    <w:rsid w:val="00D06FC8"/>
    <w:rsid w:val="00D141C4"/>
    <w:rsid w:val="00D155B4"/>
    <w:rsid w:val="00D20F84"/>
    <w:rsid w:val="00D240F4"/>
    <w:rsid w:val="00D40CB8"/>
    <w:rsid w:val="00D53A2E"/>
    <w:rsid w:val="00D5528E"/>
    <w:rsid w:val="00D718ED"/>
    <w:rsid w:val="00D71941"/>
    <w:rsid w:val="00D77873"/>
    <w:rsid w:val="00D82DD6"/>
    <w:rsid w:val="00D938F7"/>
    <w:rsid w:val="00DA1202"/>
    <w:rsid w:val="00DB5D57"/>
    <w:rsid w:val="00DC47DD"/>
    <w:rsid w:val="00DC5E07"/>
    <w:rsid w:val="00DC694F"/>
    <w:rsid w:val="00DD7F75"/>
    <w:rsid w:val="00DE002E"/>
    <w:rsid w:val="00DE0D01"/>
    <w:rsid w:val="00DE3E65"/>
    <w:rsid w:val="00DE5249"/>
    <w:rsid w:val="00DE5F99"/>
    <w:rsid w:val="00DF7121"/>
    <w:rsid w:val="00E01024"/>
    <w:rsid w:val="00E040A2"/>
    <w:rsid w:val="00E059DC"/>
    <w:rsid w:val="00E067E8"/>
    <w:rsid w:val="00E153FA"/>
    <w:rsid w:val="00E266B1"/>
    <w:rsid w:val="00E2779A"/>
    <w:rsid w:val="00E36CD2"/>
    <w:rsid w:val="00E4017C"/>
    <w:rsid w:val="00E51247"/>
    <w:rsid w:val="00E51DB3"/>
    <w:rsid w:val="00E636A9"/>
    <w:rsid w:val="00E656C8"/>
    <w:rsid w:val="00E6606A"/>
    <w:rsid w:val="00E6620C"/>
    <w:rsid w:val="00E67EE2"/>
    <w:rsid w:val="00E67F8C"/>
    <w:rsid w:val="00E71F8D"/>
    <w:rsid w:val="00E726FF"/>
    <w:rsid w:val="00E77AD0"/>
    <w:rsid w:val="00E81A8F"/>
    <w:rsid w:val="00E8321F"/>
    <w:rsid w:val="00E86C28"/>
    <w:rsid w:val="00E902DD"/>
    <w:rsid w:val="00E90675"/>
    <w:rsid w:val="00E90B2E"/>
    <w:rsid w:val="00E91A01"/>
    <w:rsid w:val="00E92DF7"/>
    <w:rsid w:val="00EA1966"/>
    <w:rsid w:val="00EA583A"/>
    <w:rsid w:val="00EA762A"/>
    <w:rsid w:val="00EB1B9C"/>
    <w:rsid w:val="00EB3153"/>
    <w:rsid w:val="00EB3BEB"/>
    <w:rsid w:val="00EB4E80"/>
    <w:rsid w:val="00EB7E90"/>
    <w:rsid w:val="00EC1087"/>
    <w:rsid w:val="00EC15C6"/>
    <w:rsid w:val="00ED25B1"/>
    <w:rsid w:val="00ED4E99"/>
    <w:rsid w:val="00EE07F9"/>
    <w:rsid w:val="00EE2759"/>
    <w:rsid w:val="00F01385"/>
    <w:rsid w:val="00F01551"/>
    <w:rsid w:val="00F04BAB"/>
    <w:rsid w:val="00F05241"/>
    <w:rsid w:val="00F21804"/>
    <w:rsid w:val="00F25465"/>
    <w:rsid w:val="00F31EC4"/>
    <w:rsid w:val="00F320C8"/>
    <w:rsid w:val="00F42C93"/>
    <w:rsid w:val="00F43FF7"/>
    <w:rsid w:val="00F44241"/>
    <w:rsid w:val="00F44D68"/>
    <w:rsid w:val="00F44DEC"/>
    <w:rsid w:val="00F45AD1"/>
    <w:rsid w:val="00F51D02"/>
    <w:rsid w:val="00F545CB"/>
    <w:rsid w:val="00F62A73"/>
    <w:rsid w:val="00F7048F"/>
    <w:rsid w:val="00F70901"/>
    <w:rsid w:val="00F72A41"/>
    <w:rsid w:val="00F7717C"/>
    <w:rsid w:val="00F77B46"/>
    <w:rsid w:val="00F839C6"/>
    <w:rsid w:val="00F83E3D"/>
    <w:rsid w:val="00F85885"/>
    <w:rsid w:val="00F86C93"/>
    <w:rsid w:val="00F87818"/>
    <w:rsid w:val="00F90AD5"/>
    <w:rsid w:val="00F93726"/>
    <w:rsid w:val="00F94D08"/>
    <w:rsid w:val="00F96679"/>
    <w:rsid w:val="00F96C7C"/>
    <w:rsid w:val="00FA0F4C"/>
    <w:rsid w:val="00FA1687"/>
    <w:rsid w:val="00FA4671"/>
    <w:rsid w:val="00FA55BB"/>
    <w:rsid w:val="00FA5B68"/>
    <w:rsid w:val="00FA675F"/>
    <w:rsid w:val="00FA6AF0"/>
    <w:rsid w:val="00FB20FC"/>
    <w:rsid w:val="00FB4E86"/>
    <w:rsid w:val="00FC0ACB"/>
    <w:rsid w:val="00FC25F9"/>
    <w:rsid w:val="00FC3115"/>
    <w:rsid w:val="00FC4A0D"/>
    <w:rsid w:val="00FC754A"/>
    <w:rsid w:val="00FD40A5"/>
    <w:rsid w:val="00FD514A"/>
    <w:rsid w:val="00FE3B94"/>
    <w:rsid w:val="00FE3FE8"/>
    <w:rsid w:val="00FE4D46"/>
    <w:rsid w:val="00FE5B62"/>
    <w:rsid w:val="00FE5D4C"/>
    <w:rsid w:val="00FF5CFF"/>
    <w:rsid w:val="00FF60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36797F-5EAA-4E45-B55D-63D754C3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1">
    <w:name w:val="heading 1"/>
    <w:basedOn w:val="a"/>
    <w:next w:val="a"/>
    <w:link w:val="10"/>
    <w:qFormat/>
    <w:rsid w:val="00A11A82"/>
    <w:pPr>
      <w:keepNext/>
      <w:spacing w:line="380" w:lineRule="exact"/>
      <w:jc w:val="thaiDistribute"/>
      <w:outlineLvl w:val="0"/>
    </w:pPr>
    <w:rPr>
      <w:rFonts w:ascii="Angsana New" w:hAnsi="Angsana New"/>
      <w:sz w:val="32"/>
      <w:szCs w:val="32"/>
    </w:rPr>
  </w:style>
  <w:style w:type="paragraph" w:styleId="2">
    <w:name w:val="heading 2"/>
    <w:basedOn w:val="a"/>
    <w:next w:val="a"/>
    <w:link w:val="20"/>
    <w:qFormat/>
    <w:rsid w:val="00A11A82"/>
    <w:pPr>
      <w:keepNext/>
      <w:spacing w:line="380" w:lineRule="exact"/>
      <w:jc w:val="center"/>
      <w:outlineLvl w:val="1"/>
    </w:pPr>
    <w:rPr>
      <w:rFonts w:ascii="Angsana New" w:hAnsi="Angsana New"/>
      <w:sz w:val="32"/>
      <w:szCs w:val="32"/>
    </w:rPr>
  </w:style>
  <w:style w:type="paragraph" w:styleId="6">
    <w:name w:val="heading 6"/>
    <w:basedOn w:val="a"/>
    <w:next w:val="a"/>
    <w:link w:val="60"/>
    <w:qFormat/>
    <w:rsid w:val="00A11A82"/>
    <w:pPr>
      <w:keepNext/>
      <w:spacing w:line="380" w:lineRule="exact"/>
      <w:jc w:val="both"/>
      <w:outlineLvl w:val="5"/>
    </w:pPr>
    <w:rPr>
      <w:rFonts w:ascii="Angsana New" w:hAnsi="Angsana New"/>
      <w:sz w:val="32"/>
      <w:szCs w:val="32"/>
      <w:u w:val="single"/>
    </w:rPr>
  </w:style>
  <w:style w:type="paragraph" w:styleId="7">
    <w:name w:val="heading 7"/>
    <w:basedOn w:val="a"/>
    <w:next w:val="a"/>
    <w:link w:val="70"/>
    <w:semiHidden/>
    <w:unhideWhenUsed/>
    <w:qFormat/>
    <w:rsid w:val="00A11A82"/>
    <w:pPr>
      <w:spacing w:before="240" w:after="60"/>
      <w:outlineLvl w:val="6"/>
    </w:pPr>
    <w:rPr>
      <w:rFonts w:ascii="Calibri" w:hAnsi="Calibri" w:cs="Cordia New"/>
      <w:szCs w:val="30"/>
    </w:rPr>
  </w:style>
  <w:style w:type="paragraph" w:styleId="8">
    <w:name w:val="heading 8"/>
    <w:basedOn w:val="a"/>
    <w:next w:val="a"/>
    <w:link w:val="80"/>
    <w:qFormat/>
    <w:rsid w:val="00A11A82"/>
    <w:pPr>
      <w:keepNext/>
      <w:spacing w:line="340" w:lineRule="exact"/>
      <w:jc w:val="center"/>
      <w:outlineLvl w:val="7"/>
    </w:pPr>
    <w:rPr>
      <w:rFonts w:ascii="Angsana New" w:hAnsi="Angsana New"/>
      <w:sz w:val="32"/>
      <w:szCs w:val="32"/>
      <w:u w:val="single"/>
    </w:rPr>
  </w:style>
  <w:style w:type="paragraph" w:styleId="9">
    <w:name w:val="heading 9"/>
    <w:basedOn w:val="a"/>
    <w:next w:val="a"/>
    <w:link w:val="90"/>
    <w:semiHidden/>
    <w:unhideWhenUsed/>
    <w:qFormat/>
    <w:rsid w:val="00A11A82"/>
    <w:p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1A82"/>
    <w:rPr>
      <w:rFonts w:ascii="Angsana New" w:eastAsia="Times New Roman" w:hAnsi="Angsana New" w:cs="Angsana New"/>
      <w:sz w:val="32"/>
      <w:szCs w:val="32"/>
    </w:rPr>
  </w:style>
  <w:style w:type="character" w:customStyle="1" w:styleId="20">
    <w:name w:val="หัวเรื่อง 2 อักขระ"/>
    <w:basedOn w:val="a0"/>
    <w:link w:val="2"/>
    <w:rsid w:val="00A11A82"/>
    <w:rPr>
      <w:rFonts w:ascii="Angsana New" w:eastAsia="Times New Roman" w:hAnsi="Angsana New" w:cs="Angsana New"/>
      <w:sz w:val="32"/>
      <w:szCs w:val="32"/>
    </w:rPr>
  </w:style>
  <w:style w:type="character" w:customStyle="1" w:styleId="60">
    <w:name w:val="หัวเรื่อง 6 อักขระ"/>
    <w:basedOn w:val="a0"/>
    <w:link w:val="6"/>
    <w:rsid w:val="00A11A82"/>
    <w:rPr>
      <w:rFonts w:ascii="Angsana New" w:eastAsia="Times New Roman" w:hAnsi="Angsana New" w:cs="Angsana New"/>
      <w:sz w:val="32"/>
      <w:szCs w:val="32"/>
      <w:u w:val="single"/>
    </w:rPr>
  </w:style>
  <w:style w:type="character" w:customStyle="1" w:styleId="70">
    <w:name w:val="หัวเรื่อง 7 อักขระ"/>
    <w:basedOn w:val="a0"/>
    <w:link w:val="7"/>
    <w:semiHidden/>
    <w:rsid w:val="00A11A82"/>
    <w:rPr>
      <w:rFonts w:ascii="Calibri" w:eastAsia="Times New Roman" w:hAnsi="Calibri" w:cs="Cordia New"/>
      <w:sz w:val="24"/>
      <w:szCs w:val="30"/>
    </w:rPr>
  </w:style>
  <w:style w:type="character" w:customStyle="1" w:styleId="80">
    <w:name w:val="หัวเรื่อง 8 อักขระ"/>
    <w:basedOn w:val="a0"/>
    <w:link w:val="8"/>
    <w:rsid w:val="00A11A82"/>
    <w:rPr>
      <w:rFonts w:ascii="Angsana New" w:eastAsia="Times New Roman" w:hAnsi="Angsana New" w:cs="Angsana New"/>
      <w:sz w:val="32"/>
      <w:szCs w:val="32"/>
      <w:u w:val="single"/>
    </w:rPr>
  </w:style>
  <w:style w:type="character" w:customStyle="1" w:styleId="90">
    <w:name w:val="หัวเรื่อง 9 อักขระ"/>
    <w:basedOn w:val="a0"/>
    <w:link w:val="9"/>
    <w:semiHidden/>
    <w:rsid w:val="00A11A82"/>
    <w:rPr>
      <w:rFonts w:ascii="Cambria" w:eastAsia="Times New Roman" w:hAnsi="Cambria" w:cs="Angsana New"/>
    </w:rPr>
  </w:style>
  <w:style w:type="paragraph" w:customStyle="1" w:styleId="Char">
    <w:name w:val="Char"/>
    <w:basedOn w:val="a"/>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a3">
    <w:name w:val="header"/>
    <w:basedOn w:val="a"/>
    <w:link w:val="a4"/>
    <w:uiPriority w:val="99"/>
    <w:rsid w:val="00A11A82"/>
    <w:pPr>
      <w:tabs>
        <w:tab w:val="center" w:pos="4153"/>
        <w:tab w:val="right" w:pos="8306"/>
      </w:tabs>
    </w:pPr>
  </w:style>
  <w:style w:type="character" w:customStyle="1" w:styleId="a4">
    <w:name w:val="หัวกระดาษ อักขระ"/>
    <w:basedOn w:val="a0"/>
    <w:link w:val="a3"/>
    <w:uiPriority w:val="99"/>
    <w:rsid w:val="00A11A82"/>
    <w:rPr>
      <w:rFonts w:ascii="Times New Roman" w:eastAsia="Times New Roman" w:hAnsi="Times New Roman" w:cs="Angsana New"/>
      <w:sz w:val="24"/>
    </w:rPr>
  </w:style>
  <w:style w:type="paragraph" w:styleId="a5">
    <w:name w:val="footer"/>
    <w:basedOn w:val="a"/>
    <w:link w:val="a6"/>
    <w:uiPriority w:val="99"/>
    <w:rsid w:val="00A11A82"/>
    <w:pPr>
      <w:tabs>
        <w:tab w:val="center" w:pos="4153"/>
        <w:tab w:val="right" w:pos="8306"/>
      </w:tabs>
    </w:pPr>
  </w:style>
  <w:style w:type="character" w:customStyle="1" w:styleId="a6">
    <w:name w:val="ท้ายกระดาษ อักขระ"/>
    <w:basedOn w:val="a0"/>
    <w:link w:val="a5"/>
    <w:uiPriority w:val="99"/>
    <w:rsid w:val="00A11A82"/>
    <w:rPr>
      <w:rFonts w:ascii="Times New Roman" w:eastAsia="Times New Roman" w:hAnsi="Times New Roman" w:cs="Angsana New"/>
      <w:sz w:val="24"/>
    </w:rPr>
  </w:style>
  <w:style w:type="character" w:styleId="a7">
    <w:name w:val="page number"/>
    <w:basedOn w:val="a0"/>
    <w:rsid w:val="00A11A82"/>
  </w:style>
  <w:style w:type="paragraph" w:styleId="21">
    <w:name w:val="Body Text Indent 2"/>
    <w:basedOn w:val="a"/>
    <w:link w:val="22"/>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22">
    <w:name w:val="การเยื้องเนื้อความ 2 อักขระ"/>
    <w:basedOn w:val="a0"/>
    <w:link w:val="21"/>
    <w:rsid w:val="00A11A82"/>
    <w:rPr>
      <w:rFonts w:ascii="Angsana New" w:eastAsia="Times New Roman" w:hAnsi="Angsana New" w:cs="Angsana New"/>
      <w:sz w:val="32"/>
      <w:szCs w:val="32"/>
    </w:rPr>
  </w:style>
  <w:style w:type="paragraph" w:styleId="23">
    <w:name w:val="Body Text 2"/>
    <w:basedOn w:val="a"/>
    <w:link w:val="24"/>
    <w:rsid w:val="00A11A82"/>
    <w:pPr>
      <w:jc w:val="thaiDistribute"/>
    </w:pPr>
    <w:rPr>
      <w:rFonts w:ascii="Angsana New" w:hAnsi="Angsana New"/>
      <w:sz w:val="32"/>
      <w:szCs w:val="32"/>
    </w:rPr>
  </w:style>
  <w:style w:type="character" w:customStyle="1" w:styleId="24">
    <w:name w:val="เนื้อความ 2 อักขระ"/>
    <w:basedOn w:val="a0"/>
    <w:link w:val="23"/>
    <w:rsid w:val="00A11A82"/>
    <w:rPr>
      <w:rFonts w:ascii="Angsana New" w:eastAsia="Times New Roman" w:hAnsi="Angsana New" w:cs="Angsana New"/>
      <w:sz w:val="32"/>
      <w:szCs w:val="32"/>
    </w:rPr>
  </w:style>
  <w:style w:type="paragraph" w:styleId="a8">
    <w:name w:val="Title"/>
    <w:basedOn w:val="a"/>
    <w:link w:val="a9"/>
    <w:qFormat/>
    <w:rsid w:val="00A11A82"/>
    <w:pPr>
      <w:spacing w:before="240" w:after="60"/>
      <w:jc w:val="center"/>
    </w:pPr>
    <w:rPr>
      <w:rFonts w:cs="AngsanaUPC"/>
      <w:b/>
      <w:bCs/>
      <w:kern w:val="28"/>
      <w:sz w:val="32"/>
      <w:szCs w:val="32"/>
    </w:rPr>
  </w:style>
  <w:style w:type="character" w:customStyle="1" w:styleId="a9">
    <w:name w:val="ชื่อเรื่อง อักขระ"/>
    <w:basedOn w:val="a0"/>
    <w:link w:val="a8"/>
    <w:rsid w:val="00A11A82"/>
    <w:rPr>
      <w:rFonts w:ascii="Times New Roman" w:eastAsia="Times New Roman" w:hAnsi="Times New Roman" w:cs="AngsanaUPC"/>
      <w:b/>
      <w:bCs/>
      <w:kern w:val="28"/>
      <w:sz w:val="32"/>
      <w:szCs w:val="32"/>
    </w:rPr>
  </w:style>
  <w:style w:type="paragraph" w:styleId="aa">
    <w:name w:val="Subtitle"/>
    <w:basedOn w:val="a"/>
    <w:link w:val="ab"/>
    <w:qFormat/>
    <w:rsid w:val="00A11A82"/>
    <w:pPr>
      <w:spacing w:after="60"/>
      <w:jc w:val="center"/>
    </w:pPr>
    <w:rPr>
      <w:rFonts w:cs="AngsanaUPC"/>
      <w:szCs w:val="24"/>
    </w:rPr>
  </w:style>
  <w:style w:type="character" w:customStyle="1" w:styleId="ab">
    <w:name w:val="ชื่อเรื่องรอง อักขระ"/>
    <w:basedOn w:val="a0"/>
    <w:link w:val="aa"/>
    <w:rsid w:val="00A11A82"/>
    <w:rPr>
      <w:rFonts w:ascii="Times New Roman" w:eastAsia="Times New Roman" w:hAnsi="Times New Roman" w:cs="AngsanaUPC"/>
      <w:sz w:val="24"/>
      <w:szCs w:val="24"/>
    </w:rPr>
  </w:style>
  <w:style w:type="table" w:styleId="ac">
    <w:name w:val="Table Grid"/>
    <w:basedOn w:val="a1"/>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next w:val="a"/>
    <w:autoRedefine/>
    <w:semiHidden/>
    <w:unhideWhenUsed/>
    <w:rsid w:val="00A11A82"/>
    <w:pPr>
      <w:ind w:left="240" w:hanging="240"/>
    </w:pPr>
  </w:style>
  <w:style w:type="paragraph" w:styleId="ad">
    <w:name w:val="index heading"/>
    <w:basedOn w:val="a"/>
    <w:next w:val="11"/>
    <w:semiHidden/>
    <w:rsid w:val="00A11A82"/>
    <w:pPr>
      <w:overflowPunct/>
      <w:autoSpaceDE/>
      <w:autoSpaceDN/>
      <w:adjustRightInd/>
      <w:jc w:val="both"/>
      <w:textAlignment w:val="auto"/>
    </w:pPr>
    <w:rPr>
      <w:rFonts w:eastAsia="Cordia New" w:cs="Monotype Sorts"/>
      <w:b/>
      <w:bCs/>
      <w:szCs w:val="24"/>
    </w:rPr>
  </w:style>
  <w:style w:type="paragraph" w:customStyle="1" w:styleId="ae">
    <w:name w:val="อักขระ อักขระ"/>
    <w:basedOn w:val="a"/>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af">
    <w:name w:val="Balloon Text"/>
    <w:basedOn w:val="a"/>
    <w:link w:val="af0"/>
    <w:semiHidden/>
    <w:rsid w:val="00A11A82"/>
    <w:rPr>
      <w:rFonts w:ascii="Tahoma" w:hAnsi="Tahoma" w:cs="Tahoma"/>
      <w:sz w:val="16"/>
      <w:szCs w:val="16"/>
    </w:rPr>
  </w:style>
  <w:style w:type="character" w:customStyle="1" w:styleId="af0">
    <w:name w:val="ข้อความบอลลูน อักขระ"/>
    <w:basedOn w:val="a0"/>
    <w:link w:val="af"/>
    <w:semiHidden/>
    <w:rsid w:val="00A11A82"/>
    <w:rPr>
      <w:rFonts w:ascii="Tahoma" w:eastAsia="Times New Roman" w:hAnsi="Tahoma" w:cs="Tahoma"/>
      <w:sz w:val="16"/>
      <w:szCs w:val="16"/>
    </w:rPr>
  </w:style>
  <w:style w:type="paragraph" w:customStyle="1" w:styleId="12">
    <w:name w:val="อักขระ อักขระ1"/>
    <w:basedOn w:val="a"/>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3">
    <w:name w:val="Body Text Indent 3"/>
    <w:basedOn w:val="a"/>
    <w:link w:val="30"/>
    <w:uiPriority w:val="99"/>
    <w:unhideWhenUsed/>
    <w:rsid w:val="00963D0E"/>
    <w:pPr>
      <w:spacing w:after="120"/>
      <w:ind w:left="360"/>
    </w:pPr>
    <w:rPr>
      <w:sz w:val="16"/>
      <w:szCs w:val="20"/>
    </w:rPr>
  </w:style>
  <w:style w:type="character" w:customStyle="1" w:styleId="30">
    <w:name w:val="การเยื้องเนื้อความ 3 อักขระ"/>
    <w:basedOn w:val="a0"/>
    <w:link w:val="3"/>
    <w:uiPriority w:val="99"/>
    <w:rsid w:val="00963D0E"/>
    <w:rPr>
      <w:rFonts w:ascii="Times New Roman" w:eastAsia="Times New Roman" w:hAnsi="Times New Roman" w:cs="Angsana New"/>
      <w:sz w:val="16"/>
      <w:szCs w:val="20"/>
    </w:rPr>
  </w:style>
  <w:style w:type="paragraph" w:styleId="af1">
    <w:name w:val="List Paragraph"/>
    <w:basedOn w:val="a"/>
    <w:uiPriority w:val="34"/>
    <w:qFormat/>
    <w:rsid w:val="009D634A"/>
    <w:pPr>
      <w:ind w:left="720"/>
      <w:contextualSpacing/>
    </w:pPr>
  </w:style>
  <w:style w:type="paragraph" w:customStyle="1" w:styleId="ps-000-normal">
    <w:name w:val="ps-000-normal"/>
    <w:basedOn w:val="a"/>
    <w:rsid w:val="0083040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6D929-20AE-46E1-B71C-A4BF6F382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1400</Words>
  <Characters>7985</Characters>
  <Application>Microsoft Office Word</Application>
  <DocSecurity>0</DocSecurity>
  <Lines>66</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admin</cp:lastModifiedBy>
  <cp:revision>2</cp:revision>
  <cp:lastPrinted>2017-05-15T12:28:00Z</cp:lastPrinted>
  <dcterms:created xsi:type="dcterms:W3CDTF">2017-05-15T13:31:00Z</dcterms:created>
  <dcterms:modified xsi:type="dcterms:W3CDTF">2017-05-15T13:31:00Z</dcterms:modified>
</cp:coreProperties>
</file>