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78" w:type="dxa"/>
        <w:tblLook w:val="01E0"/>
      </w:tblPr>
      <w:tblGrid>
        <w:gridCol w:w="2718"/>
        <w:gridCol w:w="6960"/>
      </w:tblGrid>
      <w:tr w:rsidR="000F6808" w:rsidRPr="00CF22FC" w:rsidTr="00C64891">
        <w:trPr>
          <w:trHeight w:val="2865"/>
        </w:trPr>
        <w:tc>
          <w:tcPr>
            <w:tcW w:w="2718" w:type="dxa"/>
          </w:tcPr>
          <w:p w:rsidR="000F6808" w:rsidRPr="00BD0977" w:rsidRDefault="000F6808" w:rsidP="00C64891">
            <w:pPr>
              <w:rPr>
                <w:rFonts w:ascii="Angsana New" w:hAnsi="Angsana New"/>
                <w:sz w:val="36"/>
                <w:szCs w:val="36"/>
              </w:rPr>
            </w:pPr>
          </w:p>
        </w:tc>
        <w:tc>
          <w:tcPr>
            <w:tcW w:w="6960" w:type="dxa"/>
            <w:vAlign w:val="center"/>
          </w:tcPr>
          <w:p w:rsidR="000F6808" w:rsidRPr="00CF22FC" w:rsidRDefault="000F6808" w:rsidP="00A1040D">
            <w:pPr>
              <w:tabs>
                <w:tab w:val="left" w:pos="5472"/>
              </w:tabs>
              <w:spacing w:line="380" w:lineRule="exact"/>
              <w:ind w:right="-43"/>
              <w:rPr>
                <w:rFonts w:hAnsi="Times New Roman"/>
                <w:color w:val="7F7E82"/>
                <w:sz w:val="26"/>
                <w:szCs w:val="26"/>
              </w:rPr>
            </w:pPr>
            <w:r w:rsidRPr="00CF22FC">
              <w:rPr>
                <w:rFonts w:hAnsi="Times New Roman"/>
                <w:color w:val="7F7E82"/>
                <w:sz w:val="26"/>
                <w:szCs w:val="26"/>
              </w:rPr>
              <w:t xml:space="preserve">AIRA Factoring Public Company Limited </w:t>
            </w:r>
          </w:p>
          <w:p w:rsidR="000F6808" w:rsidRPr="00CF22FC" w:rsidRDefault="000F6808" w:rsidP="00C64891">
            <w:pPr>
              <w:tabs>
                <w:tab w:val="left" w:pos="5472"/>
              </w:tabs>
              <w:spacing w:line="380" w:lineRule="exact"/>
              <w:ind w:left="-14" w:right="-43"/>
              <w:rPr>
                <w:rFonts w:hAnsi="Times New Roman"/>
                <w:color w:val="7F7E82"/>
                <w:sz w:val="26"/>
                <w:szCs w:val="26"/>
              </w:rPr>
            </w:pPr>
            <w:r w:rsidRPr="00CF22FC">
              <w:rPr>
                <w:rFonts w:hAnsi="Times New Roman"/>
                <w:color w:val="7F7E82"/>
                <w:sz w:val="26"/>
                <w:szCs w:val="26"/>
              </w:rPr>
              <w:t>Re</w:t>
            </w:r>
            <w:r w:rsidR="00462744" w:rsidRPr="00CF22FC">
              <w:rPr>
                <w:rFonts w:hAnsi="Times New Roman"/>
                <w:color w:val="7F7E82"/>
                <w:sz w:val="26"/>
                <w:szCs w:val="26"/>
              </w:rPr>
              <w:t>port</w:t>
            </w:r>
            <w:r w:rsidRPr="00CF22FC">
              <w:rPr>
                <w:rFonts w:hAnsi="Times New Roman"/>
                <w:color w:val="7F7E82"/>
                <w:sz w:val="26"/>
                <w:szCs w:val="26"/>
              </w:rPr>
              <w:t xml:space="preserve"> and financial statements</w:t>
            </w:r>
          </w:p>
          <w:p w:rsidR="000F6808" w:rsidRPr="00CF22FC" w:rsidRDefault="000F6808" w:rsidP="00F11C3A">
            <w:pPr>
              <w:spacing w:line="380" w:lineRule="exact"/>
              <w:ind w:left="-14"/>
              <w:rPr>
                <w:rFonts w:hAnsi="Times New Roman"/>
                <w:color w:val="7F7E82"/>
                <w:sz w:val="26"/>
                <w:szCs w:val="26"/>
              </w:rPr>
            </w:pPr>
            <w:r w:rsidRPr="00CF22FC">
              <w:rPr>
                <w:rFonts w:hAnsi="Times New Roman"/>
                <w:color w:val="7F7E82"/>
                <w:sz w:val="26"/>
                <w:szCs w:val="26"/>
              </w:rPr>
              <w:t xml:space="preserve">31 December </w:t>
            </w:r>
            <w:r w:rsidR="00485C2E">
              <w:rPr>
                <w:rFonts w:hAnsi="Times New Roman"/>
                <w:color w:val="7F7E82"/>
                <w:sz w:val="26"/>
                <w:szCs w:val="26"/>
              </w:rPr>
              <w:t>2017</w:t>
            </w:r>
          </w:p>
        </w:tc>
      </w:tr>
    </w:tbl>
    <w:p w:rsidR="000F6808" w:rsidRPr="00CF22FC" w:rsidRDefault="000F6808" w:rsidP="000F6808">
      <w:pPr>
        <w:sectPr w:rsidR="000F6808" w:rsidRPr="00CF22FC" w:rsidSect="00A31457">
          <w:footerReference w:type="even" r:id="rId7"/>
          <w:footerReference w:type="default" r:id="rId8"/>
          <w:pgSz w:w="11909" w:h="16834" w:code="9"/>
          <w:pgMar w:top="1728" w:right="1080" w:bottom="11520" w:left="360" w:header="720" w:footer="720" w:gutter="0"/>
          <w:cols w:space="720"/>
          <w:vAlign w:val="bottom"/>
          <w:titlePg/>
          <w:docGrid w:linePitch="360"/>
        </w:sectPr>
      </w:pPr>
    </w:p>
    <w:p w:rsidR="000F6808" w:rsidRPr="003A1121" w:rsidRDefault="000F6808" w:rsidP="003A1121">
      <w:pPr>
        <w:spacing w:line="380" w:lineRule="exact"/>
        <w:rPr>
          <w:rFonts w:ascii="Arial" w:hAnsi="Arial" w:cs="Arial"/>
          <w:b/>
          <w:bCs/>
          <w:sz w:val="22"/>
          <w:szCs w:val="22"/>
        </w:rPr>
      </w:pPr>
      <w:r w:rsidRPr="003A1121">
        <w:rPr>
          <w:rFonts w:ascii="Arial" w:hAnsi="Arial" w:cs="Arial"/>
          <w:b/>
          <w:bCs/>
          <w:sz w:val="22"/>
          <w:szCs w:val="22"/>
        </w:rPr>
        <w:lastRenderedPageBreak/>
        <w:t>Independent Auditor</w:t>
      </w:r>
      <w:r w:rsidR="004A328C" w:rsidRPr="003A1121">
        <w:rPr>
          <w:rFonts w:ascii="Arial" w:hAnsi="Arial" w:cs="Arial"/>
          <w:b/>
          <w:bCs/>
          <w:sz w:val="22"/>
          <w:szCs w:val="22"/>
        </w:rPr>
        <w:t>'s Report</w:t>
      </w:r>
    </w:p>
    <w:p w:rsidR="000F6808" w:rsidRPr="003A1121" w:rsidRDefault="000F6808" w:rsidP="003A1121">
      <w:pPr>
        <w:spacing w:line="380" w:lineRule="exact"/>
        <w:rPr>
          <w:rFonts w:ascii="Arial" w:hAnsi="Arial" w:cs="Arial"/>
          <w:sz w:val="22"/>
          <w:szCs w:val="22"/>
        </w:rPr>
      </w:pPr>
      <w:r w:rsidRPr="003A1121">
        <w:rPr>
          <w:rFonts w:ascii="Arial" w:hAnsi="Arial" w:cs="Arial"/>
          <w:sz w:val="22"/>
          <w:szCs w:val="22"/>
        </w:rPr>
        <w:t xml:space="preserve">To the Shareholders of AIRA Factoring Public Company Limited </w:t>
      </w:r>
    </w:p>
    <w:p w:rsidR="003A1121" w:rsidRPr="003A1121" w:rsidRDefault="003A1121" w:rsidP="003A1121">
      <w:pPr>
        <w:pStyle w:val="ps-000-normal"/>
        <w:spacing w:before="360" w:line="380" w:lineRule="exact"/>
        <w:rPr>
          <w:rFonts w:ascii="Arial" w:hAnsi="Arial" w:cs="Arial"/>
          <w:b/>
          <w:bCs/>
          <w:sz w:val="22"/>
          <w:szCs w:val="22"/>
        </w:rPr>
      </w:pPr>
      <w:r w:rsidRPr="003A1121">
        <w:rPr>
          <w:rFonts w:ascii="Arial" w:hAnsi="Arial" w:cs="Arial"/>
          <w:b/>
          <w:bCs/>
          <w:sz w:val="22"/>
          <w:szCs w:val="22"/>
        </w:rPr>
        <w:t>Opinion</w:t>
      </w:r>
    </w:p>
    <w:p w:rsidR="003A1121" w:rsidRPr="003A1121" w:rsidRDefault="003A1121" w:rsidP="003A1121">
      <w:pPr>
        <w:pStyle w:val="BodyText"/>
        <w:spacing w:before="120" w:after="120" w:line="380" w:lineRule="exact"/>
        <w:ind w:right="-43"/>
        <w:jc w:val="left"/>
        <w:rPr>
          <w:rFonts w:ascii="Arial" w:hAnsi="Arial" w:cs="Arial"/>
          <w:sz w:val="22"/>
          <w:szCs w:val="22"/>
        </w:rPr>
      </w:pPr>
      <w:r w:rsidRPr="003A1121">
        <w:rPr>
          <w:rFonts w:ascii="Arial" w:hAnsi="Arial" w:cs="Arial"/>
          <w:sz w:val="22"/>
          <w:szCs w:val="22"/>
        </w:rPr>
        <w:t>I have audited the accompanying financial statements of AIRA Factoring Public Company Limited</w:t>
      </w:r>
      <w:r w:rsidRPr="003A1121">
        <w:rPr>
          <w:rFonts w:ascii="Arial" w:hAnsi="Arial" w:cstheme="minorBidi" w:hint="cs"/>
          <w:sz w:val="22"/>
          <w:szCs w:val="22"/>
          <w:cs/>
        </w:rPr>
        <w:t xml:space="preserve"> </w:t>
      </w:r>
      <w:r w:rsidRPr="003A1121">
        <w:rPr>
          <w:rFonts w:ascii="Arial" w:hAnsi="Arial" w:cstheme="minorBidi"/>
          <w:sz w:val="22"/>
          <w:szCs w:val="22"/>
        </w:rPr>
        <w:t>(the Company)</w:t>
      </w:r>
      <w:r w:rsidRPr="003A1121">
        <w:rPr>
          <w:rFonts w:ascii="Arial" w:hAnsi="Arial" w:cs="Arial"/>
          <w:sz w:val="22"/>
          <w:szCs w:val="22"/>
        </w:rPr>
        <w:t xml:space="preserve">, which comprise the </w:t>
      </w:r>
      <w:r w:rsidRPr="003A1121">
        <w:rPr>
          <w:rFonts w:ascii="Arial" w:hAnsi="Arial" w:cs="Arial"/>
          <w:spacing w:val="-3"/>
          <w:sz w:val="22"/>
          <w:szCs w:val="22"/>
        </w:rPr>
        <w:t>statement of financial position</w:t>
      </w:r>
      <w:r w:rsidRPr="003A1121">
        <w:rPr>
          <w:rFonts w:ascii="Arial" w:hAnsi="Arial" w:cs="Arial"/>
          <w:sz w:val="22"/>
          <w:szCs w:val="22"/>
        </w:rPr>
        <w:t xml:space="preserve"> as at 31 December </w:t>
      </w:r>
      <w:r w:rsidR="00485C2E">
        <w:rPr>
          <w:rFonts w:ascii="Arial" w:hAnsi="Arial" w:cs="Arial"/>
          <w:sz w:val="22"/>
          <w:szCs w:val="22"/>
        </w:rPr>
        <w:t>2017</w:t>
      </w:r>
      <w:r w:rsidRPr="003A1121">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rsidR="003A1121" w:rsidRPr="003A1121" w:rsidRDefault="003A1121" w:rsidP="003A1121">
      <w:pPr>
        <w:pStyle w:val="ps-000-normal"/>
        <w:spacing w:before="120" w:line="380" w:lineRule="exact"/>
        <w:rPr>
          <w:rFonts w:ascii="Arial" w:hAnsi="Arial" w:cs="Arial"/>
          <w:color w:val="auto"/>
          <w:sz w:val="22"/>
          <w:szCs w:val="22"/>
        </w:rPr>
      </w:pPr>
      <w:r w:rsidRPr="003A1121">
        <w:rPr>
          <w:rFonts w:ascii="Arial" w:hAnsi="Arial" w:cs="Arial"/>
          <w:color w:val="auto"/>
          <w:sz w:val="22"/>
          <w:szCs w:val="22"/>
        </w:rPr>
        <w:t xml:space="preserve">In my opinion, the financial statements referred to above present fairly, in all material respects, the financial position of </w:t>
      </w:r>
      <w:r w:rsidRPr="003A1121">
        <w:rPr>
          <w:rFonts w:ascii="Arial" w:hAnsi="Arial" w:cs="Arial"/>
          <w:sz w:val="22"/>
          <w:szCs w:val="22"/>
        </w:rPr>
        <w:t xml:space="preserve">AIRA Factoring </w:t>
      </w:r>
      <w:r w:rsidRPr="003A1121">
        <w:rPr>
          <w:rFonts w:ascii="Arial" w:hAnsi="Arial" w:cs="Arial"/>
          <w:color w:val="auto"/>
          <w:sz w:val="22"/>
          <w:szCs w:val="22"/>
        </w:rPr>
        <w:t xml:space="preserve">Public Company Limited as at 31 December </w:t>
      </w:r>
      <w:r w:rsidR="00485C2E">
        <w:rPr>
          <w:rFonts w:ascii="Arial" w:hAnsi="Arial" w:cs="Arial"/>
          <w:color w:val="auto"/>
          <w:sz w:val="22"/>
          <w:szCs w:val="22"/>
        </w:rPr>
        <w:t>2017</w:t>
      </w:r>
      <w:r w:rsidRPr="003A1121">
        <w:rPr>
          <w:rFonts w:ascii="Arial" w:hAnsi="Arial" w:cs="Arial"/>
          <w:color w:val="auto"/>
          <w:sz w:val="22"/>
          <w:szCs w:val="22"/>
        </w:rPr>
        <w:t>, its financial performance and cash flows for the year then ended in accordance with Thai Financial Reporting Standards.</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Basis for Opinion</w:t>
      </w:r>
    </w:p>
    <w:p w:rsid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I conducted my audit in accordance with Thai Standards on Auditing. My responsibilities under those standards are further described in the </w:t>
      </w:r>
      <w:r w:rsidRPr="003A1121">
        <w:rPr>
          <w:rFonts w:ascii="Arial" w:hAnsi="Arial" w:cs="Arial"/>
          <w:i/>
          <w:iCs/>
          <w:sz w:val="22"/>
          <w:szCs w:val="22"/>
        </w:rPr>
        <w:t>Auditor’s Responsibilities for the Audit of the Financial Statements</w:t>
      </w:r>
      <w:r w:rsidRPr="003A1121">
        <w:rPr>
          <w:rFonts w:ascii="Arial" w:hAnsi="Arial" w:cs="Arial"/>
          <w:sz w:val="22"/>
          <w:szCs w:val="22"/>
        </w:rPr>
        <w:t xml:space="preserve"> section of my report. I am independent of the Company in accordance with the Code of Ethics for Professional Accountants </w:t>
      </w:r>
      <w:r w:rsidRPr="003A1121">
        <w:rPr>
          <w:rFonts w:ascii="Arial" w:hAnsi="Arial" w:cstheme="minorBidi"/>
          <w:sz w:val="22"/>
          <w:szCs w:val="22"/>
        </w:rPr>
        <w:t xml:space="preserve">as issued by </w:t>
      </w:r>
      <w:r w:rsidRPr="003A1121">
        <w:rPr>
          <w:rFonts w:ascii="Arial" w:hAnsi="Arial" w:cs="Arial"/>
          <w:sz w:val="22"/>
          <w:szCs w:val="22"/>
        </w:rPr>
        <w:t xml:space="preserve">the Federation of Accounting Professions </w:t>
      </w:r>
      <w:r w:rsidR="00F376CF">
        <w:rPr>
          <w:rFonts w:ascii="Arial" w:hAnsi="Arial" w:cs="Arial"/>
          <w:sz w:val="22"/>
          <w:szCs w:val="22"/>
        </w:rPr>
        <w:t xml:space="preserve">as </w:t>
      </w:r>
      <w:r w:rsidRPr="003A1121">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rsidR="004774D2" w:rsidRPr="003A1121" w:rsidRDefault="004774D2" w:rsidP="004774D2">
      <w:pPr>
        <w:pStyle w:val="ps-000-normal"/>
        <w:spacing w:before="240" w:line="380" w:lineRule="exact"/>
        <w:rPr>
          <w:rFonts w:ascii="Arial" w:hAnsi="Arial" w:cs="Arial"/>
          <w:b/>
          <w:bCs/>
          <w:sz w:val="22"/>
          <w:szCs w:val="22"/>
        </w:rPr>
      </w:pPr>
      <w:r w:rsidRPr="003A1121">
        <w:rPr>
          <w:rFonts w:ascii="Arial" w:hAnsi="Arial" w:cs="Arial"/>
          <w:b/>
          <w:bCs/>
          <w:sz w:val="22"/>
          <w:szCs w:val="22"/>
        </w:rPr>
        <w:t>Key Audit Matters</w:t>
      </w:r>
    </w:p>
    <w:p w:rsidR="004774D2" w:rsidRPr="003A1121" w:rsidRDefault="004774D2" w:rsidP="004774D2">
      <w:pPr>
        <w:pStyle w:val="ps-000-normal"/>
        <w:spacing w:before="120" w:line="380" w:lineRule="exact"/>
        <w:rPr>
          <w:rFonts w:ascii="Arial" w:hAnsi="Arial" w:cs="Arial"/>
          <w:sz w:val="22"/>
          <w:szCs w:val="22"/>
        </w:rPr>
      </w:pPr>
      <w:r w:rsidRPr="003A112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4774D2" w:rsidRDefault="004774D2" w:rsidP="003A1121">
      <w:pPr>
        <w:pStyle w:val="ps-000-normal"/>
        <w:spacing w:before="120" w:line="380" w:lineRule="exact"/>
        <w:rPr>
          <w:rFonts w:ascii="Arial" w:hAnsi="Arial" w:cs="Arial"/>
          <w:sz w:val="22"/>
          <w:szCs w:val="22"/>
        </w:rPr>
      </w:pPr>
    </w:p>
    <w:p w:rsidR="004774D2" w:rsidRDefault="004774D2" w:rsidP="003A1121">
      <w:pPr>
        <w:pStyle w:val="ps-000-normal"/>
        <w:spacing w:before="120" w:line="380" w:lineRule="exact"/>
        <w:rPr>
          <w:rFonts w:ascii="Arial" w:hAnsi="Arial" w:cstheme="minorBidi"/>
          <w:sz w:val="22"/>
          <w:szCs w:val="22"/>
        </w:rPr>
      </w:pPr>
    </w:p>
    <w:p w:rsidR="00F376CF" w:rsidRPr="003A1121" w:rsidRDefault="00F376CF" w:rsidP="00F376CF">
      <w:pPr>
        <w:pStyle w:val="ps-000-normal"/>
        <w:spacing w:before="120" w:line="380" w:lineRule="exact"/>
        <w:rPr>
          <w:rFonts w:ascii="Arial" w:hAnsi="Arial" w:cs="Arial"/>
          <w:sz w:val="22"/>
          <w:szCs w:val="22"/>
        </w:rPr>
        <w:sectPr w:rsidR="00F376CF" w:rsidRPr="003A1121" w:rsidSect="003A1121">
          <w:footerReference w:type="first" r:id="rId9"/>
          <w:pgSz w:w="11909" w:h="16834" w:code="9"/>
          <w:pgMar w:top="3600" w:right="1080" w:bottom="1080" w:left="1296" w:header="706" w:footer="706" w:gutter="0"/>
          <w:pgNumType w:start="2"/>
          <w:cols w:space="720"/>
          <w:titlePg/>
          <w:docGrid w:linePitch="326"/>
        </w:sectPr>
      </w:pPr>
    </w:p>
    <w:p w:rsidR="001772F8"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lastRenderedPageBreak/>
        <w:t xml:space="preserve">I have fulfilled the responsibilities described in the </w:t>
      </w:r>
      <w:r w:rsidRPr="003A1121">
        <w:rPr>
          <w:rFonts w:ascii="Arial" w:hAnsi="Arial" w:cs="Arial"/>
          <w:i/>
          <w:iCs/>
          <w:sz w:val="22"/>
          <w:szCs w:val="22"/>
        </w:rPr>
        <w:t>Auditor’s Responsibilities for the</w:t>
      </w:r>
      <w:r w:rsidRPr="003A1121">
        <w:rPr>
          <w:rFonts w:ascii="Arial" w:hAnsi="Arial" w:cs="Arial"/>
          <w:sz w:val="22"/>
          <w:szCs w:val="22"/>
        </w:rPr>
        <w:t xml:space="preserve"> </w:t>
      </w:r>
      <w:r w:rsidRPr="003A1121">
        <w:rPr>
          <w:rFonts w:ascii="Arial" w:hAnsi="Arial" w:cs="Arial"/>
          <w:i/>
          <w:iCs/>
          <w:sz w:val="22"/>
          <w:szCs w:val="22"/>
        </w:rPr>
        <w:t>Audit of the Financial Statements</w:t>
      </w:r>
      <w:r w:rsidRPr="003A112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Pr="003A1121">
        <w:rPr>
          <w:rFonts w:ascii="Arial" w:hAnsi="Arial" w:cs="Arial"/>
          <w:i/>
          <w:iCs/>
          <w:color w:val="548DD4" w:themeColor="text2" w:themeTint="99"/>
          <w:sz w:val="22"/>
          <w:szCs w:val="22"/>
        </w:rPr>
        <w:t xml:space="preserve"> </w:t>
      </w:r>
    </w:p>
    <w:p w:rsidR="003A1121" w:rsidRPr="003A1121"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t>Key audit matters and how audit procedures respond for each matter are</w:t>
      </w:r>
      <w:r w:rsidRPr="003A1121">
        <w:rPr>
          <w:rFonts w:ascii="Arial" w:hAnsi="Arial" w:cstheme="minorBidi" w:hint="cs"/>
          <w:sz w:val="22"/>
          <w:szCs w:val="22"/>
          <w:cs/>
        </w:rPr>
        <w:t xml:space="preserve"> </w:t>
      </w:r>
      <w:r w:rsidRPr="003A1121">
        <w:rPr>
          <w:rFonts w:ascii="Arial" w:hAnsi="Arial" w:cs="Arial"/>
          <w:sz w:val="22"/>
          <w:szCs w:val="22"/>
        </w:rPr>
        <w:t>describe</w:t>
      </w:r>
      <w:r w:rsidRPr="003A1121">
        <w:rPr>
          <w:rFonts w:ascii="Arial" w:hAnsi="Arial" w:cs="Browallia New"/>
          <w:sz w:val="22"/>
          <w:szCs w:val="22"/>
        </w:rPr>
        <w:t>d</w:t>
      </w:r>
      <w:r w:rsidRPr="003A1121">
        <w:rPr>
          <w:rFonts w:ascii="Arial" w:hAnsi="Arial" w:cs="Arial"/>
          <w:sz w:val="22"/>
          <w:szCs w:val="22"/>
        </w:rPr>
        <w:t xml:space="preserve"> below.</w:t>
      </w:r>
    </w:p>
    <w:p w:rsidR="003A1121" w:rsidRPr="003A1121" w:rsidRDefault="003A1121" w:rsidP="003A1121">
      <w:pPr>
        <w:spacing w:before="240" w:after="120" w:line="380" w:lineRule="exact"/>
        <w:rPr>
          <w:rFonts w:ascii="Arial" w:hAnsi="Arial" w:cs="Arial"/>
          <w:b/>
          <w:bCs/>
          <w:i/>
          <w:iCs/>
          <w:color w:val="000000"/>
          <w:sz w:val="22"/>
          <w:szCs w:val="22"/>
        </w:rPr>
      </w:pPr>
      <w:r w:rsidRPr="003A1121">
        <w:rPr>
          <w:rFonts w:ascii="Arial" w:hAnsi="Arial" w:cs="Arial"/>
          <w:b/>
          <w:bCs/>
          <w:i/>
          <w:iCs/>
          <w:color w:val="000000"/>
          <w:sz w:val="22"/>
          <w:szCs w:val="22"/>
        </w:rPr>
        <w:t>Interest income from factoring</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 xml:space="preserve">The Company’s income mainly consisted of interest income from factoring, amounting to Baht </w:t>
      </w:r>
      <w:r w:rsidR="005746DD">
        <w:rPr>
          <w:rFonts w:ascii="Arial" w:hAnsi="Arial" w:cs="Arial"/>
          <w:color w:val="000000"/>
          <w:sz w:val="22"/>
          <w:szCs w:val="22"/>
        </w:rPr>
        <w:t>172</w:t>
      </w:r>
      <w:r w:rsidRPr="003A1121">
        <w:rPr>
          <w:rFonts w:ascii="Arial" w:hAnsi="Arial" w:cs="Arial"/>
          <w:color w:val="000000"/>
          <w:sz w:val="22"/>
          <w:szCs w:val="22"/>
        </w:rPr>
        <w:t xml:space="preserve"> million, which represented </w:t>
      </w:r>
      <w:r w:rsidR="005746DD">
        <w:rPr>
          <w:rFonts w:ascii="Arial" w:hAnsi="Arial" w:cs="Arial"/>
          <w:color w:val="000000"/>
          <w:sz w:val="22"/>
          <w:szCs w:val="22"/>
        </w:rPr>
        <w:t>78</w:t>
      </w:r>
      <w:r w:rsidRPr="003A1121">
        <w:rPr>
          <w:rFonts w:ascii="Arial" w:hAnsi="Arial" w:cs="Arial"/>
          <w:color w:val="000000"/>
          <w:sz w:val="22"/>
          <w:szCs w:val="22"/>
        </w:rPr>
        <w:t xml:space="preserve"> percent of the Company’s total revenue</w:t>
      </w:r>
      <w:r w:rsidR="001772F8">
        <w:rPr>
          <w:rFonts w:ascii="Arial" w:hAnsi="Arial" w:cs="Arial"/>
          <w:color w:val="000000"/>
          <w:sz w:val="22"/>
          <w:szCs w:val="22"/>
        </w:rPr>
        <w:t xml:space="preserve"> for the year </w:t>
      </w:r>
      <w:r w:rsidR="00485C2E">
        <w:rPr>
          <w:rFonts w:ascii="Arial" w:hAnsi="Arial" w:cs="Arial"/>
          <w:color w:val="000000"/>
          <w:sz w:val="22"/>
          <w:szCs w:val="22"/>
        </w:rPr>
        <w:t>2017</w:t>
      </w:r>
      <w:r w:rsidRPr="003A1121">
        <w:rPr>
          <w:rFonts w:ascii="Arial" w:hAnsi="Arial" w:cs="Arial"/>
          <w:color w:val="000000"/>
          <w:sz w:val="22"/>
          <w:szCs w:val="22"/>
        </w:rPr>
        <w:t xml:space="preserve">. Interest income from factoring is derived from transactions with a large number of customers and the factoring conditions may vary for each customer. In addition, interest income from factoring is recognised </w:t>
      </w:r>
      <w:r w:rsidRPr="003A1121">
        <w:rPr>
          <w:rFonts w:ascii="Arial" w:hAnsi="Arial" w:cs="Arial"/>
          <w:sz w:val="22"/>
          <w:szCs w:val="22"/>
        </w:rPr>
        <w:t>using the effective interest rate method, over the age of the debts being factored</w:t>
      </w:r>
      <w:r w:rsidRPr="003A1121">
        <w:rPr>
          <w:rFonts w:ascii="Arial" w:hAnsi="Arial" w:cs="Browallia New"/>
          <w:color w:val="000000"/>
          <w:sz w:val="22"/>
          <w:szCs w:val="22"/>
        </w:rPr>
        <w:t>.</w:t>
      </w:r>
      <w:r w:rsidRPr="003A1121">
        <w:rPr>
          <w:rFonts w:ascii="Arial" w:hAnsi="Arial" w:cs="Arial"/>
          <w:color w:val="000000"/>
          <w:sz w:val="22"/>
          <w:szCs w:val="22"/>
        </w:rPr>
        <w:t xml:space="preserve"> </w:t>
      </w:r>
      <w:r w:rsidR="00430829">
        <w:rPr>
          <w:rFonts w:ascii="Arial" w:hAnsi="Arial" w:cs="Arial"/>
          <w:color w:val="000000"/>
          <w:sz w:val="22"/>
          <w:szCs w:val="22"/>
        </w:rPr>
        <w:t xml:space="preserve">         </w:t>
      </w:r>
      <w:r w:rsidRPr="003A1121">
        <w:rPr>
          <w:rFonts w:ascii="Arial" w:hAnsi="Arial" w:cs="Arial"/>
          <w:color w:val="000000"/>
          <w:sz w:val="22"/>
          <w:szCs w:val="22"/>
        </w:rPr>
        <w:t>I therefore addressed the measurement and occurrence of interest income from factoring as a key audit matter.</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The audit procedures I performed were to assess and test, on a sampling basis, the Company’s internal controls and computer</w:t>
      </w:r>
      <w:r w:rsidR="000B596A">
        <w:rPr>
          <w:rFonts w:ascii="Arial" w:hAnsi="Arial" w:cs="Arial"/>
          <w:color w:val="000000"/>
          <w:sz w:val="22"/>
          <w:szCs w:val="22"/>
        </w:rPr>
        <w:t xml:space="preserve"> system</w:t>
      </w:r>
      <w:r w:rsidRPr="003A1121">
        <w:rPr>
          <w:rFonts w:ascii="Arial" w:hAnsi="Arial" w:cs="Arial"/>
          <w:color w:val="000000"/>
          <w:sz w:val="22"/>
          <w:szCs w:val="22"/>
        </w:rPr>
        <w:t xml:space="preserve"> relevant to recognition of interest income from factoring, test the calculation of such income, and, on a sampling basis, assess the correctness of the recognition of interest income from factoring that occurred before and after the end of the reporting period. I also examined, on a sampling basis, the supporting documents for the </w:t>
      </w:r>
      <w:r w:rsidR="001772F8">
        <w:rPr>
          <w:rFonts w:ascii="Arial" w:hAnsi="Arial" w:cs="Arial"/>
          <w:color w:val="000000"/>
          <w:sz w:val="22"/>
          <w:szCs w:val="22"/>
        </w:rPr>
        <w:t>factoring</w:t>
      </w:r>
      <w:r w:rsidRPr="003A1121">
        <w:rPr>
          <w:rFonts w:ascii="Arial" w:hAnsi="Arial" w:cs="Arial"/>
          <w:color w:val="000000"/>
          <w:sz w:val="22"/>
          <w:szCs w:val="22"/>
        </w:rPr>
        <w:t xml:space="preserve"> and related interest income occurring during the year, and evaluated the correctness of the accounting records. In addition, I performed analytical procedures on interest income from factoring in order to identify irregular transactions occurring during the reporting period. </w:t>
      </w:r>
    </w:p>
    <w:p w:rsidR="009F7973" w:rsidRDefault="009F7973">
      <w:pPr>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color w:val="000000"/>
          <w:sz w:val="22"/>
          <w:szCs w:val="22"/>
        </w:rPr>
        <w:br w:type="page"/>
      </w:r>
    </w:p>
    <w:p w:rsidR="003A1121" w:rsidRPr="003A1121" w:rsidRDefault="003A1121" w:rsidP="003A1121">
      <w:pPr>
        <w:spacing w:before="240" w:after="120" w:line="380" w:lineRule="exact"/>
        <w:rPr>
          <w:rFonts w:ascii="Arial" w:hAnsi="Arial" w:cs="Arial"/>
          <w:b/>
          <w:bCs/>
          <w:i/>
          <w:iCs/>
          <w:color w:val="000000"/>
          <w:sz w:val="22"/>
          <w:szCs w:val="22"/>
        </w:rPr>
      </w:pPr>
      <w:r w:rsidRPr="003A1121">
        <w:rPr>
          <w:rFonts w:ascii="Arial" w:hAnsi="Arial" w:cs="Arial"/>
          <w:b/>
          <w:bCs/>
          <w:i/>
          <w:iCs/>
          <w:color w:val="000000"/>
          <w:sz w:val="22"/>
          <w:szCs w:val="22"/>
        </w:rPr>
        <w:lastRenderedPageBreak/>
        <w:t>Allowance for doubtful accounts</w:t>
      </w:r>
      <w:r w:rsidRPr="003A1121">
        <w:rPr>
          <w:rFonts w:ascii="Arial" w:hAnsi="Arial" w:cs="Arial" w:hint="cs"/>
          <w:b/>
          <w:bCs/>
          <w:i/>
          <w:iCs/>
          <w:color w:val="000000"/>
          <w:sz w:val="22"/>
          <w:szCs w:val="22"/>
          <w:cs/>
        </w:rPr>
        <w:t xml:space="preserve"> </w:t>
      </w:r>
      <w:r w:rsidRPr="003A1121">
        <w:rPr>
          <w:rFonts w:ascii="Arial" w:hAnsi="Arial" w:cs="Arial"/>
          <w:b/>
          <w:bCs/>
          <w:i/>
          <w:iCs/>
          <w:color w:val="000000"/>
          <w:sz w:val="22"/>
          <w:szCs w:val="22"/>
        </w:rPr>
        <w:t>for factoring receivables and loans receivable</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 xml:space="preserve">As discussed in Note </w:t>
      </w:r>
      <w:r w:rsidRPr="003A1121">
        <w:rPr>
          <w:rFonts w:ascii="Arial" w:hAnsi="Arial"/>
          <w:color w:val="000000"/>
          <w:sz w:val="22"/>
          <w:szCs w:val="22"/>
        </w:rPr>
        <w:t>4.6</w:t>
      </w:r>
      <w:r w:rsidRPr="003A1121">
        <w:rPr>
          <w:rFonts w:ascii="Arial" w:hAnsi="Arial" w:cs="Arial"/>
          <w:color w:val="000000"/>
          <w:sz w:val="22"/>
          <w:szCs w:val="22"/>
        </w:rPr>
        <w:t xml:space="preserve"> to the financial statements, management is required to exercise considerable judg</w:t>
      </w:r>
      <w:r w:rsidR="00DA6148">
        <w:rPr>
          <w:rFonts w:ascii="Arial" w:hAnsi="Arial" w:cs="Arial"/>
          <w:color w:val="000000"/>
          <w:sz w:val="22"/>
          <w:szCs w:val="22"/>
        </w:rPr>
        <w:t>e</w:t>
      </w:r>
      <w:r w:rsidRPr="003A1121">
        <w:rPr>
          <w:rFonts w:ascii="Arial" w:hAnsi="Arial" w:cs="Arial"/>
          <w:color w:val="000000"/>
          <w:sz w:val="22"/>
          <w:szCs w:val="22"/>
        </w:rPr>
        <w:t xml:space="preserve">ment in determining the guidelines and policy to be used in calculating allowance for </w:t>
      </w:r>
      <w:r w:rsidR="001772F8">
        <w:rPr>
          <w:rFonts w:ascii="Arial" w:hAnsi="Arial" w:cs="Arial"/>
          <w:color w:val="000000"/>
          <w:sz w:val="22"/>
          <w:szCs w:val="22"/>
        </w:rPr>
        <w:t xml:space="preserve">doubtful accounts for </w:t>
      </w:r>
      <w:r w:rsidRPr="003A1121">
        <w:rPr>
          <w:rFonts w:ascii="Arial" w:hAnsi="Arial" w:cs="Arial"/>
          <w:color w:val="000000"/>
          <w:sz w:val="22"/>
          <w:szCs w:val="22"/>
        </w:rPr>
        <w:t xml:space="preserve">factoring receivables and loans receivable, and must comply with these guidelines and policy. In addition, the estimates allowances for doubtful accounts for factoring receivables and loans receivable are significant because the amounts of factoring receivables, loans receivable and related allowance for doubtful accounts are material to the finance statements. Therefore, I addressed the adequacy of the allowance for doubtful accounts for such receivables as a key audit matter. </w:t>
      </w:r>
    </w:p>
    <w:p w:rsidR="003A1121" w:rsidRPr="003A1121" w:rsidRDefault="003A1121" w:rsidP="003A1121">
      <w:pPr>
        <w:spacing w:before="120" w:after="120" w:line="380" w:lineRule="exact"/>
        <w:rPr>
          <w:rFonts w:ascii="Arial" w:hAnsi="Arial" w:cs="Arial"/>
          <w:b/>
          <w:bCs/>
          <w:i/>
          <w:iCs/>
          <w:color w:val="000000"/>
          <w:sz w:val="22"/>
          <w:szCs w:val="22"/>
        </w:rPr>
      </w:pPr>
      <w:r w:rsidRPr="003A1121">
        <w:rPr>
          <w:rFonts w:ascii="Arial" w:hAnsi="Arial" w:cs="Arial"/>
          <w:color w:val="000000"/>
          <w:sz w:val="22"/>
          <w:szCs w:val="22"/>
        </w:rPr>
        <w:t xml:space="preserve">I have performed audit procedures on the allowance for doubtful accounts </w:t>
      </w:r>
      <w:r w:rsidRPr="003A1121">
        <w:rPr>
          <w:rFonts w:ascii="Arial" w:hAnsi="Arial" w:cs="Browallia New"/>
          <w:color w:val="000000"/>
          <w:sz w:val="22"/>
          <w:szCs w:val="22"/>
        </w:rPr>
        <w:t>as follows:</w:t>
      </w:r>
    </w:p>
    <w:p w:rsidR="003A1121" w:rsidRPr="003A1121" w:rsidRDefault="003A1121" w:rsidP="003A1121">
      <w:pPr>
        <w:pStyle w:val="ListParagraph"/>
        <w:numPr>
          <w:ilvl w:val="0"/>
          <w:numId w:val="2"/>
        </w:numPr>
        <w:spacing w:before="120" w:after="120" w:line="380" w:lineRule="exact"/>
        <w:ind w:left="540" w:hanging="540"/>
        <w:contextualSpacing w:val="0"/>
        <w:rPr>
          <w:rFonts w:ascii="Arial" w:eastAsia="Times New Roman" w:hAnsi="Arial" w:cs="Arial"/>
          <w:color w:val="000000"/>
          <w:szCs w:val="22"/>
        </w:rPr>
      </w:pPr>
      <w:r w:rsidRPr="003A1121">
        <w:rPr>
          <w:rFonts w:ascii="Arial" w:eastAsia="Times New Roman" w:hAnsi="Arial" w:cs="Arial"/>
          <w:color w:val="000000"/>
          <w:szCs w:val="22"/>
        </w:rPr>
        <w:t xml:space="preserve">I assessed the Company’s internal controls relevant to the approval of credit limits, collection procedures, and the calculation and recording of allowance </w:t>
      </w:r>
      <w:r w:rsidR="00C408FC">
        <w:rPr>
          <w:rFonts w:ascii="Arial" w:eastAsia="Times New Roman" w:hAnsi="Arial" w:cs="Arial"/>
          <w:color w:val="000000"/>
          <w:szCs w:val="22"/>
        </w:rPr>
        <w:t xml:space="preserve">for doubtful accounts </w:t>
      </w:r>
      <w:r w:rsidRPr="003A1121">
        <w:rPr>
          <w:rFonts w:ascii="Arial" w:eastAsia="Times New Roman" w:hAnsi="Arial" w:cs="Arial"/>
          <w:color w:val="000000"/>
          <w:szCs w:val="22"/>
        </w:rPr>
        <w:t xml:space="preserve">for </w:t>
      </w:r>
      <w:r w:rsidRPr="003A1121">
        <w:rPr>
          <w:rFonts w:ascii="Arial" w:hAnsi="Arial" w:cs="Arial"/>
          <w:color w:val="000000"/>
          <w:szCs w:val="22"/>
        </w:rPr>
        <w:t>factoring receivables and loans receivable</w:t>
      </w:r>
      <w:r w:rsidRPr="003A1121">
        <w:rPr>
          <w:rFonts w:ascii="Arial" w:eastAsia="Times New Roman" w:hAnsi="Arial" w:cs="Arial"/>
          <w:color w:val="000000"/>
          <w:szCs w:val="22"/>
        </w:rPr>
        <w:t xml:space="preserve">. </w:t>
      </w:r>
    </w:p>
    <w:p w:rsidR="003A1121" w:rsidRPr="003A1121" w:rsidRDefault="003A1121" w:rsidP="003A1121">
      <w:pPr>
        <w:pStyle w:val="ListParagraph"/>
        <w:numPr>
          <w:ilvl w:val="0"/>
          <w:numId w:val="2"/>
        </w:numPr>
        <w:spacing w:before="120" w:after="120" w:line="380" w:lineRule="exact"/>
        <w:ind w:left="540" w:hanging="540"/>
        <w:contextualSpacing w:val="0"/>
        <w:rPr>
          <w:rFonts w:ascii="Arial" w:eastAsia="Times New Roman" w:hAnsi="Arial" w:cs="Arial"/>
          <w:color w:val="000000"/>
          <w:szCs w:val="22"/>
        </w:rPr>
      </w:pPr>
      <w:r w:rsidRPr="003A1121">
        <w:rPr>
          <w:rFonts w:ascii="Arial" w:eastAsia="Times New Roman" w:hAnsi="Arial" w:cs="Arial"/>
          <w:color w:val="000000"/>
          <w:szCs w:val="22"/>
        </w:rPr>
        <w:t>I assessed the methods and policy used in estimating and calculating</w:t>
      </w:r>
      <w:r w:rsidRPr="003A1121">
        <w:rPr>
          <w:rFonts w:ascii="Arial" w:hAnsi="Arial" w:cs="Arial"/>
          <w:color w:val="000000"/>
          <w:szCs w:val="22"/>
        </w:rPr>
        <w:t xml:space="preserve"> </w:t>
      </w:r>
      <w:r w:rsidRPr="003A1121">
        <w:rPr>
          <w:rFonts w:ascii="Arial" w:eastAsia="Times New Roman" w:hAnsi="Arial" w:cs="Arial"/>
          <w:color w:val="000000"/>
          <w:szCs w:val="22"/>
        </w:rPr>
        <w:t xml:space="preserve">allowance for doubtful accounts for </w:t>
      </w:r>
      <w:r w:rsidRPr="003A1121">
        <w:rPr>
          <w:rFonts w:ascii="Arial" w:hAnsi="Arial" w:cs="Arial"/>
          <w:color w:val="000000"/>
          <w:szCs w:val="22"/>
        </w:rPr>
        <w:t xml:space="preserve">factoring receivables and loans receivable. I also examined </w:t>
      </w:r>
      <w:r w:rsidRPr="003A1121">
        <w:rPr>
          <w:rFonts w:ascii="Arial" w:eastAsia="Times New Roman" w:hAnsi="Arial" w:cs="Arial"/>
          <w:color w:val="000000"/>
          <w:szCs w:val="22"/>
        </w:rPr>
        <w:t xml:space="preserve">the completeness of data used in the calculation of the allowance and the correctness of the calculation of debtor aging and allowance for doubtful accounts, and the accounting records.  </w:t>
      </w:r>
    </w:p>
    <w:p w:rsidR="003A1121" w:rsidRPr="003A1121" w:rsidRDefault="003A1121" w:rsidP="004774D2">
      <w:pPr>
        <w:pStyle w:val="ps-000-normal"/>
        <w:spacing w:before="120" w:line="380" w:lineRule="exact"/>
        <w:rPr>
          <w:rFonts w:ascii="Arial" w:hAnsi="Arial" w:cs="Arial"/>
          <w:b/>
          <w:bCs/>
          <w:sz w:val="22"/>
          <w:szCs w:val="22"/>
        </w:rPr>
      </w:pPr>
      <w:r w:rsidRPr="003A1121">
        <w:rPr>
          <w:rFonts w:ascii="Arial" w:hAnsi="Arial" w:cs="Arial"/>
          <w:b/>
          <w:bCs/>
          <w:sz w:val="22"/>
          <w:szCs w:val="22"/>
        </w:rPr>
        <w:t>Other Information</w:t>
      </w:r>
    </w:p>
    <w:p w:rsidR="003A1121" w:rsidRPr="003A1121" w:rsidRDefault="003A1121" w:rsidP="004774D2">
      <w:pPr>
        <w:pStyle w:val="ps-000-normal"/>
        <w:spacing w:before="120" w:line="380" w:lineRule="exact"/>
        <w:rPr>
          <w:rFonts w:ascii="Arial" w:hAnsi="Arial" w:cs="Arial"/>
          <w:sz w:val="22"/>
          <w:szCs w:val="22"/>
        </w:rPr>
      </w:pPr>
      <w:r w:rsidRPr="003A1121">
        <w:rPr>
          <w:rFonts w:ascii="Arial" w:hAnsi="Arial" w:cs="Arial"/>
          <w:sz w:val="22"/>
          <w:szCs w:val="22"/>
        </w:rPr>
        <w:t xml:space="preserve">Management is responsible for the other information. The other information comprise the information included in annual report of the Company, but does not include the financial statements and my auditor’s report thereon. </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My opinion on the financial statements does not cover the other information and I do not express any form of assurance conclusion thereon.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5746DD">
        <w:rPr>
          <w:rFonts w:ascii="Arial" w:hAnsi="Arial" w:cs="Arial"/>
          <w:sz w:val="22"/>
          <w:szCs w:val="22"/>
        </w:rPr>
        <w:t xml:space="preserve"> If, based on the work I have performed, I concluded that there is a material misstatement of this other information, I am required to report that fact. I have nothing to report in this regard.</w:t>
      </w:r>
    </w:p>
    <w:p w:rsidR="009F7973" w:rsidRDefault="009F7973">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lastRenderedPageBreak/>
        <w:t>Responsibilities of Management and Those Charged with Governance for the Financial Statements</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Management is responsible for the preparation and fair presentation of the financial statements in accordance with </w:t>
      </w:r>
      <w:r w:rsidRPr="003A1121">
        <w:rPr>
          <w:rFonts w:ascii="Arial" w:hAnsi="Arial" w:cs="Arial"/>
          <w:color w:val="auto"/>
          <w:sz w:val="22"/>
          <w:szCs w:val="22"/>
        </w:rPr>
        <w:t>Thai Financial Reporting Standards</w:t>
      </w:r>
      <w:r w:rsidRPr="003A112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Those charged with governance are responsible for overseeing the Company’s financial reporting process. </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Auditor’s Responsibilities for the Audit of the Financial Statements</w:t>
      </w:r>
    </w:p>
    <w:p w:rsidR="003A1121" w:rsidRPr="003A1121"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As part of an audit in accordance with Thai Standards on Auditing, I exercise professional judgement and maintain professional skepticism throughout the audit. I also:</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B47F6" w:rsidRDefault="005B47F6">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Evaluate the appropriateness of accounting policies used and the reasonableness of accounting estimates and related disclosures made by management.</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B47F6" w:rsidRDefault="005B47F6">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376CF" w:rsidRDefault="00F376CF" w:rsidP="00F376CF">
      <w:pPr>
        <w:pStyle w:val="ps-000-normal"/>
        <w:spacing w:before="120" w:line="380" w:lineRule="exact"/>
        <w:rPr>
          <w:rFonts w:ascii="Arial" w:hAnsi="Arial" w:cs="Browallia New"/>
          <w:sz w:val="22"/>
          <w:szCs w:val="28"/>
        </w:rPr>
      </w:pPr>
      <w:bookmarkStart w:id="0" w:name="_GoBack"/>
      <w:bookmarkEnd w:id="0"/>
      <w:r>
        <w:rPr>
          <w:rFonts w:ascii="Arial" w:hAnsi="Arial" w:cs="Browallia New"/>
          <w:sz w:val="22"/>
          <w:szCs w:val="28"/>
        </w:rPr>
        <w:t>I am responsible for the audit resulting in this independent auditor’s report.</w:t>
      </w:r>
    </w:p>
    <w:p w:rsidR="00885440" w:rsidRPr="00D92B67" w:rsidRDefault="00885440" w:rsidP="00F376CF">
      <w:pPr>
        <w:pStyle w:val="ps-000-normal"/>
        <w:spacing w:before="120" w:line="380" w:lineRule="exact"/>
        <w:rPr>
          <w:rFonts w:ascii="Arial" w:hAnsi="Arial" w:cs="Browallia New"/>
          <w:sz w:val="22"/>
          <w:szCs w:val="28"/>
        </w:rPr>
      </w:pPr>
    </w:p>
    <w:p w:rsidR="000F6808" w:rsidRPr="003A1121" w:rsidRDefault="00F376CF" w:rsidP="004774D2">
      <w:pPr>
        <w:tabs>
          <w:tab w:val="left" w:pos="720"/>
          <w:tab w:val="center" w:pos="6120"/>
        </w:tabs>
        <w:spacing w:before="960" w:line="380" w:lineRule="exact"/>
        <w:rPr>
          <w:rFonts w:ascii="Arial" w:hAnsi="Arial" w:cs="Arial"/>
          <w:sz w:val="22"/>
          <w:szCs w:val="22"/>
        </w:rPr>
      </w:pPr>
      <w:r>
        <w:rPr>
          <w:rFonts w:ascii="Arial" w:hAnsi="Arial"/>
          <w:sz w:val="22"/>
          <w:szCs w:val="22"/>
        </w:rPr>
        <w:t>Chayapol Suppasedtanon</w:t>
      </w:r>
    </w:p>
    <w:p w:rsidR="000F6808" w:rsidRPr="003A1121" w:rsidRDefault="000F6808" w:rsidP="003A1121">
      <w:pPr>
        <w:tabs>
          <w:tab w:val="left" w:pos="720"/>
          <w:tab w:val="center" w:pos="6120"/>
        </w:tabs>
        <w:spacing w:line="380" w:lineRule="exact"/>
        <w:rPr>
          <w:rFonts w:ascii="Arial" w:hAnsi="Arial" w:cs="Arial"/>
          <w:sz w:val="22"/>
          <w:szCs w:val="22"/>
        </w:rPr>
      </w:pPr>
      <w:r w:rsidRPr="003A1121">
        <w:rPr>
          <w:rFonts w:ascii="Arial" w:hAnsi="Arial" w:cs="Arial"/>
          <w:sz w:val="22"/>
          <w:szCs w:val="22"/>
        </w:rPr>
        <w:t xml:space="preserve">Certified Public Accountant (Thailand) No. </w:t>
      </w:r>
      <w:r w:rsidR="00F376CF">
        <w:rPr>
          <w:rFonts w:ascii="Arial" w:hAnsi="Arial" w:cs="Arial"/>
          <w:sz w:val="22"/>
          <w:szCs w:val="22"/>
        </w:rPr>
        <w:t>39</w:t>
      </w:r>
      <w:r w:rsidR="003A1121" w:rsidRPr="003A1121">
        <w:rPr>
          <w:rFonts w:ascii="Arial" w:hAnsi="Arial" w:cs="Arial"/>
          <w:sz w:val="22"/>
          <w:szCs w:val="22"/>
        </w:rPr>
        <w:t>72</w:t>
      </w:r>
    </w:p>
    <w:p w:rsidR="00186738" w:rsidRPr="003A1121" w:rsidRDefault="003B326E" w:rsidP="003A1121">
      <w:pPr>
        <w:tabs>
          <w:tab w:val="left" w:pos="720"/>
        </w:tabs>
        <w:spacing w:before="240" w:line="380" w:lineRule="exact"/>
        <w:rPr>
          <w:rFonts w:ascii="Arial" w:hAnsi="Arial" w:cs="Arial"/>
          <w:sz w:val="22"/>
          <w:szCs w:val="22"/>
        </w:rPr>
      </w:pPr>
      <w:r w:rsidRPr="003A1121">
        <w:rPr>
          <w:rFonts w:ascii="Arial" w:hAnsi="Arial" w:cs="Arial"/>
          <w:sz w:val="22"/>
          <w:szCs w:val="22"/>
        </w:rPr>
        <w:t>EY</w:t>
      </w:r>
      <w:r w:rsidR="000F6808" w:rsidRPr="003A1121">
        <w:rPr>
          <w:rFonts w:ascii="Arial" w:hAnsi="Arial" w:cs="Arial"/>
          <w:sz w:val="22"/>
          <w:szCs w:val="22"/>
        </w:rPr>
        <w:t xml:space="preserve"> Office Limited</w:t>
      </w:r>
    </w:p>
    <w:p w:rsidR="009B299D" w:rsidRPr="004774D2" w:rsidRDefault="000F6808" w:rsidP="004774D2">
      <w:pPr>
        <w:tabs>
          <w:tab w:val="left" w:pos="720"/>
        </w:tabs>
        <w:spacing w:line="380" w:lineRule="exact"/>
        <w:rPr>
          <w:rFonts w:ascii="Arial" w:hAnsi="Arial" w:cs="Arial"/>
          <w:sz w:val="22"/>
          <w:szCs w:val="22"/>
        </w:rPr>
      </w:pPr>
      <w:r w:rsidRPr="003A1121">
        <w:rPr>
          <w:rFonts w:ascii="Arial" w:hAnsi="Arial" w:cs="Arial"/>
          <w:sz w:val="22"/>
          <w:szCs w:val="22"/>
        </w:rPr>
        <w:t xml:space="preserve">Bangkok: </w:t>
      </w:r>
      <w:r w:rsidR="004774D2">
        <w:rPr>
          <w:rFonts w:ascii="Arial" w:hAnsi="Arial" w:cs="Arial"/>
          <w:sz w:val="22"/>
          <w:szCs w:val="22"/>
        </w:rPr>
        <w:t>23 February</w:t>
      </w:r>
      <w:r w:rsidR="00485C2E">
        <w:rPr>
          <w:rFonts w:ascii="Arial" w:hAnsi="Arial" w:cs="Arial"/>
          <w:sz w:val="22"/>
          <w:szCs w:val="22"/>
        </w:rPr>
        <w:t xml:space="preserve"> 2018</w:t>
      </w:r>
    </w:p>
    <w:sectPr w:rsidR="009B299D" w:rsidRPr="004774D2" w:rsidSect="003A1121">
      <w:footerReference w:type="first" r:id="rId10"/>
      <w:pgSz w:w="11909" w:h="16834" w:code="9"/>
      <w:pgMar w:top="2160" w:right="1080" w:bottom="1080" w:left="1296" w:header="706" w:footer="706" w:gutter="0"/>
      <w:pgNumType w:start="2"/>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E57" w:rsidRDefault="002B2E57" w:rsidP="009E4F44">
      <w:r>
        <w:separator/>
      </w:r>
    </w:p>
  </w:endnote>
  <w:endnote w:type="continuationSeparator" w:id="1">
    <w:p w:rsidR="002B2E57" w:rsidRDefault="002B2E57" w:rsidP="009E4F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CE" w:rsidRDefault="00920F8E" w:rsidP="0046758D">
    <w:pPr>
      <w:pStyle w:val="Footer"/>
      <w:framePr w:wrap="around" w:vAnchor="text" w:hAnchor="margin" w:xAlign="right" w:y="1"/>
      <w:rPr>
        <w:rStyle w:val="PageNumber"/>
      </w:rPr>
    </w:pPr>
    <w:r>
      <w:rPr>
        <w:rStyle w:val="PageNumber"/>
      </w:rPr>
      <w:fldChar w:fldCharType="begin"/>
    </w:r>
    <w:r w:rsidR="00A876CD">
      <w:rPr>
        <w:rStyle w:val="PageNumber"/>
      </w:rPr>
      <w:instrText xml:space="preserve">PAGE  </w:instrText>
    </w:r>
    <w:r>
      <w:rPr>
        <w:rStyle w:val="PageNumber"/>
      </w:rPr>
      <w:fldChar w:fldCharType="end"/>
    </w:r>
  </w:p>
  <w:p w:rsidR="00D146CE" w:rsidRDefault="002B2E57" w:rsidP="00BB36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CE" w:rsidRPr="00BB365E" w:rsidRDefault="00920F8E" w:rsidP="0046758D">
    <w:pPr>
      <w:pStyle w:val="Footer"/>
      <w:framePr w:wrap="around" w:vAnchor="text" w:hAnchor="margin" w:xAlign="right" w:y="1"/>
      <w:jc w:val="right"/>
      <w:rPr>
        <w:rStyle w:val="PageNumber"/>
        <w:rFonts w:ascii="Arial" w:hAnsi="Arial"/>
        <w:sz w:val="22"/>
        <w:szCs w:val="22"/>
      </w:rPr>
    </w:pPr>
    <w:r w:rsidRPr="00BB365E">
      <w:rPr>
        <w:rStyle w:val="PageNumber"/>
        <w:rFonts w:ascii="Arial" w:hAnsi="Arial"/>
        <w:sz w:val="22"/>
        <w:szCs w:val="22"/>
      </w:rPr>
      <w:fldChar w:fldCharType="begin"/>
    </w:r>
    <w:r w:rsidR="00A876CD" w:rsidRPr="00BB365E">
      <w:rPr>
        <w:rStyle w:val="PageNumber"/>
        <w:rFonts w:ascii="Arial" w:hAnsi="Arial"/>
        <w:sz w:val="22"/>
        <w:szCs w:val="22"/>
      </w:rPr>
      <w:instrText xml:space="preserve">PAGE  </w:instrText>
    </w:r>
    <w:r w:rsidRPr="00BB365E">
      <w:rPr>
        <w:rStyle w:val="PageNumber"/>
        <w:rFonts w:ascii="Arial" w:hAnsi="Arial"/>
        <w:sz w:val="22"/>
        <w:szCs w:val="22"/>
      </w:rPr>
      <w:fldChar w:fldCharType="separate"/>
    </w:r>
    <w:r w:rsidR="003D555A">
      <w:rPr>
        <w:rStyle w:val="PageNumber"/>
        <w:rFonts w:ascii="Arial" w:hAnsi="Arial"/>
        <w:noProof/>
        <w:sz w:val="22"/>
        <w:szCs w:val="22"/>
      </w:rPr>
      <w:t>3</w:t>
    </w:r>
    <w:r w:rsidRPr="00BB365E">
      <w:rPr>
        <w:rStyle w:val="PageNumber"/>
        <w:rFonts w:ascii="Arial" w:hAnsi="Arial"/>
        <w:sz w:val="22"/>
        <w:szCs w:val="22"/>
      </w:rPr>
      <w:fldChar w:fldCharType="end"/>
    </w:r>
  </w:p>
  <w:p w:rsidR="00D146CE" w:rsidRDefault="002B2E57" w:rsidP="00BB365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6CF" w:rsidRPr="002D1C42" w:rsidRDefault="00F376CF" w:rsidP="002D1C42">
    <w:pPr>
      <w:pStyle w:val="Footer"/>
      <w:jc w:val="right"/>
      <w:rPr>
        <w:rFonts w:ascii="Arial" w:hAnsi="Arial" w:cs="Arial"/>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4884389"/>
      <w:docPartObj>
        <w:docPartGallery w:val="Page Numbers (Bottom of Page)"/>
        <w:docPartUnique/>
      </w:docPartObj>
    </w:sdtPr>
    <w:sdtEndPr>
      <w:rPr>
        <w:rFonts w:ascii="Arial" w:hAnsi="Arial" w:cs="Arial"/>
        <w:noProof/>
        <w:sz w:val="22"/>
        <w:szCs w:val="22"/>
      </w:rPr>
    </w:sdtEndPr>
    <w:sdtContent>
      <w:p w:rsidR="003A1121" w:rsidRPr="003A1121" w:rsidRDefault="00920F8E" w:rsidP="002D1C42">
        <w:pPr>
          <w:pStyle w:val="Footer"/>
          <w:jc w:val="right"/>
          <w:rPr>
            <w:rFonts w:ascii="Arial" w:hAnsi="Arial" w:cs="Arial"/>
            <w:sz w:val="22"/>
            <w:szCs w:val="22"/>
          </w:rPr>
        </w:pPr>
        <w:r w:rsidRPr="003A1121">
          <w:rPr>
            <w:rFonts w:ascii="Arial" w:hAnsi="Arial" w:cs="Arial"/>
            <w:sz w:val="22"/>
            <w:szCs w:val="22"/>
          </w:rPr>
          <w:fldChar w:fldCharType="begin"/>
        </w:r>
        <w:r w:rsidR="003A1121" w:rsidRPr="003A1121">
          <w:rPr>
            <w:rFonts w:ascii="Arial" w:hAnsi="Arial" w:cs="Arial"/>
            <w:sz w:val="22"/>
            <w:szCs w:val="22"/>
          </w:rPr>
          <w:instrText xml:space="preserve"> PAGE   \* MERGEFORMAT </w:instrText>
        </w:r>
        <w:r w:rsidRPr="003A1121">
          <w:rPr>
            <w:rFonts w:ascii="Arial" w:hAnsi="Arial" w:cs="Arial"/>
            <w:sz w:val="22"/>
            <w:szCs w:val="22"/>
          </w:rPr>
          <w:fldChar w:fldCharType="separate"/>
        </w:r>
        <w:r w:rsidR="003D555A">
          <w:rPr>
            <w:rFonts w:ascii="Arial" w:hAnsi="Arial" w:cs="Arial"/>
            <w:noProof/>
            <w:sz w:val="22"/>
            <w:szCs w:val="22"/>
          </w:rPr>
          <w:t>2</w:t>
        </w:r>
        <w:r w:rsidRPr="003A1121">
          <w:rPr>
            <w:rFonts w:ascii="Arial" w:hAnsi="Arial" w:cs="Arial"/>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E57" w:rsidRDefault="002B2E57" w:rsidP="009E4F44">
      <w:r>
        <w:separator/>
      </w:r>
    </w:p>
  </w:footnote>
  <w:footnote w:type="continuationSeparator" w:id="1">
    <w:p w:rsidR="002B2E57" w:rsidRDefault="002B2E57" w:rsidP="009E4F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
  <w:rsids>
    <w:rsidRoot w:val="000F6808"/>
    <w:rsid w:val="00011F64"/>
    <w:rsid w:val="00043A35"/>
    <w:rsid w:val="00077BDF"/>
    <w:rsid w:val="00083CCD"/>
    <w:rsid w:val="000B20F0"/>
    <w:rsid w:val="000B596A"/>
    <w:rsid w:val="000C63AB"/>
    <w:rsid w:val="000F6808"/>
    <w:rsid w:val="00153A63"/>
    <w:rsid w:val="001772F8"/>
    <w:rsid w:val="00186738"/>
    <w:rsid w:val="0019746B"/>
    <w:rsid w:val="00197B98"/>
    <w:rsid w:val="001C5DF0"/>
    <w:rsid w:val="001D6E2E"/>
    <w:rsid w:val="001F0AB9"/>
    <w:rsid w:val="00216451"/>
    <w:rsid w:val="00241DFD"/>
    <w:rsid w:val="00257BAC"/>
    <w:rsid w:val="00281C5A"/>
    <w:rsid w:val="002B2E57"/>
    <w:rsid w:val="002B36AB"/>
    <w:rsid w:val="002B7CF3"/>
    <w:rsid w:val="002C322A"/>
    <w:rsid w:val="002D1C42"/>
    <w:rsid w:val="002E504E"/>
    <w:rsid w:val="003057A0"/>
    <w:rsid w:val="00354F08"/>
    <w:rsid w:val="00373156"/>
    <w:rsid w:val="00380DCC"/>
    <w:rsid w:val="003A1121"/>
    <w:rsid w:val="003B326E"/>
    <w:rsid w:val="003C4D84"/>
    <w:rsid w:val="003D26B7"/>
    <w:rsid w:val="003D2EF6"/>
    <w:rsid w:val="003D555A"/>
    <w:rsid w:val="003F0DBA"/>
    <w:rsid w:val="003F3CD5"/>
    <w:rsid w:val="00402771"/>
    <w:rsid w:val="00430829"/>
    <w:rsid w:val="00455D5F"/>
    <w:rsid w:val="00457212"/>
    <w:rsid w:val="00462744"/>
    <w:rsid w:val="004774D2"/>
    <w:rsid w:val="00485C2E"/>
    <w:rsid w:val="004A328C"/>
    <w:rsid w:val="0054020F"/>
    <w:rsid w:val="0054276A"/>
    <w:rsid w:val="005746DD"/>
    <w:rsid w:val="0057529E"/>
    <w:rsid w:val="005935AD"/>
    <w:rsid w:val="005B47F6"/>
    <w:rsid w:val="005B7631"/>
    <w:rsid w:val="005C096A"/>
    <w:rsid w:val="005E34C0"/>
    <w:rsid w:val="005E71A9"/>
    <w:rsid w:val="00622607"/>
    <w:rsid w:val="006A7A5E"/>
    <w:rsid w:val="0071029D"/>
    <w:rsid w:val="00772E34"/>
    <w:rsid w:val="00787D9B"/>
    <w:rsid w:val="007A0E85"/>
    <w:rsid w:val="007A3AC4"/>
    <w:rsid w:val="007C4D74"/>
    <w:rsid w:val="007E46D4"/>
    <w:rsid w:val="007F7D43"/>
    <w:rsid w:val="0081468A"/>
    <w:rsid w:val="008332D7"/>
    <w:rsid w:val="008605D7"/>
    <w:rsid w:val="00885440"/>
    <w:rsid w:val="00887790"/>
    <w:rsid w:val="00892CA0"/>
    <w:rsid w:val="008A415F"/>
    <w:rsid w:val="008C0D53"/>
    <w:rsid w:val="009053AD"/>
    <w:rsid w:val="00920F8E"/>
    <w:rsid w:val="00931DF1"/>
    <w:rsid w:val="00975E64"/>
    <w:rsid w:val="009B299D"/>
    <w:rsid w:val="009D4ADC"/>
    <w:rsid w:val="009E4F44"/>
    <w:rsid w:val="009F7973"/>
    <w:rsid w:val="00A1040D"/>
    <w:rsid w:val="00A31457"/>
    <w:rsid w:val="00A625A6"/>
    <w:rsid w:val="00A70279"/>
    <w:rsid w:val="00A876CD"/>
    <w:rsid w:val="00AA3A09"/>
    <w:rsid w:val="00AD5678"/>
    <w:rsid w:val="00AE61C7"/>
    <w:rsid w:val="00B446D1"/>
    <w:rsid w:val="00B46215"/>
    <w:rsid w:val="00B566D5"/>
    <w:rsid w:val="00B826CF"/>
    <w:rsid w:val="00BC039A"/>
    <w:rsid w:val="00BE6A59"/>
    <w:rsid w:val="00BF12FF"/>
    <w:rsid w:val="00C22B0D"/>
    <w:rsid w:val="00C408FC"/>
    <w:rsid w:val="00C54CCF"/>
    <w:rsid w:val="00C852B3"/>
    <w:rsid w:val="00C869AC"/>
    <w:rsid w:val="00CC4CD6"/>
    <w:rsid w:val="00CE3D4E"/>
    <w:rsid w:val="00CF161E"/>
    <w:rsid w:val="00CF22FC"/>
    <w:rsid w:val="00CF7327"/>
    <w:rsid w:val="00D116F8"/>
    <w:rsid w:val="00D23F71"/>
    <w:rsid w:val="00D6225F"/>
    <w:rsid w:val="00D8393B"/>
    <w:rsid w:val="00DA6148"/>
    <w:rsid w:val="00DA6959"/>
    <w:rsid w:val="00DB2A66"/>
    <w:rsid w:val="00DF48B8"/>
    <w:rsid w:val="00ED140D"/>
    <w:rsid w:val="00EF731C"/>
    <w:rsid w:val="00F11C3A"/>
    <w:rsid w:val="00F376CF"/>
    <w:rsid w:val="00F40C7E"/>
    <w:rsid w:val="00F669A3"/>
    <w:rsid w:val="00F700A9"/>
    <w:rsid w:val="00FD6E2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80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6808"/>
  </w:style>
  <w:style w:type="paragraph" w:styleId="BodyText">
    <w:name w:val="Body Text"/>
    <w:basedOn w:val="Normal"/>
    <w:link w:val="BodyTextChar"/>
    <w:rsid w:val="000F6808"/>
    <w:pPr>
      <w:jc w:val="both"/>
    </w:pPr>
    <w:rPr>
      <w:szCs w:val="24"/>
    </w:rPr>
  </w:style>
  <w:style w:type="character" w:customStyle="1" w:styleId="BodyTextChar">
    <w:name w:val="Body Text Char"/>
    <w:basedOn w:val="DefaultParagraphFont"/>
    <w:link w:val="BodyText"/>
    <w:rsid w:val="000F6808"/>
    <w:rPr>
      <w:rFonts w:ascii="Times New Roman" w:eastAsia="Times New Roman" w:hAnsi="CordiaUPC" w:cs="Angsana New"/>
      <w:sz w:val="24"/>
      <w:szCs w:val="24"/>
    </w:rPr>
  </w:style>
  <w:style w:type="paragraph" w:styleId="Footer">
    <w:name w:val="footer"/>
    <w:basedOn w:val="Normal"/>
    <w:link w:val="FooterChar"/>
    <w:uiPriority w:val="99"/>
    <w:rsid w:val="000F6808"/>
    <w:pPr>
      <w:tabs>
        <w:tab w:val="center" w:pos="4153"/>
        <w:tab w:val="right" w:pos="8306"/>
      </w:tabs>
    </w:pPr>
    <w:rPr>
      <w:szCs w:val="24"/>
    </w:rPr>
  </w:style>
  <w:style w:type="character" w:customStyle="1" w:styleId="FooterChar">
    <w:name w:val="Footer Char"/>
    <w:basedOn w:val="DefaultParagraphFont"/>
    <w:link w:val="Footer"/>
    <w:uiPriority w:val="99"/>
    <w:rsid w:val="000F6808"/>
    <w:rPr>
      <w:rFonts w:ascii="Times New Roman" w:eastAsia="Times New Roman" w:hAnsi="CordiaUPC" w:cs="Angsana New"/>
      <w:sz w:val="24"/>
      <w:szCs w:val="24"/>
    </w:rPr>
  </w:style>
  <w:style w:type="paragraph" w:styleId="Header">
    <w:name w:val="header"/>
    <w:basedOn w:val="Normal"/>
    <w:link w:val="HeaderChar"/>
    <w:rsid w:val="000F6808"/>
    <w:pPr>
      <w:tabs>
        <w:tab w:val="center" w:pos="4153"/>
        <w:tab w:val="right" w:pos="8306"/>
      </w:tabs>
    </w:pPr>
  </w:style>
  <w:style w:type="character" w:customStyle="1" w:styleId="HeaderChar">
    <w:name w:val="Header Char"/>
    <w:basedOn w:val="DefaultParagraphFont"/>
    <w:link w:val="Header"/>
    <w:rsid w:val="000F6808"/>
    <w:rPr>
      <w:rFonts w:ascii="Times New Roman" w:eastAsia="Times New Roman" w:hAnsi="CordiaUPC" w:cs="Angsana New"/>
      <w:sz w:val="24"/>
    </w:rPr>
  </w:style>
  <w:style w:type="paragraph" w:customStyle="1" w:styleId="ps-000-normal">
    <w:name w:val="ps-000-normal"/>
    <w:basedOn w:val="Normal"/>
    <w:rsid w:val="00A1040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31DF1"/>
    <w:rPr>
      <w:rFonts w:ascii="Tahoma" w:hAnsi="Tahoma"/>
      <w:sz w:val="16"/>
      <w:szCs w:val="20"/>
    </w:rPr>
  </w:style>
  <w:style w:type="character" w:customStyle="1" w:styleId="BalloonTextChar">
    <w:name w:val="Balloon Text Char"/>
    <w:basedOn w:val="DefaultParagraphFont"/>
    <w:link w:val="BalloonText"/>
    <w:uiPriority w:val="99"/>
    <w:semiHidden/>
    <w:rsid w:val="00931DF1"/>
    <w:rPr>
      <w:rFonts w:ascii="Tahoma" w:eastAsia="Times New Roman" w:hAnsi="Tahoma" w:cs="Angsana New"/>
      <w:sz w:val="16"/>
      <w:szCs w:val="20"/>
    </w:rPr>
  </w:style>
  <w:style w:type="paragraph" w:styleId="ListParagraph">
    <w:name w:val="List Paragraph"/>
    <w:basedOn w:val="Normal"/>
    <w:uiPriority w:val="34"/>
    <w:qFormat/>
    <w:rsid w:val="002D1C42"/>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cp:lastModifiedBy>
  <cp:revision>2</cp:revision>
  <cp:lastPrinted>2018-02-12T07:55:00Z</cp:lastPrinted>
  <dcterms:created xsi:type="dcterms:W3CDTF">2018-02-23T07:06:00Z</dcterms:created>
  <dcterms:modified xsi:type="dcterms:W3CDTF">2018-02-23T07:06:00Z</dcterms:modified>
</cp:coreProperties>
</file>