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790517" w:rsidRPr="000851FF" w:rsidP="000D55B0">
      <w:pPr>
        <w:pStyle w:val="Default"/>
        <w:rPr>
          <w:b/>
          <w:bCs/>
          <w:color w:val="C00000"/>
          <w:sz w:val="30"/>
          <w:szCs w:val="30"/>
        </w:rPr>
      </w:pPr>
      <w:r w:rsidRPr="000851FF">
        <w:rPr>
          <w:b/>
          <w:bCs/>
          <w:color w:val="C00000"/>
          <w:sz w:val="30"/>
          <w:szCs w:val="30"/>
        </w:rPr>
        <w:t>I</w:t>
      </w:r>
      <w:r w:rsidRPr="000851FF" w:rsidR="00886FDA">
        <w:rPr>
          <w:b/>
          <w:bCs/>
          <w:color w:val="C00000"/>
          <w:sz w:val="30"/>
          <w:szCs w:val="30"/>
        </w:rPr>
        <w:t>ndependent</w:t>
      </w:r>
      <w:r w:rsidRPr="000851FF">
        <w:rPr>
          <w:b/>
          <w:bCs/>
          <w:color w:val="C00000"/>
          <w:sz w:val="30"/>
          <w:szCs w:val="30"/>
        </w:rPr>
        <w:t xml:space="preserve"> </w:t>
      </w:r>
      <w:r w:rsidRPr="000851FF" w:rsidR="008E0FC2">
        <w:rPr>
          <w:b/>
          <w:bCs/>
          <w:color w:val="C00000"/>
          <w:sz w:val="30"/>
          <w:szCs w:val="30"/>
        </w:rPr>
        <w:t>A</w:t>
      </w:r>
      <w:r w:rsidRPr="000851FF" w:rsidR="00886FDA">
        <w:rPr>
          <w:b/>
          <w:bCs/>
          <w:color w:val="C00000"/>
          <w:sz w:val="30"/>
          <w:szCs w:val="30"/>
        </w:rPr>
        <w:t>uditor</w:t>
      </w:r>
      <w:r w:rsidRPr="000851FF">
        <w:rPr>
          <w:b/>
          <w:bCs/>
          <w:color w:val="C00000"/>
          <w:sz w:val="30"/>
          <w:szCs w:val="30"/>
        </w:rPr>
        <w:t>’</w:t>
      </w:r>
      <w:r w:rsidRPr="000851FF" w:rsidR="00886FDA">
        <w:rPr>
          <w:b/>
          <w:bCs/>
          <w:color w:val="C00000"/>
          <w:sz w:val="30"/>
          <w:szCs w:val="30"/>
        </w:rPr>
        <w:t xml:space="preserve">s </w:t>
      </w:r>
      <w:r w:rsidRPr="000851FF" w:rsidR="008E0FC2">
        <w:rPr>
          <w:b/>
          <w:bCs/>
          <w:color w:val="C00000"/>
          <w:sz w:val="30"/>
          <w:szCs w:val="30"/>
        </w:rPr>
        <w:t>R</w:t>
      </w:r>
      <w:r w:rsidRPr="000851FF" w:rsidR="00886FDA">
        <w:rPr>
          <w:b/>
          <w:bCs/>
          <w:color w:val="C00000"/>
          <w:sz w:val="30"/>
          <w:szCs w:val="30"/>
        </w:rPr>
        <w:t>eport</w:t>
      </w:r>
      <w:r w:rsidRPr="000851FF">
        <w:rPr>
          <w:b/>
          <w:bCs/>
          <w:color w:val="C00000"/>
          <w:sz w:val="30"/>
          <w:szCs w:val="30"/>
        </w:rPr>
        <w:t xml:space="preserve"> </w:t>
      </w:r>
    </w:p>
    <w:p w:rsidR="000D55B0" w:rsidRPr="000851FF" w:rsidP="000D55B0">
      <w:pPr>
        <w:pStyle w:val="Default"/>
        <w:rPr>
          <w:b/>
          <w:bCs/>
          <w:color w:val="C00000"/>
          <w:sz w:val="20"/>
          <w:szCs w:val="20"/>
        </w:rPr>
      </w:pPr>
    </w:p>
    <w:p w:rsidR="000D55B0" w:rsidRPr="000851FF" w:rsidP="000D55B0">
      <w:pPr>
        <w:pStyle w:val="Default"/>
        <w:rPr>
          <w:color w:val="C00000"/>
          <w:sz w:val="20"/>
          <w:szCs w:val="20"/>
        </w:rPr>
      </w:pPr>
    </w:p>
    <w:p w:rsidR="00790517" w:rsidRPr="000851FF" w:rsidP="00C952B0">
      <w:pPr>
        <w:pStyle w:val="Default"/>
        <w:jc w:val="both"/>
        <w:rPr>
          <w:color w:val="C00000"/>
          <w:sz w:val="22"/>
          <w:szCs w:val="22"/>
        </w:rPr>
      </w:pPr>
      <w:r w:rsidRPr="000851FF" w:rsidR="00E07F94">
        <w:rPr>
          <w:color w:val="C00000"/>
          <w:sz w:val="22"/>
          <w:szCs w:val="22"/>
        </w:rPr>
        <w:t>To the s</w:t>
      </w:r>
      <w:r w:rsidRPr="000851FF">
        <w:rPr>
          <w:color w:val="C00000"/>
          <w:sz w:val="22"/>
          <w:szCs w:val="22"/>
        </w:rPr>
        <w:t xml:space="preserve">hareholders </w:t>
      </w:r>
      <w:r w:rsidRPr="000851FF" w:rsidR="00D11F81">
        <w:rPr>
          <w:color w:val="C00000"/>
          <w:sz w:val="22"/>
          <w:szCs w:val="22"/>
        </w:rPr>
        <w:t>and the Board of Directors</w:t>
      </w:r>
      <w:r w:rsidRPr="000851FF" w:rsidR="005F1C97">
        <w:rPr>
          <w:color w:val="C00000"/>
          <w:sz w:val="22"/>
          <w:szCs w:val="22"/>
        </w:rPr>
        <w:t xml:space="preserve"> of</w:t>
      </w:r>
      <w:r w:rsidRPr="000851FF" w:rsidR="008059B7">
        <w:rPr>
          <w:color w:val="C00000"/>
          <w:sz w:val="22"/>
          <w:szCs w:val="22"/>
        </w:rPr>
        <w:t xml:space="preserve"> B.Grimm Power Public Company Limited</w:t>
      </w:r>
      <w:r w:rsidRPr="000851FF">
        <w:rPr>
          <w:color w:val="C00000"/>
          <w:sz w:val="22"/>
          <w:szCs w:val="22"/>
        </w:rPr>
        <w:t xml:space="preserve"> </w:t>
      </w:r>
    </w:p>
    <w:p w:rsidR="00790517" w:rsidRPr="000851FF" w:rsidP="000D55B0">
      <w:pPr>
        <w:pStyle w:val="Default"/>
        <w:rPr>
          <w:b/>
          <w:bCs/>
          <w:color w:val="C00000"/>
          <w:sz w:val="20"/>
          <w:szCs w:val="20"/>
        </w:rPr>
      </w:pPr>
    </w:p>
    <w:p w:rsidR="00790517" w:rsidRPr="000851FF" w:rsidP="000D55B0">
      <w:pPr>
        <w:pStyle w:val="Default"/>
        <w:rPr>
          <w:b/>
          <w:bCs/>
          <w:color w:val="C00000"/>
          <w:sz w:val="20"/>
          <w:szCs w:val="20"/>
        </w:rPr>
      </w:pPr>
    </w:p>
    <w:p w:rsidR="00256DBB" w:rsidRPr="000851FF" w:rsidP="00256DBB">
      <w:pPr>
        <w:pStyle w:val="Default"/>
        <w:jc w:val="both"/>
        <w:rPr>
          <w:b/>
          <w:bCs/>
          <w:color w:val="C00000"/>
          <w:sz w:val="22"/>
          <w:szCs w:val="22"/>
        </w:rPr>
      </w:pPr>
      <w:r w:rsidRPr="000851FF">
        <w:rPr>
          <w:b/>
          <w:bCs/>
          <w:color w:val="C00000"/>
          <w:sz w:val="22"/>
          <w:szCs w:val="22"/>
        </w:rPr>
        <w:t xml:space="preserve">My opinion </w:t>
      </w:r>
    </w:p>
    <w:p w:rsidR="00256DBB" w:rsidRPr="00F82A21" w:rsidP="00256DBB">
      <w:pPr>
        <w:pStyle w:val="Default"/>
        <w:jc w:val="both"/>
        <w:rPr>
          <w:b/>
          <w:bCs/>
          <w:color w:val="auto"/>
          <w:sz w:val="12"/>
          <w:szCs w:val="12"/>
        </w:rPr>
      </w:pPr>
    </w:p>
    <w:p w:rsidR="00DF4E00" w:rsidRPr="00F82A21" w:rsidP="00256DBB">
      <w:pPr>
        <w:spacing w:after="0" w:line="240" w:lineRule="auto"/>
        <w:jc w:val="both"/>
        <w:rPr>
          <w:rFonts w:ascii="Arial" w:hAnsi="Arial" w:cs="Arial"/>
          <w:sz w:val="20"/>
          <w:szCs w:val="20"/>
        </w:rPr>
      </w:pPr>
      <w:r w:rsidRPr="00F82A21">
        <w:rPr>
          <w:rFonts w:ascii="Arial" w:hAnsi="Arial" w:cs="Arial"/>
          <w:sz w:val="20"/>
          <w:szCs w:val="20"/>
        </w:rPr>
        <w:t>In my opinion, the consolidated financial statements of B.Grimm Power Public Company Limited</w:t>
      </w:r>
      <w:r w:rsidR="00FB5CD5">
        <w:rPr>
          <w:rFonts w:ascii="Arial" w:hAnsi="Arial" w:cs="Arial"/>
          <w:sz w:val="20"/>
          <w:szCs w:val="20"/>
        </w:rPr>
        <w:t xml:space="preserve"> </w:t>
        <w:br/>
      </w:r>
      <w:r w:rsidRPr="00F82A21">
        <w:rPr>
          <w:rFonts w:ascii="Arial" w:hAnsi="Arial" w:cs="Arial"/>
          <w:sz w:val="20"/>
          <w:szCs w:val="20"/>
        </w:rPr>
        <w:t>(the Company) and its subsidiaries (the Group) and the separate financial statements of the Company present fairly, in all material respects, the consolidated and separate financial position of the Group and of the Company as at 31 December 2017, and its consolidated and separate financial performance and its consolidated and separate cash flows for the year then ended in accordance with Thai Financial Reporting Standards (TFRSs).</w:t>
      </w:r>
    </w:p>
    <w:p w:rsidR="00256DBB" w:rsidRPr="00F82A21" w:rsidP="00256DBB">
      <w:pPr>
        <w:spacing w:after="0" w:line="240" w:lineRule="auto"/>
        <w:jc w:val="both"/>
        <w:rPr>
          <w:rFonts w:ascii="Arial" w:hAnsi="Arial" w:cs="Arial"/>
          <w:sz w:val="20"/>
          <w:szCs w:val="20"/>
        </w:rPr>
      </w:pPr>
    </w:p>
    <w:p w:rsidR="00256DBB" w:rsidRPr="000851FF" w:rsidP="00256DBB">
      <w:pPr>
        <w:pStyle w:val="Default"/>
        <w:jc w:val="both"/>
        <w:rPr>
          <w:b/>
          <w:bCs/>
          <w:color w:val="C00000"/>
          <w:sz w:val="22"/>
          <w:szCs w:val="22"/>
        </w:rPr>
      </w:pPr>
      <w:r w:rsidRPr="000851FF">
        <w:rPr>
          <w:b/>
          <w:bCs/>
          <w:color w:val="C00000"/>
          <w:sz w:val="22"/>
          <w:szCs w:val="22"/>
        </w:rPr>
        <w:t>What I have audited</w:t>
      </w:r>
    </w:p>
    <w:p w:rsidR="00256DBB" w:rsidRPr="00F82A21" w:rsidP="00256DBB">
      <w:pPr>
        <w:pStyle w:val="Default"/>
        <w:jc w:val="both"/>
        <w:rPr>
          <w:b/>
          <w:bCs/>
          <w:color w:val="auto"/>
          <w:sz w:val="12"/>
          <w:szCs w:val="12"/>
        </w:rPr>
      </w:pPr>
    </w:p>
    <w:p w:rsidR="00F82A21" w:rsidP="00F82A21">
      <w:pPr>
        <w:spacing w:after="0" w:line="240" w:lineRule="auto"/>
        <w:jc w:val="both"/>
        <w:rPr>
          <w:rFonts w:ascii="Arial" w:hAnsi="Arial" w:cs="Arial"/>
          <w:sz w:val="20"/>
          <w:szCs w:val="20"/>
        </w:rPr>
      </w:pPr>
      <w:r w:rsidRPr="00F82A21">
        <w:rPr>
          <w:rFonts w:ascii="Arial" w:hAnsi="Arial" w:cs="Arial"/>
          <w:sz w:val="20"/>
          <w:szCs w:val="20"/>
        </w:rPr>
        <w:t>The consolidated financial statements and the separate financial statements comprise:</w:t>
      </w:r>
    </w:p>
    <w:p w:rsidR="000760EB" w:rsidRPr="000760EB" w:rsidP="00F82A21">
      <w:pPr>
        <w:spacing w:after="0" w:line="240" w:lineRule="auto"/>
        <w:jc w:val="both"/>
        <w:rPr>
          <w:rFonts w:ascii="Arial" w:hAnsi="Arial" w:cs="Arial"/>
          <w:sz w:val="12"/>
          <w:szCs w:val="12"/>
        </w:rPr>
      </w:pPr>
    </w:p>
    <w:p w:rsidR="00F82A21" w:rsidRPr="00F82A21" w:rsidP="00F82A21">
      <w:pPr>
        <w:numPr>
          <w:ilvl w:val="0"/>
          <w:numId w:val="5"/>
        </w:numPr>
        <w:spacing w:after="0" w:line="240" w:lineRule="auto"/>
        <w:jc w:val="both"/>
        <w:rPr>
          <w:rFonts w:ascii="Arial" w:hAnsi="Arial" w:cs="Arial"/>
          <w:sz w:val="20"/>
          <w:szCs w:val="20"/>
        </w:rPr>
      </w:pPr>
      <w:r w:rsidRPr="00F82A21">
        <w:rPr>
          <w:rFonts w:ascii="Arial" w:hAnsi="Arial" w:cs="Arial"/>
          <w:sz w:val="20"/>
          <w:szCs w:val="20"/>
        </w:rPr>
        <w:t>the consolidated and separate statements of financial position as at 31 December 2017</w:t>
      </w:r>
      <w:r w:rsidRPr="00F82A21">
        <w:rPr>
          <w:rFonts w:ascii="Arial" w:hAnsi="Arial" w:cs="Arial"/>
          <w:i/>
          <w:iCs/>
          <w:sz w:val="20"/>
          <w:szCs w:val="20"/>
          <w:lang w:val="en-US"/>
        </w:rPr>
        <w:t>;</w:t>
      </w:r>
    </w:p>
    <w:p w:rsidR="00F82A21" w:rsidRPr="00F82A21" w:rsidP="00F82A21">
      <w:pPr>
        <w:numPr>
          <w:ilvl w:val="0"/>
          <w:numId w:val="5"/>
        </w:numPr>
        <w:spacing w:after="0" w:line="240" w:lineRule="auto"/>
        <w:jc w:val="both"/>
        <w:rPr>
          <w:rFonts w:ascii="Arial" w:hAnsi="Arial" w:cs="Arial"/>
          <w:sz w:val="20"/>
          <w:szCs w:val="20"/>
        </w:rPr>
      </w:pPr>
      <w:r w:rsidRPr="00F82A21">
        <w:rPr>
          <w:rFonts w:ascii="Arial" w:hAnsi="Arial" w:cs="Arial"/>
          <w:sz w:val="20"/>
          <w:szCs w:val="20"/>
        </w:rPr>
        <w:t>the consolidated and separate statements of comprehensive income for the year then ended;</w:t>
      </w:r>
    </w:p>
    <w:p w:rsidR="00F82A21" w:rsidRPr="00F82A21" w:rsidP="00F82A21">
      <w:pPr>
        <w:numPr>
          <w:ilvl w:val="0"/>
          <w:numId w:val="5"/>
        </w:numPr>
        <w:spacing w:after="0" w:line="240" w:lineRule="auto"/>
        <w:jc w:val="both"/>
        <w:rPr>
          <w:rFonts w:ascii="Arial" w:hAnsi="Arial" w:cs="Arial"/>
          <w:sz w:val="20"/>
          <w:szCs w:val="20"/>
        </w:rPr>
      </w:pPr>
      <w:r w:rsidRPr="00F82A21">
        <w:rPr>
          <w:rFonts w:ascii="Arial" w:hAnsi="Arial" w:cs="Arial"/>
          <w:sz w:val="20"/>
          <w:szCs w:val="20"/>
        </w:rPr>
        <w:t>the consolidated and separate statements of changes in equity for the year then ended;</w:t>
      </w:r>
    </w:p>
    <w:p w:rsidR="00F82A21" w:rsidRPr="00F82A21" w:rsidP="00F82A21">
      <w:pPr>
        <w:numPr>
          <w:ilvl w:val="0"/>
          <w:numId w:val="5"/>
        </w:numPr>
        <w:spacing w:after="0" w:line="240" w:lineRule="auto"/>
        <w:jc w:val="both"/>
        <w:rPr>
          <w:rFonts w:ascii="Arial" w:hAnsi="Arial" w:cs="Arial"/>
          <w:sz w:val="20"/>
          <w:szCs w:val="20"/>
        </w:rPr>
      </w:pPr>
      <w:r w:rsidRPr="00F82A21">
        <w:rPr>
          <w:rFonts w:ascii="Arial" w:hAnsi="Arial" w:cs="Arial"/>
          <w:sz w:val="20"/>
          <w:szCs w:val="20"/>
        </w:rPr>
        <w:t>the consolidated and separate statements of cash flows for the year then end</w:t>
      </w:r>
      <w:r w:rsidR="00B226A5">
        <w:rPr>
          <w:rFonts w:ascii="Arial" w:hAnsi="Arial" w:cs="Arial"/>
          <w:sz w:val="20"/>
          <w:szCs w:val="20"/>
        </w:rPr>
        <w:t>ed</w:t>
      </w:r>
      <w:r w:rsidRPr="00F82A21">
        <w:rPr>
          <w:rFonts w:ascii="Arial" w:hAnsi="Arial" w:cs="Arial"/>
          <w:sz w:val="20"/>
          <w:szCs w:val="20"/>
        </w:rPr>
        <w:t>; and</w:t>
      </w:r>
    </w:p>
    <w:p w:rsidR="00F82A21" w:rsidRPr="00F82A21" w:rsidP="00F82A21">
      <w:pPr>
        <w:numPr>
          <w:ilvl w:val="0"/>
          <w:numId w:val="5"/>
        </w:numPr>
        <w:spacing w:after="0" w:line="240" w:lineRule="auto"/>
        <w:jc w:val="both"/>
        <w:rPr>
          <w:rFonts w:ascii="Arial" w:hAnsi="Arial" w:cs="Arial"/>
          <w:sz w:val="20"/>
          <w:szCs w:val="20"/>
        </w:rPr>
      </w:pPr>
      <w:r w:rsidRPr="00F82A21">
        <w:rPr>
          <w:rFonts w:ascii="Arial" w:hAnsi="Arial" w:cs="Arial"/>
          <w:sz w:val="20"/>
          <w:szCs w:val="20"/>
        </w:rPr>
        <w:t xml:space="preserve">the notes to the consolidated and separate financial statements, which include a summary of significant accounting policies. </w:t>
      </w:r>
    </w:p>
    <w:p w:rsidR="00256DBB" w:rsidRPr="00F82A21" w:rsidP="00256DBB">
      <w:pPr>
        <w:spacing w:after="0" w:line="240" w:lineRule="auto"/>
        <w:jc w:val="both"/>
        <w:rPr>
          <w:rFonts w:ascii="Arial" w:hAnsi="Arial" w:cs="Arial"/>
          <w:sz w:val="20"/>
          <w:szCs w:val="20"/>
        </w:rPr>
      </w:pPr>
    </w:p>
    <w:p w:rsidR="00256DBB" w:rsidRPr="000851FF" w:rsidP="00256DBB">
      <w:pPr>
        <w:pStyle w:val="Default"/>
        <w:jc w:val="both"/>
        <w:rPr>
          <w:b/>
          <w:bCs/>
          <w:color w:val="C00000"/>
          <w:sz w:val="22"/>
          <w:szCs w:val="22"/>
        </w:rPr>
      </w:pPr>
      <w:r w:rsidRPr="000851FF">
        <w:rPr>
          <w:b/>
          <w:bCs/>
          <w:color w:val="C00000"/>
          <w:sz w:val="22"/>
          <w:szCs w:val="22"/>
        </w:rPr>
        <w:t xml:space="preserve">Basis for opinion </w:t>
      </w:r>
    </w:p>
    <w:p w:rsidR="00256DBB" w:rsidRPr="00F82A21" w:rsidP="00256DBB">
      <w:pPr>
        <w:pStyle w:val="Default"/>
        <w:jc w:val="both"/>
        <w:rPr>
          <w:b/>
          <w:bCs/>
          <w:color w:val="auto"/>
          <w:sz w:val="12"/>
          <w:szCs w:val="12"/>
        </w:rPr>
      </w:pPr>
    </w:p>
    <w:p w:rsidR="00F82A21" w:rsidRPr="00F82A21" w:rsidP="00317836">
      <w:pPr>
        <w:pStyle w:val="Default"/>
        <w:jc w:val="thaiDistribute"/>
        <w:rPr>
          <w:color w:val="auto"/>
          <w:sz w:val="20"/>
          <w:szCs w:val="20"/>
        </w:rPr>
      </w:pPr>
      <w:r w:rsidRPr="00F82A21">
        <w:rPr>
          <w:color w:val="auto"/>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F82A21" w:rsidP="00F82A21">
      <w:pPr>
        <w:spacing w:after="0" w:line="240" w:lineRule="auto"/>
        <w:jc w:val="both"/>
        <w:rPr>
          <w:rFonts w:ascii="Arial" w:hAnsi="Arial" w:cs="Arial"/>
          <w:sz w:val="20"/>
          <w:szCs w:val="20"/>
        </w:rPr>
      </w:pPr>
    </w:p>
    <w:p w:rsidR="00F82A21" w:rsidRPr="00D863A3" w:rsidP="00F82A21">
      <w:pPr>
        <w:spacing w:after="0" w:line="240" w:lineRule="auto"/>
        <w:jc w:val="both"/>
        <w:rPr>
          <w:rFonts w:ascii="Arial" w:hAnsi="Arial" w:cs="Arial"/>
          <w:b/>
          <w:bCs/>
          <w:color w:val="C00000"/>
          <w:szCs w:val="22"/>
        </w:rPr>
      </w:pPr>
      <w:r w:rsidRPr="00D863A3">
        <w:rPr>
          <w:rFonts w:ascii="Arial" w:hAnsi="Arial" w:cs="Arial"/>
          <w:b/>
          <w:bCs/>
          <w:color w:val="C00000"/>
          <w:szCs w:val="22"/>
        </w:rPr>
        <w:t>Key audit matters</w:t>
      </w:r>
    </w:p>
    <w:p w:rsidR="00F82A21" w:rsidRPr="00F82A21" w:rsidP="00F82A21">
      <w:pPr>
        <w:spacing w:after="0" w:line="240" w:lineRule="auto"/>
        <w:jc w:val="both"/>
        <w:rPr>
          <w:rFonts w:ascii="Arial" w:hAnsi="Arial" w:cs="Arial"/>
          <w:b/>
          <w:bCs/>
          <w:sz w:val="20"/>
          <w:szCs w:val="20"/>
        </w:rPr>
      </w:pPr>
    </w:p>
    <w:p w:rsidR="00F82A21" w:rsidRPr="000851FF" w:rsidP="00F82A21">
      <w:pPr>
        <w:spacing w:after="0" w:line="240" w:lineRule="auto"/>
        <w:jc w:val="both"/>
        <w:rPr>
          <w:rFonts w:ascii="Arial" w:hAnsi="Arial" w:cs="Arial"/>
          <w:sz w:val="20"/>
          <w:szCs w:val="20"/>
        </w:rPr>
      </w:pPr>
      <w:r w:rsidRPr="000851FF">
        <w:rPr>
          <w:rFonts w:ascii="Arial" w:hAnsi="Arial" w:cs="Arial"/>
          <w:sz w:val="20"/>
          <w:szCs w:val="20"/>
        </w:rPr>
        <w:t xml:space="preserve">Key audit matters are those matters that, in my professional judgment, were </w:t>
      </w:r>
      <w:r w:rsidRPr="005919E4">
        <w:rPr>
          <w:rFonts w:ascii="Arial" w:hAnsi="Arial" w:cs="Arial"/>
          <w:sz w:val="20"/>
          <w:szCs w:val="20"/>
        </w:rPr>
        <w:t xml:space="preserve">of most significance in my audit of the consolidated and separate financial statements of the current period. </w:t>
      </w:r>
      <w:r w:rsidRPr="005919E4" w:rsidR="000851FF">
        <w:rPr>
          <w:rFonts w:ascii="Arial" w:hAnsi="Arial" w:cs="Arial"/>
          <w:sz w:val="20"/>
          <w:szCs w:val="20"/>
        </w:rPr>
        <w:t xml:space="preserve">I determine one key audit matter: </w:t>
      </w:r>
      <w:r w:rsidR="00F67C5F">
        <w:rPr>
          <w:rFonts w:ascii="Arial" w:hAnsi="Arial" w:cs="Arial"/>
          <w:sz w:val="20"/>
          <w:szCs w:val="20"/>
        </w:rPr>
        <w:t>s</w:t>
      </w:r>
      <w:r w:rsidRPr="005919E4" w:rsidR="005919E4">
        <w:rPr>
          <w:rFonts w:ascii="Arial" w:hAnsi="Arial" w:cs="Arial"/>
          <w:sz w:val="20"/>
          <w:szCs w:val="20"/>
        </w:rPr>
        <w:t>hare-based payments</w:t>
      </w:r>
      <w:r w:rsidRPr="005919E4" w:rsidR="000851FF">
        <w:rPr>
          <w:rFonts w:ascii="Arial" w:hAnsi="Arial" w:cs="Arial"/>
          <w:sz w:val="20"/>
          <w:szCs w:val="20"/>
        </w:rPr>
        <w:t>. The matter was</w:t>
      </w:r>
      <w:r w:rsidRPr="005919E4">
        <w:rPr>
          <w:rFonts w:ascii="Arial" w:hAnsi="Arial" w:cs="Arial"/>
          <w:sz w:val="20"/>
          <w:szCs w:val="20"/>
        </w:rPr>
        <w:t xml:space="preserve"> addressed in the context of my audit of the consolidated and separate financial statements as a whole, and in forming my opinion</w:t>
      </w:r>
      <w:r w:rsidRPr="000851FF">
        <w:rPr>
          <w:rFonts w:ascii="Arial" w:hAnsi="Arial" w:cs="Arial"/>
          <w:sz w:val="20"/>
          <w:szCs w:val="20"/>
        </w:rPr>
        <w:t xml:space="preserve"> thereon, and I do not provide a separate opinion on these matters. </w:t>
      </w:r>
    </w:p>
    <w:p w:rsidR="00F82A21" w:rsidP="00F82A21">
      <w:pPr>
        <w:spacing w:after="0" w:line="240" w:lineRule="auto"/>
        <w:jc w:val="both"/>
        <w:rPr>
          <w:rFonts w:ascii="Arial" w:hAnsi="Arial" w:cs="Arial"/>
          <w:sz w:val="20"/>
          <w:szCs w:val="20"/>
        </w:rPr>
      </w:pPr>
    </w:p>
    <w:p w:rsidR="00BA5294" w:rsidP="00F82A21">
      <w:pPr>
        <w:spacing w:after="0" w:line="240" w:lineRule="auto"/>
        <w:jc w:val="both"/>
        <w:rPr>
          <w:rFonts w:ascii="Arial" w:hAnsi="Arial" w:cs="Arial"/>
          <w:sz w:val="20"/>
          <w:szCs w:val="20"/>
        </w:rPr>
        <w:sectPr w:rsidSect="007059B5">
          <w:pgSz w:w="11909" w:h="16834" w:code="9"/>
          <w:pgMar w:top="3139" w:right="720" w:bottom="1584" w:left="1987" w:header="706" w:footer="706" w:gutter="0"/>
          <w:cols w:space="708"/>
          <w:docGrid w:linePitch="360"/>
        </w:sectPr>
      </w:pPr>
    </w:p>
    <w:tbl>
      <w:tblPr>
        <w:tblStyle w:val="TableNormal"/>
        <w:tblW w:w="9173" w:type="dxa"/>
        <w:tblLayout w:type="fixed"/>
        <w:tblLook w:val="04A0"/>
      </w:tblPr>
      <w:tblGrid>
        <w:gridCol w:w="4219"/>
        <w:gridCol w:w="4954"/>
      </w:tblGrid>
      <w:tr w:rsidTr="00D54561">
        <w:tblPrEx>
          <w:tblW w:w="9173" w:type="dxa"/>
          <w:tblLayout w:type="fixed"/>
          <w:tblLook w:val="04A0"/>
        </w:tblPrEx>
        <w:trPr>
          <w:trHeight w:val="346"/>
        </w:trPr>
        <w:tc>
          <w:tcPr>
            <w:tcW w:w="4219" w:type="dxa"/>
            <w:shd w:val="clear" w:color="auto" w:fill="ED7D31"/>
            <w:vAlign w:val="center"/>
          </w:tcPr>
          <w:p w:rsidR="00F82A21" w:rsidRPr="00D54561" w:rsidP="00D54561">
            <w:pPr>
              <w:spacing w:after="0" w:line="240" w:lineRule="auto"/>
              <w:jc w:val="center"/>
              <w:rPr>
                <w:rFonts w:ascii="Arial" w:hAnsi="Arial" w:cs="Arial"/>
                <w:b/>
                <w:bCs/>
                <w:color w:val="FFFFFF"/>
                <w:sz w:val="20"/>
                <w:szCs w:val="20"/>
              </w:rPr>
            </w:pPr>
            <w:r w:rsidRPr="00D54561">
              <w:rPr>
                <w:rFonts w:ascii="Arial" w:hAnsi="Arial" w:cs="Arial"/>
                <w:b/>
                <w:bCs/>
                <w:color w:val="FFFFFF"/>
                <w:sz w:val="20"/>
                <w:szCs w:val="20"/>
              </w:rPr>
              <w:t>Key audit matter</w:t>
            </w:r>
          </w:p>
        </w:tc>
        <w:tc>
          <w:tcPr>
            <w:tcW w:w="4954" w:type="dxa"/>
            <w:shd w:val="clear" w:color="auto" w:fill="ED7D31"/>
            <w:vAlign w:val="center"/>
          </w:tcPr>
          <w:p w:rsidR="00F82A21" w:rsidRPr="00D54561" w:rsidP="00D54561">
            <w:pPr>
              <w:spacing w:after="0" w:line="240" w:lineRule="auto"/>
              <w:jc w:val="both"/>
              <w:rPr>
                <w:rFonts w:ascii="Arial" w:hAnsi="Arial" w:cs="Arial"/>
                <w:b/>
                <w:bCs/>
                <w:color w:val="FFFFFF"/>
                <w:sz w:val="20"/>
                <w:szCs w:val="20"/>
              </w:rPr>
            </w:pPr>
            <w:r w:rsidRPr="00D54561">
              <w:rPr>
                <w:rFonts w:ascii="Arial" w:hAnsi="Arial" w:cs="Arial"/>
                <w:b/>
                <w:bCs/>
                <w:color w:val="FFFFFF"/>
                <w:sz w:val="20"/>
                <w:szCs w:val="20"/>
              </w:rPr>
              <w:t>How my audit addressed the key audit matter</w:t>
            </w:r>
          </w:p>
        </w:tc>
      </w:tr>
      <w:tr w:rsidTr="00D54561">
        <w:tblPrEx>
          <w:tblW w:w="9173" w:type="dxa"/>
          <w:tblLayout w:type="fixed"/>
          <w:tblLook w:val="04A0"/>
        </w:tblPrEx>
        <w:tc>
          <w:tcPr>
            <w:tcW w:w="4219" w:type="dxa"/>
            <w:shd w:val="clear" w:color="auto" w:fill="auto"/>
          </w:tcPr>
          <w:p w:rsidR="00F82A21" w:rsidRPr="00D54561" w:rsidP="00D54561">
            <w:pPr>
              <w:spacing w:after="0" w:line="240" w:lineRule="auto"/>
              <w:jc w:val="both"/>
              <w:rPr>
                <w:rFonts w:ascii="Arial" w:hAnsi="Arial" w:cs="Arial"/>
                <w:b/>
                <w:bCs/>
                <w:i/>
                <w:iCs/>
                <w:sz w:val="12"/>
                <w:szCs w:val="12"/>
              </w:rPr>
            </w:pPr>
          </w:p>
          <w:p w:rsidR="00F82A21" w:rsidRPr="00D54561" w:rsidP="00D54561">
            <w:pPr>
              <w:spacing w:after="0" w:line="240" w:lineRule="auto"/>
              <w:jc w:val="both"/>
              <w:rPr>
                <w:rFonts w:ascii="Arial" w:hAnsi="Arial" w:cs="Arial"/>
                <w:b/>
                <w:bCs/>
                <w:i/>
                <w:iCs/>
                <w:sz w:val="20"/>
                <w:szCs w:val="20"/>
                <w:lang w:val="en-US"/>
              </w:rPr>
            </w:pPr>
            <w:r w:rsidRPr="00D54561">
              <w:rPr>
                <w:rFonts w:ascii="Arial" w:hAnsi="Arial" w:cs="Arial"/>
                <w:b/>
                <w:bCs/>
                <w:i/>
                <w:iCs/>
                <w:sz w:val="20"/>
                <w:szCs w:val="20"/>
                <w:lang w:val="en-US"/>
              </w:rPr>
              <w:t>Share-based payments</w:t>
            </w:r>
          </w:p>
          <w:p w:rsidR="00F82A21" w:rsidRPr="00D54561" w:rsidP="00D54561">
            <w:pPr>
              <w:spacing w:after="0" w:line="240" w:lineRule="auto"/>
              <w:jc w:val="both"/>
              <w:rPr>
                <w:rFonts w:ascii="Arial" w:hAnsi="Arial" w:cs="Arial"/>
                <w:b/>
                <w:bCs/>
                <w:i/>
                <w:iCs/>
                <w:sz w:val="20"/>
                <w:szCs w:val="20"/>
              </w:rPr>
            </w:pPr>
          </w:p>
        </w:tc>
        <w:tc>
          <w:tcPr>
            <w:tcW w:w="4954" w:type="dxa"/>
            <w:shd w:val="clear" w:color="auto" w:fill="DCDCDC"/>
          </w:tcPr>
          <w:p w:rsidR="00F82A21" w:rsidRPr="00D54561" w:rsidP="00D54561">
            <w:pPr>
              <w:spacing w:after="0" w:line="240" w:lineRule="auto"/>
              <w:jc w:val="both"/>
              <w:rPr>
                <w:rFonts w:ascii="Arial" w:hAnsi="Arial" w:cs="Arial"/>
                <w:sz w:val="20"/>
                <w:szCs w:val="20"/>
              </w:rPr>
            </w:pPr>
          </w:p>
        </w:tc>
      </w:tr>
      <w:tr w:rsidTr="00D54561">
        <w:tblPrEx>
          <w:tblW w:w="9173" w:type="dxa"/>
          <w:tblLayout w:type="fixed"/>
          <w:tblLook w:val="04A0"/>
        </w:tblPrEx>
        <w:tc>
          <w:tcPr>
            <w:tcW w:w="4219" w:type="dxa"/>
            <w:shd w:val="clear" w:color="auto" w:fill="auto"/>
          </w:tcPr>
          <w:p w:rsidR="00F82A21" w:rsidRPr="00D54561" w:rsidP="00D54561">
            <w:pPr>
              <w:spacing w:after="0" w:line="240" w:lineRule="auto"/>
              <w:jc w:val="both"/>
              <w:rPr>
                <w:rFonts w:ascii="Arial" w:hAnsi="Arial" w:cs="Arial"/>
                <w:sz w:val="20"/>
                <w:szCs w:val="20"/>
              </w:rPr>
            </w:pPr>
            <w:r w:rsidRPr="00D54561" w:rsidR="006B629D">
              <w:rPr>
                <w:rFonts w:ascii="Arial" w:hAnsi="Arial" w:cs="Arial"/>
                <w:sz w:val="20"/>
                <w:szCs w:val="20"/>
              </w:rPr>
              <w:t>R</w:t>
            </w:r>
            <w:r w:rsidRPr="00D54561">
              <w:rPr>
                <w:rFonts w:ascii="Arial" w:hAnsi="Arial" w:cs="Arial"/>
                <w:sz w:val="20"/>
                <w:szCs w:val="20"/>
              </w:rPr>
              <w:t>efer to the Note 4 ‘Critical accounting estimates and judgement’ and the Note 3</w:t>
            </w:r>
            <w:r w:rsidRPr="00D54561" w:rsidR="007447A1">
              <w:rPr>
                <w:rFonts w:ascii="Arial" w:hAnsi="Arial" w:cs="Arial"/>
                <w:sz w:val="20"/>
                <w:szCs w:val="20"/>
              </w:rPr>
              <w:t>5</w:t>
            </w:r>
            <w:r w:rsidRPr="00D54561">
              <w:rPr>
                <w:rFonts w:ascii="Arial" w:hAnsi="Arial" w:cs="Arial"/>
                <w:sz w:val="20"/>
                <w:szCs w:val="20"/>
              </w:rPr>
              <w:t xml:space="preserve"> ‘Share-based payments’. </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lang w:val="en-US"/>
              </w:rPr>
            </w:pPr>
            <w:r w:rsidRPr="00D54561" w:rsidR="006B629D">
              <w:rPr>
                <w:rFonts w:ascii="Arial" w:hAnsi="Arial" w:cs="Arial"/>
                <w:sz w:val="20"/>
                <w:szCs w:val="20"/>
              </w:rPr>
              <w:t xml:space="preserve">In May 2017, the Group put in place a ‘Special Remuneration Scheme’ for its directors and employees where participating employees will be granted with the right to use their remuneration to subscribe for initial public offering shares (IPO Shares) at the IPO Share price, provided that they enter into an agreement with B. Grimm Power or its subsidiaries to continue their employment for at least next four calendar years (the lock-up period). If the employees resign before the lock-up period, they will be forced to sell all of their shares and return the proceed from sales to the Group. The accounting treatment of the scheme falls in the scope of TFRS 2 </w:t>
            </w:r>
            <w:r w:rsidRPr="00D54561" w:rsidR="004D2818">
              <w:rPr>
                <w:rFonts w:ascii="Arial" w:hAnsi="Arial" w:cs="Arial"/>
                <w:sz w:val="20"/>
                <w:szCs w:val="20"/>
              </w:rPr>
              <w:t>-</w:t>
            </w:r>
            <w:r w:rsidRPr="00D54561" w:rsidR="006B629D">
              <w:rPr>
                <w:rFonts w:ascii="Arial" w:hAnsi="Arial" w:cs="Arial"/>
                <w:sz w:val="20"/>
                <w:szCs w:val="20"/>
              </w:rPr>
              <w:t xml:space="preserve"> ‘Share-based payments’.</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6B629D">
              <w:rPr>
                <w:rFonts w:ascii="Arial" w:hAnsi="Arial" w:cs="Arial"/>
                <w:sz w:val="20"/>
                <w:szCs w:val="20"/>
              </w:rPr>
              <w:t>I focused on this area because the details of the scheme are complex. Determining the appropriate accounting treatment requires various judgements to be made, including the likelihood of the employees continuing to work with the Group until the scheme’s lock-up period ends, as well as the need to determine the grant date and vesting date.</w:t>
            </w:r>
            <w:r w:rsidRPr="00D54561">
              <w:rPr>
                <w:rFonts w:ascii="Arial" w:hAnsi="Arial" w:cs="Arial"/>
                <w:sz w:val="20"/>
                <w:szCs w:val="20"/>
              </w:rPr>
              <w:t xml:space="preserve"> </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3055CE">
              <w:rPr>
                <w:rFonts w:ascii="Arial" w:hAnsi="Arial" w:cs="Arial"/>
                <w:sz w:val="20"/>
                <w:szCs w:val="20"/>
              </w:rPr>
              <w:t>In addition</w:t>
            </w:r>
            <w:r w:rsidRPr="00D54561">
              <w:rPr>
                <w:rFonts w:ascii="Arial" w:hAnsi="Arial" w:cs="Arial"/>
                <w:sz w:val="20"/>
                <w:szCs w:val="20"/>
                <w:lang w:val="en-US"/>
              </w:rPr>
              <w:t xml:space="preserve">, </w:t>
            </w:r>
            <w:r w:rsidRPr="00D54561" w:rsidR="006B629D">
              <w:rPr>
                <w:rFonts w:ascii="Arial" w:hAnsi="Arial" w:cs="Arial"/>
                <w:sz w:val="20"/>
                <w:szCs w:val="20"/>
                <w:lang w:val="en-US"/>
              </w:rPr>
              <w:t>the shares’ fair valuation method involves significant management judgement about future business results and the discount rates used in future cash flow forecasts</w:t>
            </w:r>
            <w:r w:rsidRPr="00D54561">
              <w:rPr>
                <w:rFonts w:ascii="Arial" w:hAnsi="Arial" w:cs="Arial"/>
                <w:sz w:val="20"/>
                <w:szCs w:val="20"/>
                <w:lang w:val="en-US"/>
              </w:rPr>
              <w:t>.</w:t>
            </w:r>
          </w:p>
        </w:tc>
        <w:tc>
          <w:tcPr>
            <w:tcW w:w="4954" w:type="dxa"/>
            <w:shd w:val="clear" w:color="auto" w:fill="DCDCDC"/>
          </w:tcPr>
          <w:p w:rsidR="00F82A21" w:rsidRPr="00D54561" w:rsidP="00D54561">
            <w:pPr>
              <w:spacing w:after="0" w:line="240" w:lineRule="auto"/>
              <w:jc w:val="both"/>
              <w:rPr>
                <w:rFonts w:ascii="Arial" w:hAnsi="Arial" w:cs="Arial"/>
                <w:sz w:val="20"/>
                <w:szCs w:val="20"/>
              </w:rPr>
            </w:pPr>
            <w:r w:rsidRPr="00D54561">
              <w:rPr>
                <w:rFonts w:ascii="Arial" w:hAnsi="Arial" w:cs="Arial"/>
                <w:sz w:val="20"/>
                <w:szCs w:val="20"/>
                <w:lang w:val="en-US"/>
              </w:rPr>
              <w:t>I</w:t>
            </w:r>
            <w:r w:rsidRPr="00D54561" w:rsidR="006B629D">
              <w:rPr>
                <w:rFonts w:ascii="Arial" w:hAnsi="Arial" w:cs="Arial"/>
                <w:sz w:val="20"/>
                <w:szCs w:val="20"/>
              </w:rPr>
              <w:t xml:space="preserve"> assessed the management’s consideration that the Special Remuneration Scheme for its directors and employees should be accounted for applying TFRS 2</w:t>
            </w:r>
            <w:r w:rsidRPr="00D54561">
              <w:rPr>
                <w:rFonts w:ascii="Arial" w:hAnsi="Arial" w:cs="Arial"/>
                <w:sz w:val="20"/>
                <w:szCs w:val="20"/>
              </w:rPr>
              <w:t>.</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6B629D">
              <w:rPr>
                <w:rFonts w:ascii="Arial" w:hAnsi="Arial" w:cs="Arial"/>
                <w:sz w:val="20"/>
                <w:szCs w:val="20"/>
              </w:rPr>
              <w:t xml:space="preserve">During this assessment, I discussed the assumptions with management and challenged whether they are realistic under present and historical circumstances. </w:t>
            </w:r>
            <w:r w:rsidRPr="00D54561" w:rsidR="004D2818">
              <w:rPr>
                <w:rFonts w:ascii="Arial" w:hAnsi="Arial" w:cs="Arial"/>
                <w:sz w:val="20"/>
                <w:szCs w:val="20"/>
              </w:rPr>
              <w:br/>
            </w:r>
            <w:r w:rsidRPr="00D54561" w:rsidR="006B629D">
              <w:rPr>
                <w:rFonts w:ascii="Arial" w:hAnsi="Arial" w:cs="Arial"/>
                <w:sz w:val="20"/>
                <w:szCs w:val="20"/>
              </w:rPr>
              <w:t>I reviewed the scheme’s conditions seeking any inconsistences with the management’s analysis. I did not note any significant issues</w:t>
            </w:r>
            <w:r w:rsidRPr="00D54561">
              <w:rPr>
                <w:rFonts w:ascii="Arial" w:hAnsi="Arial" w:cs="Arial"/>
                <w:sz w:val="20"/>
                <w:szCs w:val="20"/>
                <w:lang w:val="en-US"/>
              </w:rPr>
              <w:t>.</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6B629D">
              <w:rPr>
                <w:rFonts w:ascii="Arial" w:hAnsi="Arial" w:cs="Arial"/>
                <w:sz w:val="20"/>
                <w:szCs w:val="20"/>
                <w:lang w:val="en-US"/>
              </w:rPr>
              <w:t>In testing the fair valuation method, I engaged an auditor expert to review the valuation of the IPO shares computed by the Group’s advisors</w:t>
            </w:r>
            <w:r w:rsidRPr="00D54561" w:rsidR="006B629D">
              <w:rPr>
                <w:rFonts w:ascii="Arial" w:hAnsi="Arial" w:cs="Arial"/>
                <w:sz w:val="20"/>
                <w:szCs w:val="20"/>
              </w:rPr>
              <w:t xml:space="preserve">. </w:t>
              <w:br/>
            </w:r>
            <w:r w:rsidRPr="00D54561">
              <w:rPr>
                <w:rFonts w:ascii="Arial" w:hAnsi="Arial" w:cs="Arial"/>
                <w:sz w:val="20"/>
                <w:szCs w:val="20"/>
              </w:rPr>
              <w:t>The auditor</w:t>
            </w:r>
            <w:r w:rsidRPr="00D54561" w:rsidR="006B629D">
              <w:rPr>
                <w:rFonts w:ascii="Arial" w:hAnsi="Arial" w:cs="Arial"/>
                <w:sz w:val="20"/>
                <w:szCs w:val="20"/>
              </w:rPr>
              <w:t xml:space="preserve"> </w:t>
            </w:r>
            <w:r w:rsidRPr="00D54561">
              <w:rPr>
                <w:rFonts w:ascii="Arial" w:hAnsi="Arial" w:cs="Arial"/>
                <w:sz w:val="20"/>
                <w:szCs w:val="20"/>
              </w:rPr>
              <w:t>expert’s works included reviewing the appropriateness and reasonableness of the methodology used in the valuation, the estimation of the discount rate and discount factor, and the model’s logic and calculations, comparing with market practice in a comparable industry.</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F95BBF">
              <w:rPr>
                <w:rFonts w:ascii="Arial" w:hAnsi="Arial" w:cs="Arial"/>
                <w:sz w:val="20"/>
                <w:szCs w:val="20"/>
              </w:rPr>
              <w:t>I also evaluated the reasonableness of key assumptions used in calculating the fair value by comparing to the relative contracts, the Group’s historical data, market data in a comparable industry and the business plan of the Group. I noted no significant exceptions</w:t>
            </w:r>
            <w:r w:rsidRPr="00D54561">
              <w:rPr>
                <w:rFonts w:ascii="Arial" w:hAnsi="Arial" w:cs="Arial"/>
                <w:sz w:val="20"/>
                <w:szCs w:val="20"/>
              </w:rPr>
              <w:t>.</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F95BBF">
              <w:rPr>
                <w:rFonts w:ascii="Arial" w:hAnsi="Arial" w:cs="Arial"/>
                <w:sz w:val="20"/>
                <w:szCs w:val="20"/>
              </w:rPr>
              <w:t>I verified the supporting details for the share-based payment, including the personal information of employees and the number of employees who joined the scheme, and tested the calculation. I did not find any material inconsistency with the supporting evidences.</w:t>
            </w:r>
          </w:p>
          <w:p w:rsidR="00F82A21" w:rsidRPr="00D54561" w:rsidP="00D54561">
            <w:pPr>
              <w:spacing w:after="0" w:line="240" w:lineRule="auto"/>
              <w:jc w:val="both"/>
              <w:rPr>
                <w:rFonts w:ascii="Arial" w:hAnsi="Arial" w:cs="Arial"/>
                <w:sz w:val="20"/>
                <w:szCs w:val="20"/>
              </w:rPr>
            </w:pPr>
          </w:p>
          <w:p w:rsidR="00F82A21" w:rsidRPr="00D54561" w:rsidP="00D54561">
            <w:pPr>
              <w:spacing w:after="0" w:line="240" w:lineRule="auto"/>
              <w:jc w:val="both"/>
              <w:rPr>
                <w:rFonts w:ascii="Arial" w:hAnsi="Arial" w:cs="Arial"/>
                <w:sz w:val="20"/>
                <w:szCs w:val="20"/>
              </w:rPr>
            </w:pPr>
            <w:r w:rsidRPr="00D54561" w:rsidR="00F95BBF">
              <w:rPr>
                <w:rFonts w:ascii="Arial" w:hAnsi="Arial" w:cs="Arial"/>
                <w:sz w:val="20"/>
                <w:szCs w:val="20"/>
              </w:rPr>
              <w:t>Based on procedures performed, I found that the accounting treatment is appropriate and the fair value of shares is within an acceptable range</w:t>
            </w:r>
            <w:r w:rsidRPr="00D54561">
              <w:rPr>
                <w:rFonts w:ascii="Arial" w:hAnsi="Arial" w:cs="Arial"/>
                <w:sz w:val="20"/>
                <w:szCs w:val="20"/>
              </w:rPr>
              <w:t>.</w:t>
            </w:r>
          </w:p>
          <w:p w:rsidR="00F82A21" w:rsidRPr="00D54561" w:rsidP="00D54561">
            <w:pPr>
              <w:spacing w:after="0" w:line="240" w:lineRule="auto"/>
              <w:jc w:val="both"/>
              <w:rPr>
                <w:rFonts w:ascii="Arial" w:hAnsi="Arial" w:cs="Arial"/>
                <w:sz w:val="20"/>
                <w:szCs w:val="20"/>
              </w:rPr>
            </w:pPr>
          </w:p>
        </w:tc>
      </w:tr>
      <w:tr w:rsidTr="00D54561">
        <w:tblPrEx>
          <w:tblW w:w="9173" w:type="dxa"/>
          <w:tblLayout w:type="fixed"/>
          <w:tblLook w:val="04A0"/>
        </w:tblPrEx>
        <w:tc>
          <w:tcPr>
            <w:tcW w:w="4219" w:type="dxa"/>
            <w:tcBorders>
              <w:bottom w:val="dotted" w:sz="4" w:space="0" w:color="ED8731"/>
            </w:tcBorders>
            <w:shd w:val="clear" w:color="auto" w:fill="auto"/>
          </w:tcPr>
          <w:p w:rsidR="00F82A21" w:rsidRPr="00D54561" w:rsidP="00D54561">
            <w:pPr>
              <w:spacing w:after="0" w:line="240" w:lineRule="auto"/>
              <w:jc w:val="both"/>
              <w:rPr>
                <w:rFonts w:ascii="Arial" w:hAnsi="Arial" w:cs="Arial"/>
                <w:b/>
                <w:bCs/>
                <w:i/>
                <w:iCs/>
                <w:sz w:val="20"/>
                <w:szCs w:val="20"/>
              </w:rPr>
            </w:pPr>
          </w:p>
        </w:tc>
        <w:tc>
          <w:tcPr>
            <w:tcW w:w="4954" w:type="dxa"/>
            <w:tcBorders>
              <w:bottom w:val="dotted" w:sz="4" w:space="0" w:color="ED8731"/>
            </w:tcBorders>
            <w:shd w:val="clear" w:color="auto" w:fill="DCDCDC"/>
          </w:tcPr>
          <w:p w:rsidR="00F82A21" w:rsidRPr="00D54561" w:rsidP="00D54561">
            <w:pPr>
              <w:spacing w:after="0" w:line="240" w:lineRule="auto"/>
              <w:jc w:val="both"/>
              <w:rPr>
                <w:rFonts w:ascii="Arial" w:hAnsi="Arial" w:cs="Arial"/>
                <w:sz w:val="20"/>
                <w:szCs w:val="20"/>
              </w:rPr>
            </w:pPr>
          </w:p>
        </w:tc>
      </w:tr>
    </w:tbl>
    <w:p w:rsidR="00F82A21" w:rsidP="00256DBB">
      <w:pPr>
        <w:pStyle w:val="Default"/>
        <w:jc w:val="both"/>
        <w:rPr>
          <w:b/>
          <w:bCs/>
          <w:color w:val="auto"/>
          <w:sz w:val="22"/>
          <w:szCs w:val="22"/>
        </w:rPr>
      </w:pPr>
    </w:p>
    <w:p w:rsidR="00F82A21" w:rsidP="00256DBB">
      <w:pPr>
        <w:pStyle w:val="Default"/>
        <w:jc w:val="both"/>
        <w:rPr>
          <w:b/>
          <w:bCs/>
          <w:color w:val="auto"/>
          <w:sz w:val="22"/>
          <w:szCs w:val="22"/>
        </w:rPr>
      </w:pPr>
    </w:p>
    <w:p w:rsidR="00F82A21" w:rsidP="00256DBB">
      <w:pPr>
        <w:pStyle w:val="Default"/>
        <w:jc w:val="both"/>
        <w:rPr>
          <w:b/>
          <w:bCs/>
          <w:color w:val="auto"/>
          <w:sz w:val="22"/>
          <w:szCs w:val="22"/>
        </w:rPr>
      </w:pPr>
    </w:p>
    <w:p w:rsidR="00D863A3" w:rsidRPr="005919E4" w:rsidP="004C7135">
      <w:pPr>
        <w:rPr>
          <w:b/>
          <w:bCs/>
          <w:color w:val="C00000"/>
          <w:szCs w:val="22"/>
        </w:rPr>
      </w:pPr>
      <w:r w:rsidR="00BA5294">
        <w:rPr>
          <w:b/>
          <w:bCs/>
          <w:szCs w:val="22"/>
        </w:rPr>
        <w:br w:type="page"/>
      </w:r>
      <w:r w:rsidRPr="005919E4">
        <w:rPr>
          <w:b/>
          <w:bCs/>
          <w:color w:val="C00000"/>
          <w:szCs w:val="22"/>
        </w:rPr>
        <w:t xml:space="preserve">Other information </w:t>
      </w:r>
    </w:p>
    <w:p w:rsidR="00D863A3" w:rsidRPr="00D54561" w:rsidP="00D863A3">
      <w:pPr>
        <w:pStyle w:val="Default"/>
        <w:jc w:val="thaiDistribute"/>
        <w:rPr>
          <w:rFonts w:cs="Cordia New"/>
          <w:b/>
          <w:bCs/>
          <w:color w:val="C00000"/>
          <w:sz w:val="12"/>
          <w:szCs w:val="12"/>
        </w:rPr>
      </w:pPr>
    </w:p>
    <w:p w:rsidR="00D863A3" w:rsidRPr="005919E4" w:rsidP="00D863A3">
      <w:pPr>
        <w:pStyle w:val="Default"/>
        <w:jc w:val="thaiDistribute"/>
        <w:rPr>
          <w:sz w:val="20"/>
          <w:szCs w:val="20"/>
        </w:rPr>
      </w:pPr>
      <w:r w:rsidRPr="005919E4">
        <w:rPr>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rsidR="00D863A3" w:rsidRPr="005919E4" w:rsidP="00D863A3">
      <w:pPr>
        <w:pStyle w:val="Default"/>
        <w:jc w:val="thaiDistribute"/>
        <w:rPr>
          <w:sz w:val="20"/>
          <w:szCs w:val="20"/>
        </w:rPr>
      </w:pPr>
    </w:p>
    <w:p w:rsidR="00D863A3" w:rsidRPr="005919E4" w:rsidP="00D863A3">
      <w:pPr>
        <w:pStyle w:val="Default"/>
        <w:jc w:val="thaiDistribute"/>
        <w:rPr>
          <w:sz w:val="20"/>
          <w:szCs w:val="20"/>
        </w:rPr>
      </w:pPr>
      <w:r w:rsidRPr="005919E4">
        <w:rPr>
          <w:sz w:val="20"/>
          <w:szCs w:val="20"/>
        </w:rPr>
        <w:t xml:space="preserve">My opinion on the consolidated and separate financial statements does not cover the other information and I will not express any form of assurance conclusion thereon. </w:t>
      </w:r>
    </w:p>
    <w:p w:rsidR="00D863A3" w:rsidRPr="005919E4" w:rsidP="00D863A3">
      <w:pPr>
        <w:pStyle w:val="Default"/>
        <w:jc w:val="thaiDistribute"/>
        <w:rPr>
          <w:sz w:val="20"/>
          <w:szCs w:val="20"/>
        </w:rPr>
      </w:pPr>
    </w:p>
    <w:p w:rsidR="00D863A3" w:rsidRPr="005919E4" w:rsidP="00D863A3">
      <w:pPr>
        <w:pStyle w:val="Default"/>
        <w:jc w:val="thaiDistribute"/>
        <w:rPr>
          <w:sz w:val="20"/>
          <w:szCs w:val="20"/>
        </w:rPr>
      </w:pPr>
      <w:r w:rsidRPr="005919E4">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D863A3" w:rsidRPr="005919E4" w:rsidP="00D863A3">
      <w:pPr>
        <w:pStyle w:val="Default"/>
        <w:jc w:val="thaiDistribute"/>
        <w:rPr>
          <w:sz w:val="20"/>
          <w:szCs w:val="20"/>
        </w:rPr>
      </w:pPr>
    </w:p>
    <w:p w:rsidR="00D863A3" w:rsidRPr="002D421F" w:rsidP="00D863A3">
      <w:pPr>
        <w:pStyle w:val="Default"/>
        <w:jc w:val="thaiDistribute"/>
        <w:rPr>
          <w:sz w:val="22"/>
          <w:szCs w:val="22"/>
        </w:rPr>
      </w:pPr>
      <w:r w:rsidRPr="005919E4">
        <w:rPr>
          <w:sz w:val="20"/>
          <w:szCs w:val="20"/>
        </w:rPr>
        <w:t>When I read the annual report, if I conclude that there is a material misstatement therein,</w:t>
      </w:r>
      <w:r w:rsidRPr="005919E4">
        <w:rPr>
          <w:rFonts w:cs="Angsana New"/>
          <w:sz w:val="20"/>
          <w:szCs w:val="20"/>
          <w:cs/>
        </w:rPr>
        <w:t xml:space="preserve"> </w:t>
      </w:r>
      <w:r w:rsidRPr="005919E4">
        <w:rPr>
          <w:sz w:val="20"/>
          <w:szCs w:val="20"/>
        </w:rPr>
        <w:t>I am required to communicate the matter to the audit committee.</w:t>
      </w:r>
    </w:p>
    <w:p w:rsidR="00F82A21" w:rsidP="00256DBB">
      <w:pPr>
        <w:pStyle w:val="Default"/>
        <w:jc w:val="both"/>
        <w:rPr>
          <w:b/>
          <w:bCs/>
          <w:color w:val="auto"/>
          <w:sz w:val="22"/>
          <w:szCs w:val="22"/>
        </w:rPr>
      </w:pPr>
    </w:p>
    <w:p w:rsidR="00256DBB" w:rsidRPr="00D863A3" w:rsidP="00256DBB">
      <w:pPr>
        <w:pStyle w:val="Default"/>
        <w:jc w:val="both"/>
        <w:rPr>
          <w:b/>
          <w:bCs/>
          <w:color w:val="C00000"/>
          <w:sz w:val="22"/>
          <w:szCs w:val="22"/>
        </w:rPr>
      </w:pPr>
      <w:r w:rsidRPr="00D863A3" w:rsidR="00F82A21">
        <w:rPr>
          <w:b/>
          <w:bCs/>
          <w:color w:val="C00000"/>
          <w:sz w:val="22"/>
          <w:szCs w:val="22"/>
        </w:rPr>
        <w:t>Responsibilities of the directors for the consolidated and separate financial statements</w:t>
      </w:r>
    </w:p>
    <w:p w:rsidR="00F82A21" w:rsidRPr="00D863A3" w:rsidP="00256DBB">
      <w:pPr>
        <w:pStyle w:val="Default"/>
        <w:jc w:val="both"/>
        <w:rPr>
          <w:b/>
          <w:bCs/>
          <w:color w:val="C00000"/>
          <w:sz w:val="12"/>
          <w:szCs w:val="12"/>
        </w:rPr>
      </w:pPr>
    </w:p>
    <w:p w:rsidR="00F82A21" w:rsidRPr="00F82A21" w:rsidP="00F82A21">
      <w:pPr>
        <w:pStyle w:val="Default"/>
        <w:jc w:val="both"/>
        <w:rPr>
          <w:color w:val="auto"/>
          <w:sz w:val="20"/>
          <w:szCs w:val="20"/>
        </w:rPr>
      </w:pPr>
      <w:r w:rsidRPr="00F82A21">
        <w:rPr>
          <w:color w:val="auto"/>
          <w:sz w:val="20"/>
          <w:szCs w:val="20"/>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F82A21" w:rsidRPr="00F82A21" w:rsidP="00F82A21">
      <w:pPr>
        <w:pStyle w:val="Default"/>
        <w:jc w:val="both"/>
        <w:rPr>
          <w:color w:val="auto"/>
          <w:sz w:val="20"/>
          <w:szCs w:val="20"/>
        </w:rPr>
      </w:pPr>
    </w:p>
    <w:p w:rsidR="00F82A21" w:rsidRPr="00F82A21" w:rsidP="00F82A21">
      <w:pPr>
        <w:pStyle w:val="Default"/>
        <w:jc w:val="both"/>
        <w:rPr>
          <w:color w:val="auto"/>
          <w:sz w:val="20"/>
          <w:szCs w:val="20"/>
        </w:rPr>
      </w:pPr>
      <w:r w:rsidRPr="00F82A21">
        <w:rPr>
          <w:color w:val="auto"/>
          <w:sz w:val="20"/>
          <w:szCs w:val="20"/>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F82A21" w:rsidRPr="00F82A21" w:rsidP="00F82A21">
      <w:pPr>
        <w:pStyle w:val="Default"/>
        <w:jc w:val="both"/>
        <w:rPr>
          <w:color w:val="auto"/>
          <w:sz w:val="20"/>
          <w:szCs w:val="20"/>
        </w:rPr>
      </w:pPr>
    </w:p>
    <w:p w:rsidR="00F82A21" w:rsidP="00F82A21">
      <w:pPr>
        <w:pStyle w:val="Default"/>
        <w:jc w:val="both"/>
        <w:rPr>
          <w:color w:val="auto"/>
          <w:sz w:val="20"/>
          <w:szCs w:val="20"/>
        </w:rPr>
      </w:pPr>
      <w:r w:rsidRPr="00F82A21">
        <w:rPr>
          <w:color w:val="auto"/>
          <w:sz w:val="20"/>
          <w:szCs w:val="20"/>
        </w:rPr>
        <w:t>The audit committee assists the directors in discharging their responsibilities for overseeing the Group and the Company’s financial reporting process.</w:t>
      </w:r>
    </w:p>
    <w:p w:rsidR="00F82A21" w:rsidP="00F82A21">
      <w:pPr>
        <w:pStyle w:val="Default"/>
        <w:jc w:val="both"/>
        <w:rPr>
          <w:color w:val="auto"/>
          <w:sz w:val="20"/>
          <w:szCs w:val="20"/>
        </w:rPr>
      </w:pPr>
    </w:p>
    <w:p w:rsidR="00F82A21" w:rsidRPr="000760EB" w:rsidP="00F82A21">
      <w:pPr>
        <w:pStyle w:val="Default"/>
        <w:jc w:val="thaiDistribute"/>
        <w:rPr>
          <w:b/>
          <w:bCs/>
          <w:color w:val="C00000"/>
          <w:spacing w:val="-4"/>
          <w:sz w:val="22"/>
          <w:szCs w:val="22"/>
        </w:rPr>
      </w:pPr>
      <w:r w:rsidRPr="000760EB">
        <w:rPr>
          <w:b/>
          <w:bCs/>
          <w:color w:val="C00000"/>
          <w:spacing w:val="-4"/>
          <w:sz w:val="22"/>
          <w:szCs w:val="22"/>
        </w:rPr>
        <w:t>Auditor’s responsibilities for the audit of the consolidated and separate financial statements</w:t>
      </w:r>
    </w:p>
    <w:p w:rsidR="00256DBB" w:rsidRPr="00F82A21" w:rsidP="00256DBB">
      <w:pPr>
        <w:pStyle w:val="Default"/>
        <w:jc w:val="both"/>
        <w:rPr>
          <w:b/>
          <w:bCs/>
          <w:color w:val="auto"/>
          <w:sz w:val="12"/>
          <w:szCs w:val="12"/>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 xml:space="preserve">As part of an audit in accordance with TSAs, I exercise professional judgment and maintain professional scepticism throughout the audit. I also: </w:t>
      </w:r>
    </w:p>
    <w:p w:rsidR="00F82A21" w:rsidRPr="000760EB" w:rsidP="00F82A21">
      <w:pPr>
        <w:spacing w:after="0" w:line="240" w:lineRule="auto"/>
        <w:jc w:val="both"/>
        <w:rPr>
          <w:rFonts w:ascii="Arial" w:hAnsi="Arial" w:cs="Arial"/>
          <w:sz w:val="12"/>
          <w:szCs w:val="12"/>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82A21" w:rsidP="004C7135">
      <w:pPr>
        <w:numPr>
          <w:ilvl w:val="0"/>
          <w:numId w:val="1"/>
        </w:numPr>
        <w:tabs>
          <w:tab w:val="clear" w:pos="720"/>
        </w:tabs>
        <w:spacing w:after="0" w:line="240" w:lineRule="auto"/>
        <w:jc w:val="both"/>
        <w:rPr>
          <w:rFonts w:ascii="Arial" w:hAnsi="Arial" w:cs="Arial"/>
          <w:sz w:val="20"/>
          <w:szCs w:val="20"/>
        </w:rPr>
      </w:pPr>
      <w:r w:rsidR="00BA5294">
        <w:rPr>
          <w:rFonts w:ascii="Arial" w:hAnsi="Arial" w:cs="Arial"/>
          <w:sz w:val="20"/>
          <w:szCs w:val="20"/>
        </w:rPr>
        <w:br w:type="page"/>
      </w:r>
      <w:r w:rsidRPr="00F82A21">
        <w:rPr>
          <w:rFonts w:ascii="Arial" w:hAnsi="Arial" w:cs="Arial"/>
          <w:sz w:val="20"/>
          <w:szCs w:val="20"/>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0760EB" w:rsidRPr="000760EB" w:rsidP="000760EB">
      <w:pPr>
        <w:spacing w:after="0" w:line="240" w:lineRule="auto"/>
        <w:ind w:left="720"/>
        <w:jc w:val="both"/>
        <w:rPr>
          <w:rFonts w:ascii="Arial" w:hAnsi="Arial" w:cs="Arial"/>
          <w:sz w:val="12"/>
          <w:szCs w:val="12"/>
        </w:rPr>
      </w:pPr>
    </w:p>
    <w:p w:rsidR="00F82A21" w:rsidP="00BA5294">
      <w:pPr>
        <w:numPr>
          <w:ilvl w:val="0"/>
          <w:numId w:val="1"/>
        </w:numPr>
        <w:tabs>
          <w:tab w:val="clear" w:pos="720"/>
        </w:tabs>
        <w:spacing w:after="0" w:line="240" w:lineRule="auto"/>
        <w:jc w:val="both"/>
        <w:rPr>
          <w:rFonts w:ascii="Arial" w:hAnsi="Arial" w:cs="Arial"/>
          <w:sz w:val="20"/>
          <w:szCs w:val="20"/>
        </w:rPr>
      </w:pPr>
      <w:r w:rsidRPr="00D863A3">
        <w:rPr>
          <w:rFonts w:ascii="Arial" w:hAnsi="Arial" w:cs="Arial"/>
          <w:sz w:val="20"/>
          <w:szCs w:val="20"/>
        </w:rPr>
        <w:t xml:space="preserve">Evaluate the appropriateness of accounting policies used and the reasonableness of accounting estimates and related disclosures made by the directors. </w:t>
      </w:r>
    </w:p>
    <w:p w:rsidR="00D863A3" w:rsidRPr="000760EB" w:rsidP="00BA5294">
      <w:pPr>
        <w:spacing w:after="0" w:line="240" w:lineRule="auto"/>
        <w:ind w:left="720"/>
        <w:jc w:val="both"/>
        <w:rPr>
          <w:rFonts w:ascii="Arial" w:hAnsi="Arial" w:cs="Arial"/>
          <w:sz w:val="12"/>
          <w:szCs w:val="12"/>
          <w:cs/>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F82A21" w:rsidRPr="000760EB" w:rsidP="00BA5294">
      <w:pPr>
        <w:spacing w:after="0" w:line="240" w:lineRule="auto"/>
        <w:ind w:left="720"/>
        <w:jc w:val="both"/>
        <w:rPr>
          <w:rFonts w:ascii="Arial" w:hAnsi="Arial" w:cs="Arial"/>
          <w:sz w:val="12"/>
          <w:szCs w:val="12"/>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82A21" w:rsidRPr="000760EB" w:rsidP="00BA5294">
      <w:pPr>
        <w:spacing w:after="0" w:line="240" w:lineRule="auto"/>
        <w:ind w:left="720"/>
        <w:jc w:val="both"/>
        <w:rPr>
          <w:rFonts w:ascii="Arial" w:hAnsi="Arial" w:cs="Arial"/>
          <w:sz w:val="12"/>
          <w:szCs w:val="12"/>
        </w:rPr>
      </w:pPr>
    </w:p>
    <w:p w:rsidR="00F82A21" w:rsidRPr="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w:t>
      </w:r>
      <w:r w:rsidR="00081576">
        <w:rPr>
          <w:rFonts w:ascii="Arial" w:hAnsi="Arial"/>
          <w:sz w:val="20"/>
          <w:szCs w:val="20"/>
          <w:cs/>
        </w:rPr>
        <w:br/>
      </w:r>
      <w:r w:rsidRPr="00F82A21">
        <w:rPr>
          <w:rFonts w:ascii="Arial" w:hAnsi="Arial" w:cs="Arial"/>
          <w:sz w:val="20"/>
          <w:szCs w:val="20"/>
        </w:rPr>
        <w:t xml:space="preserve">I remain solely responsible for my audit opinion. </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 xml:space="preserve">I communicate with the audit committee regarding, among other matters, the planned scope and timing of the audit and significant audit findings, including any significant deficiencies in internal control that </w:t>
      </w:r>
      <w:r w:rsidR="00081576">
        <w:rPr>
          <w:rFonts w:ascii="Arial" w:hAnsi="Arial"/>
          <w:sz w:val="20"/>
          <w:szCs w:val="20"/>
          <w:cs/>
        </w:rPr>
        <w:br/>
      </w:r>
      <w:r w:rsidRPr="00F82A21">
        <w:rPr>
          <w:rFonts w:ascii="Arial" w:hAnsi="Arial" w:cs="Arial"/>
          <w:sz w:val="20"/>
          <w:szCs w:val="20"/>
        </w:rPr>
        <w:t xml:space="preserve">I identify during my audit. </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F82A21" w:rsidRPr="00F82A21" w:rsidP="00F82A21">
      <w:pPr>
        <w:spacing w:after="0" w:line="240" w:lineRule="auto"/>
        <w:jc w:val="both"/>
        <w:rPr>
          <w:rFonts w:ascii="Arial" w:hAnsi="Arial" w:cs="Arial"/>
          <w:sz w:val="20"/>
          <w:szCs w:val="20"/>
        </w:rPr>
      </w:pPr>
    </w:p>
    <w:p w:rsidR="00F82A21" w:rsidRPr="00F82A21" w:rsidP="00F82A21">
      <w:pPr>
        <w:spacing w:after="0" w:line="240" w:lineRule="auto"/>
        <w:jc w:val="both"/>
        <w:rPr>
          <w:rFonts w:ascii="Arial" w:hAnsi="Arial" w:cs="Arial"/>
          <w:sz w:val="20"/>
          <w:szCs w:val="20"/>
        </w:rPr>
      </w:pPr>
      <w:r w:rsidRPr="00F82A21">
        <w:rPr>
          <w:rFonts w:ascii="Arial" w:hAnsi="Arial" w:cs="Arial"/>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256DBB" w:rsidRPr="00F82A21" w:rsidP="00256DBB">
      <w:pPr>
        <w:spacing w:after="0" w:line="240" w:lineRule="auto"/>
        <w:jc w:val="both"/>
        <w:rPr>
          <w:rFonts w:ascii="Arial" w:hAnsi="Arial" w:cs="Arial"/>
          <w:sz w:val="20"/>
          <w:szCs w:val="20"/>
        </w:rPr>
      </w:pPr>
    </w:p>
    <w:p w:rsidR="00256DBB" w:rsidRPr="00F82A21" w:rsidP="00256DBB">
      <w:pPr>
        <w:spacing w:after="0" w:line="240" w:lineRule="auto"/>
        <w:jc w:val="both"/>
        <w:rPr>
          <w:rFonts w:ascii="Arial" w:hAnsi="Arial"/>
          <w:sz w:val="20"/>
          <w:szCs w:val="20"/>
        </w:rPr>
      </w:pPr>
    </w:p>
    <w:p w:rsidR="00256DBB" w:rsidRPr="00F82A21" w:rsidP="00256DBB">
      <w:pPr>
        <w:autoSpaceDE w:val="0"/>
        <w:autoSpaceDN w:val="0"/>
        <w:adjustRightInd w:val="0"/>
        <w:spacing w:after="0" w:line="240" w:lineRule="auto"/>
        <w:jc w:val="both"/>
        <w:rPr>
          <w:rFonts w:ascii="Arial" w:hAnsi="Arial" w:cs="Arial"/>
          <w:sz w:val="20"/>
          <w:szCs w:val="20"/>
          <w:lang w:val="en-US"/>
        </w:rPr>
      </w:pPr>
      <w:r w:rsidRPr="00F82A21">
        <w:rPr>
          <w:rFonts w:ascii="Arial" w:hAnsi="Arial" w:cs="Arial"/>
          <w:sz w:val="20"/>
          <w:szCs w:val="20"/>
          <w:lang w:val="en-US"/>
        </w:rPr>
        <w:t>PricewaterhouseCoopers ABAS Ltd.</w:t>
      </w:r>
    </w:p>
    <w:p w:rsidR="00256DBB" w:rsidRPr="00F82A21" w:rsidP="00256DBB">
      <w:pPr>
        <w:pStyle w:val="Default"/>
        <w:jc w:val="both"/>
        <w:rPr>
          <w:color w:val="auto"/>
          <w:sz w:val="20"/>
          <w:szCs w:val="20"/>
        </w:rPr>
      </w:pPr>
    </w:p>
    <w:p w:rsidR="003D3D27" w:rsidRPr="00F82A21" w:rsidP="000D55B0">
      <w:pPr>
        <w:suppressAutoHyphens/>
        <w:spacing w:after="0" w:line="240" w:lineRule="auto"/>
        <w:rPr>
          <w:rFonts w:ascii="Arial" w:hAnsi="Arial" w:cs="Arial"/>
          <w:sz w:val="20"/>
          <w:szCs w:val="20"/>
        </w:rPr>
      </w:pPr>
    </w:p>
    <w:p w:rsidR="00BF6548" w:rsidRPr="00F82A21" w:rsidP="000D55B0">
      <w:pPr>
        <w:suppressAutoHyphens/>
        <w:spacing w:after="0" w:line="240" w:lineRule="auto"/>
        <w:rPr>
          <w:rFonts w:ascii="Arial" w:hAnsi="Arial" w:cs="Arial"/>
          <w:sz w:val="20"/>
          <w:szCs w:val="20"/>
        </w:rPr>
      </w:pPr>
    </w:p>
    <w:p w:rsidR="00BF6548" w:rsidRPr="00F82A21" w:rsidP="000D55B0">
      <w:pPr>
        <w:suppressAutoHyphens/>
        <w:spacing w:after="0" w:line="240" w:lineRule="auto"/>
        <w:rPr>
          <w:rFonts w:ascii="Arial" w:hAnsi="Arial" w:cs="Arial"/>
          <w:sz w:val="20"/>
          <w:szCs w:val="20"/>
        </w:rPr>
      </w:pPr>
    </w:p>
    <w:p w:rsidR="003D3D27" w:rsidRPr="00F82A21" w:rsidP="000D55B0">
      <w:pPr>
        <w:suppressAutoHyphens/>
        <w:spacing w:after="0" w:line="240" w:lineRule="auto"/>
        <w:rPr>
          <w:rFonts w:ascii="Arial" w:hAnsi="Arial" w:cs="Arial"/>
          <w:sz w:val="20"/>
          <w:szCs w:val="20"/>
        </w:rPr>
      </w:pPr>
    </w:p>
    <w:p w:rsidR="003D3D27" w:rsidP="000D55B0">
      <w:pPr>
        <w:suppressAutoHyphens/>
        <w:spacing w:after="0" w:line="240" w:lineRule="auto"/>
        <w:rPr>
          <w:rFonts w:ascii="Arial" w:hAnsi="Arial" w:cs="Arial"/>
          <w:sz w:val="20"/>
          <w:szCs w:val="20"/>
        </w:rPr>
      </w:pPr>
    </w:p>
    <w:p w:rsidR="000760EB" w:rsidRPr="00F82A21" w:rsidP="000D55B0">
      <w:pPr>
        <w:suppressAutoHyphens/>
        <w:spacing w:after="0" w:line="240" w:lineRule="auto"/>
        <w:rPr>
          <w:rFonts w:ascii="Arial" w:hAnsi="Arial" w:cs="Arial"/>
          <w:sz w:val="20"/>
          <w:szCs w:val="20"/>
        </w:rPr>
      </w:pPr>
    </w:p>
    <w:p w:rsidR="005B1E87" w:rsidRPr="0008202D" w:rsidP="000D55B0">
      <w:pPr>
        <w:suppressAutoHyphens/>
        <w:spacing w:after="0" w:line="240" w:lineRule="auto"/>
        <w:rPr>
          <w:rFonts w:ascii="Arial" w:hAnsi="Arial" w:cs="Arial"/>
          <w:b/>
          <w:bCs/>
          <w:sz w:val="20"/>
          <w:szCs w:val="20"/>
          <w:lang w:val="en-US"/>
        </w:rPr>
      </w:pPr>
    </w:p>
    <w:p w:rsidR="0008202D" w:rsidRPr="0008202D" w:rsidP="0008202D">
      <w:pPr>
        <w:spacing w:after="0" w:line="240" w:lineRule="auto"/>
        <w:rPr>
          <w:rFonts w:ascii="Arial" w:hAnsi="Arial" w:cs="Arial"/>
          <w:b/>
          <w:bCs/>
          <w:sz w:val="20"/>
          <w:szCs w:val="20"/>
        </w:rPr>
      </w:pPr>
      <w:r w:rsidRPr="0008202D">
        <w:rPr>
          <w:rFonts w:ascii="Arial" w:hAnsi="Arial" w:cs="Arial"/>
          <w:b/>
          <w:bCs/>
          <w:sz w:val="20"/>
          <w:szCs w:val="20"/>
        </w:rPr>
        <w:t xml:space="preserve">Kajornkiet </w:t>
      </w:r>
      <w:r w:rsidR="007059B5">
        <w:rPr>
          <w:rFonts w:ascii="Arial" w:hAnsi="Arial" w:cs="Arial"/>
          <w:b/>
          <w:bCs/>
          <w:sz w:val="20"/>
          <w:szCs w:val="20"/>
        </w:rPr>
        <w:t xml:space="preserve"> </w:t>
      </w:r>
      <w:r w:rsidRPr="0008202D">
        <w:rPr>
          <w:rFonts w:ascii="Arial" w:hAnsi="Arial" w:cs="Arial"/>
          <w:b/>
          <w:bCs/>
          <w:sz w:val="20"/>
          <w:szCs w:val="20"/>
        </w:rPr>
        <w:t>Aroonpirodkul</w:t>
      </w:r>
    </w:p>
    <w:p w:rsidR="005B1E87" w:rsidRPr="0008202D" w:rsidP="0008202D">
      <w:pPr>
        <w:spacing w:after="0" w:line="240" w:lineRule="auto"/>
        <w:rPr>
          <w:rFonts w:ascii="Arial" w:hAnsi="Arial" w:cs="Arial"/>
          <w:sz w:val="20"/>
          <w:szCs w:val="20"/>
        </w:rPr>
      </w:pPr>
      <w:r w:rsidRPr="0008202D">
        <w:rPr>
          <w:rFonts w:ascii="Arial" w:hAnsi="Arial" w:cs="Arial"/>
          <w:sz w:val="20"/>
          <w:szCs w:val="20"/>
        </w:rPr>
        <w:t xml:space="preserve">Certified Public Accountant (Thailand) No. </w:t>
      </w:r>
      <w:r w:rsidRPr="0008202D" w:rsidR="0008202D">
        <w:rPr>
          <w:rFonts w:ascii="Arial" w:hAnsi="Arial" w:cs="Arial"/>
          <w:sz w:val="20"/>
          <w:szCs w:val="20"/>
        </w:rPr>
        <w:t>3445</w:t>
      </w:r>
    </w:p>
    <w:p w:rsidR="008059B7" w:rsidRPr="0008202D" w:rsidP="0008202D">
      <w:pPr>
        <w:suppressAutoHyphens/>
        <w:spacing w:after="0" w:line="240" w:lineRule="auto"/>
        <w:rPr>
          <w:rFonts w:ascii="Arial" w:hAnsi="Arial" w:cs="Arial"/>
          <w:sz w:val="20"/>
          <w:szCs w:val="20"/>
        </w:rPr>
      </w:pPr>
      <w:r w:rsidRPr="0008202D" w:rsidR="005B1E87">
        <w:rPr>
          <w:rFonts w:ascii="Arial" w:hAnsi="Arial" w:cs="Arial"/>
          <w:sz w:val="20"/>
          <w:szCs w:val="20"/>
        </w:rPr>
        <w:t>Bangkok</w:t>
      </w:r>
    </w:p>
    <w:p w:rsidR="008059B7" w:rsidRPr="0008202D" w:rsidP="0008202D">
      <w:pPr>
        <w:suppressAutoHyphens/>
        <w:spacing w:after="0" w:line="240" w:lineRule="auto"/>
        <w:rPr>
          <w:rFonts w:ascii="Arial" w:hAnsi="Arial" w:cs="Arial"/>
          <w:sz w:val="20"/>
          <w:szCs w:val="20"/>
        </w:rPr>
      </w:pPr>
      <w:r w:rsidR="005919E4">
        <w:rPr>
          <w:rFonts w:ascii="Arial" w:hAnsi="Arial" w:cs="Arial"/>
          <w:sz w:val="20"/>
          <w:szCs w:val="20"/>
        </w:rPr>
        <w:t xml:space="preserve">28 February </w:t>
      </w:r>
      <w:r w:rsidRPr="0008202D" w:rsidR="007D5DBC">
        <w:rPr>
          <w:rFonts w:ascii="Arial" w:hAnsi="Arial" w:cs="Arial"/>
          <w:sz w:val="20"/>
          <w:szCs w:val="20"/>
        </w:rPr>
        <w:t>201</w:t>
      </w:r>
      <w:r w:rsidRPr="0008202D" w:rsidR="00256DBB">
        <w:rPr>
          <w:rFonts w:ascii="Arial" w:hAnsi="Arial" w:cs="Arial"/>
          <w:sz w:val="20"/>
          <w:szCs w:val="20"/>
        </w:rPr>
        <w:t>8</w:t>
      </w:r>
    </w:p>
    <w:p w:rsidR="00FE5E54" w:rsidRPr="00F82A21" w:rsidP="000D55B0">
      <w:pPr>
        <w:suppressAutoHyphens/>
        <w:spacing w:after="0" w:line="240" w:lineRule="auto"/>
        <w:rPr>
          <w:rFonts w:ascii="Arial" w:hAnsi="Arial" w:cs="Arial"/>
          <w:i/>
          <w:iCs/>
          <w:szCs w:val="22"/>
        </w:rPr>
        <w:sectPr w:rsidSect="007059B5">
          <w:pgSz w:w="11909" w:h="16834" w:code="9"/>
          <w:pgMar w:top="2880" w:right="720" w:bottom="720" w:left="1987" w:header="706" w:footer="706" w:gutter="0"/>
          <w:cols w:space="708"/>
          <w:docGrid w:linePitch="360"/>
        </w:sectPr>
      </w:pPr>
    </w:p>
    <w:p w:rsidR="00A61058" w:rsidRPr="00F82A21" w:rsidP="005B34C7">
      <w:pPr>
        <w:keepNext/>
        <w:spacing w:after="0" w:line="240" w:lineRule="auto"/>
        <w:ind w:left="540"/>
        <w:rPr>
          <w:rFonts w:ascii="Arial" w:hAnsi="Arial" w:cs="Arial"/>
          <w:szCs w:val="22"/>
        </w:rPr>
      </w:pPr>
      <w:r w:rsidRPr="00F82A21" w:rsidR="007D5DBC">
        <w:rPr>
          <w:rFonts w:ascii="Arial" w:hAnsi="Arial" w:cs="Arial"/>
          <w:b/>
          <w:bCs/>
          <w:szCs w:val="22"/>
        </w:rPr>
        <w:t>B.GRIMM POWER</w:t>
      </w:r>
      <w:r w:rsidRPr="00F82A21" w:rsidR="007D5DBC">
        <w:rPr>
          <w:rFonts w:ascii="Arial" w:hAnsi="Arial" w:cs="Arial"/>
          <w:b/>
          <w:bCs/>
          <w:szCs w:val="22"/>
        </w:rPr>
        <w:t xml:space="preserve"> </w:t>
      </w:r>
      <w:r w:rsidRPr="00F82A21">
        <w:rPr>
          <w:rFonts w:ascii="Arial" w:hAnsi="Arial" w:cs="Arial"/>
          <w:b/>
          <w:bCs/>
          <w:szCs w:val="22"/>
        </w:rPr>
        <w:t xml:space="preserve">PUBLIC COMPANY LIMITED </w:t>
      </w:r>
    </w:p>
    <w:p w:rsidR="00A61058" w:rsidRPr="00F82A21" w:rsidP="00A61058">
      <w:pPr>
        <w:suppressAutoHyphens/>
        <w:spacing w:after="0" w:line="240" w:lineRule="auto"/>
        <w:ind w:left="540"/>
        <w:rPr>
          <w:rFonts w:ascii="Arial" w:hAnsi="Arial" w:cs="Arial"/>
          <w:b/>
          <w:bCs/>
          <w:szCs w:val="22"/>
        </w:rPr>
      </w:pPr>
    </w:p>
    <w:p w:rsidR="00A61058" w:rsidRPr="00F82A21" w:rsidP="00A61058">
      <w:pPr>
        <w:suppressAutoHyphens/>
        <w:spacing w:after="0" w:line="240" w:lineRule="auto"/>
        <w:ind w:left="540"/>
        <w:rPr>
          <w:rFonts w:ascii="Arial" w:hAnsi="Arial" w:cs="Arial"/>
          <w:b/>
          <w:bCs/>
          <w:szCs w:val="22"/>
        </w:rPr>
      </w:pPr>
    </w:p>
    <w:p w:rsidR="00A61058" w:rsidRPr="00F82A21" w:rsidP="00A61058">
      <w:pPr>
        <w:keepNext/>
        <w:spacing w:after="0" w:line="240" w:lineRule="auto"/>
        <w:ind w:left="540"/>
        <w:rPr>
          <w:rFonts w:ascii="Arial" w:hAnsi="Arial" w:cs="Arial"/>
          <w:b/>
          <w:bCs/>
          <w:szCs w:val="22"/>
        </w:rPr>
      </w:pPr>
      <w:r w:rsidRPr="00F82A21">
        <w:rPr>
          <w:rFonts w:ascii="Arial" w:hAnsi="Arial" w:cs="Arial"/>
          <w:b/>
          <w:bCs/>
          <w:szCs w:val="22"/>
        </w:rPr>
        <w:t>CONSOLIDATED AND SEPARATE FINANCIAL STATEMENTS</w:t>
      </w:r>
    </w:p>
    <w:p w:rsidR="00A61058" w:rsidRPr="00F82A21" w:rsidP="00A61058">
      <w:pPr>
        <w:suppressAutoHyphens/>
        <w:spacing w:after="0" w:line="240" w:lineRule="auto"/>
        <w:ind w:left="540"/>
        <w:rPr>
          <w:rFonts w:ascii="Arial" w:hAnsi="Arial" w:cs="Arial"/>
          <w:b/>
          <w:bCs/>
          <w:szCs w:val="22"/>
        </w:rPr>
      </w:pPr>
    </w:p>
    <w:p w:rsidR="00A61058" w:rsidRPr="00F82A21" w:rsidP="00A61058">
      <w:pPr>
        <w:suppressAutoHyphens/>
        <w:spacing w:after="0" w:line="240" w:lineRule="auto"/>
        <w:ind w:left="540"/>
        <w:rPr>
          <w:rFonts w:ascii="Arial" w:hAnsi="Arial" w:cs="Arial"/>
          <w:b/>
          <w:bCs/>
          <w:szCs w:val="22"/>
        </w:rPr>
      </w:pPr>
      <w:r w:rsidRPr="00F82A21" w:rsidR="00256DBB">
        <w:rPr>
          <w:rFonts w:ascii="Arial" w:hAnsi="Arial" w:cs="Arial"/>
          <w:b/>
          <w:bCs/>
          <w:szCs w:val="22"/>
        </w:rPr>
        <w:t>31 DECEMBER 2017</w:t>
      </w:r>
    </w:p>
    <w:sectPr w:rsidSect="000760EB">
      <w:pgSz w:w="11909" w:h="16834" w:code="9"/>
      <w:pgMar w:top="4176" w:right="2880" w:bottom="10080" w:left="1728"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0000000000000000000"/>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0000000000000000000"/>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0000000000000000000"/>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345E3"/>
    <w:multiLevelType w:val="hybridMultilevel"/>
    <w:tmpl w:val="631C9452"/>
    <w:lvl w:ilvl="0">
      <w:start w:val="1"/>
      <w:numFmt w:val="bullet"/>
      <w:lvlText w:val="•"/>
      <w:lvlJc w:val="left"/>
      <w:pPr>
        <w:tabs>
          <w:tab w:val="num" w:pos="720"/>
        </w:tabs>
        <w:ind w:left="720" w:hanging="360"/>
      </w:pPr>
      <w:rPr>
        <w:rFonts w:ascii="Arial" w:hAnsi="Arial" w:hint="default"/>
        <w:color w:val="C00000"/>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
    <w:nsid w:val="335B68FF"/>
    <w:multiLevelType w:val="hybridMultilevel"/>
    <w:tmpl w:val="69CAF61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63C004CE"/>
    <w:multiLevelType w:val="hybridMultilevel"/>
    <w:tmpl w:val="8168177E"/>
    <w:lvl w:ilvl="0">
      <w:start w:val="1"/>
      <w:numFmt w:val="bullet"/>
      <w:lvlText w:val=""/>
      <w:lvlJc w:val="left"/>
      <w:pPr>
        <w:ind w:left="720" w:hanging="360"/>
      </w:pPr>
      <w:rPr>
        <w:rFonts w:ascii="Symbol" w:hAnsi="Symbol" w:hint="default"/>
        <w:color w:val="C000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65DC6BA1"/>
    <w:multiLevelType w:val="hybridMultilevel"/>
    <w:tmpl w:val="B426C4B8"/>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comments="1" w:formatting="1" w:inkAnnotations="1" w:insDel="1" w:markup="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8"/>
      <w:lang w:val="en-GB" w:eastAsia="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eastAsia="en-US" w:bidi="th-TH"/>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r="http://schemas.openxmlformats.org/officeDocument/2006/relationships" xmlns:w="http://schemas.openxmlformats.org/wordprocessingml/2006/main">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numbering" Target="numbering.xml" /><Relationship Id="rId6"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26D8-A7D5-4B85-8C50-DF5F022AD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Chotika Asawawimon</cp:lastModifiedBy>
  <cp:revision>3</cp:revision>
  <cp:lastPrinted>2018-02-26T03:16:00Z</cp:lastPrinted>
  <dcterms:created xsi:type="dcterms:W3CDTF">2018-02-26T10:51:00Z</dcterms:created>
  <dcterms:modified xsi:type="dcterms:W3CDTF">2018-02-26T10:52:00Z</dcterms:modified>
</cp:coreProperties>
</file>