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00" w:type="dxa"/>
        <w:tblLook w:val="01E0" w:firstRow="1" w:lastRow="1" w:firstColumn="1" w:lastColumn="1" w:noHBand="0" w:noVBand="0"/>
      </w:tblPr>
      <w:tblGrid>
        <w:gridCol w:w="2340"/>
        <w:gridCol w:w="6960"/>
      </w:tblGrid>
      <w:tr w:rsidR="0007383D" w:rsidRPr="001C608D" w:rsidTr="00C34DFE">
        <w:trPr>
          <w:trHeight w:val="2865"/>
        </w:trPr>
        <w:tc>
          <w:tcPr>
            <w:tcW w:w="2340" w:type="dxa"/>
          </w:tcPr>
          <w:p w:rsidR="0007383D" w:rsidRPr="00634BC2" w:rsidRDefault="0007383D" w:rsidP="00086FF9">
            <w:pPr>
              <w:rPr>
                <w:rFonts w:ascii="Arial" w:hAnsi="Arial" w:cstheme="minorBidi"/>
                <w:sz w:val="22"/>
                <w:szCs w:val="22"/>
                <w:lang w:val="en-US"/>
              </w:rPr>
            </w:pPr>
          </w:p>
        </w:tc>
        <w:tc>
          <w:tcPr>
            <w:tcW w:w="6960" w:type="dxa"/>
            <w:vAlign w:val="center"/>
          </w:tcPr>
          <w:p w:rsidR="006F7786" w:rsidRPr="001C608D" w:rsidRDefault="006F7786" w:rsidP="006F7786">
            <w:pPr>
              <w:spacing w:line="380" w:lineRule="exact"/>
              <w:ind w:left="-14" w:right="-45"/>
              <w:rPr>
                <w:color w:val="7F7E82"/>
                <w:lang w:val="en-US"/>
              </w:rPr>
            </w:pPr>
            <w:r w:rsidRPr="001C608D">
              <w:rPr>
                <w:color w:val="7F7E82"/>
                <w:lang w:val="en-US"/>
              </w:rPr>
              <w:t>Group Lease Public Company Limited</w:t>
            </w:r>
          </w:p>
          <w:p w:rsidR="00737ABF" w:rsidRPr="001C608D" w:rsidRDefault="006F7786" w:rsidP="00737ABF">
            <w:pPr>
              <w:spacing w:line="380" w:lineRule="exact"/>
              <w:ind w:left="-14" w:right="-45"/>
              <w:rPr>
                <w:color w:val="7F7E82"/>
                <w:lang w:val="en-US"/>
              </w:rPr>
            </w:pPr>
            <w:r w:rsidRPr="001C608D">
              <w:rPr>
                <w:color w:val="7F7E82"/>
                <w:lang w:val="en-US"/>
              </w:rPr>
              <w:t>and its subsidiaries</w:t>
            </w:r>
          </w:p>
          <w:p w:rsidR="00737ABF" w:rsidRPr="001C608D" w:rsidRDefault="00737ABF" w:rsidP="00737ABF">
            <w:pPr>
              <w:spacing w:line="380" w:lineRule="exact"/>
              <w:ind w:left="14"/>
              <w:rPr>
                <w:rFonts w:cstheme="minorBidi"/>
                <w:color w:val="7E7F82"/>
                <w:lang w:val="en-US"/>
              </w:rPr>
            </w:pPr>
            <w:r w:rsidRPr="001C608D">
              <w:rPr>
                <w:rFonts w:cs="Times New Roman"/>
                <w:color w:val="7E7F82"/>
                <w:lang w:val="en-US"/>
              </w:rPr>
              <w:t>Report and consolidated financial statements</w:t>
            </w:r>
            <w:r w:rsidR="00072F21" w:rsidRPr="001C608D">
              <w:rPr>
                <w:rFonts w:cstheme="minorBidi" w:hint="cs"/>
                <w:color w:val="7E7F82"/>
                <w:cs/>
                <w:lang w:val="en-US"/>
              </w:rPr>
              <w:t xml:space="preserve"> </w:t>
            </w:r>
            <w:r w:rsidR="00072F21" w:rsidRPr="001C608D">
              <w:rPr>
                <w:rFonts w:cstheme="minorBidi"/>
                <w:color w:val="7E7F82"/>
                <w:lang w:val="en-US"/>
              </w:rPr>
              <w:t>(Restated)</w:t>
            </w:r>
          </w:p>
          <w:p w:rsidR="00D01E5E" w:rsidRPr="001C608D" w:rsidRDefault="00765BC8" w:rsidP="00765BC8">
            <w:pPr>
              <w:spacing w:line="380" w:lineRule="exact"/>
              <w:ind w:left="14"/>
              <w:rPr>
                <w:rFonts w:ascii="Tms Rmn"/>
                <w:color w:val="7F7E82"/>
                <w:lang w:val="en-US"/>
              </w:rPr>
            </w:pPr>
            <w:r w:rsidRPr="001C608D">
              <w:rPr>
                <w:rFonts w:ascii="Tms Rmn" w:cs="Times New Roman"/>
                <w:color w:val="7F7E82"/>
                <w:lang w:val="en-US"/>
              </w:rPr>
              <w:t>31 December 201</w:t>
            </w:r>
            <w:r w:rsidRPr="001C608D">
              <w:rPr>
                <w:rFonts w:ascii="Tms Rmn"/>
                <w:color w:val="7F7E82"/>
                <w:lang w:val="en-US"/>
              </w:rPr>
              <w:t>7</w:t>
            </w:r>
            <w:r w:rsidR="00DD20A7" w:rsidRPr="001C608D">
              <w:rPr>
                <w:rFonts w:ascii="Tms Rmn"/>
                <w:color w:val="7F7E82"/>
                <w:lang w:val="en-US"/>
              </w:rPr>
              <w:t xml:space="preserve"> and 2016</w:t>
            </w:r>
          </w:p>
        </w:tc>
      </w:tr>
    </w:tbl>
    <w:p w:rsidR="0007383D" w:rsidRPr="001C608D" w:rsidRDefault="0007383D" w:rsidP="0007383D">
      <w:pPr>
        <w:rPr>
          <w:rFonts w:ascii="Arial" w:hAnsi="Arial" w:cs="Arial"/>
          <w:sz w:val="22"/>
          <w:szCs w:val="22"/>
          <w:lang w:val="en-US"/>
        </w:rPr>
        <w:sectPr w:rsidR="0007383D" w:rsidRPr="001C608D" w:rsidSect="005E1850">
          <w:footerReference w:type="default" r:id="rId8"/>
          <w:footerReference w:type="first" r:id="rId9"/>
          <w:pgSz w:w="11907" w:h="16840" w:code="9"/>
          <w:pgMar w:top="1728" w:right="1080" w:bottom="11520" w:left="360" w:header="720" w:footer="720" w:gutter="0"/>
          <w:cols w:space="720"/>
          <w:vAlign w:val="bottom"/>
          <w:docGrid w:linePitch="360"/>
        </w:sectPr>
      </w:pPr>
    </w:p>
    <w:p w:rsidR="00737ABF" w:rsidRPr="001C608D" w:rsidRDefault="00737ABF" w:rsidP="00737ABF">
      <w:pPr>
        <w:spacing w:line="380" w:lineRule="exact"/>
        <w:ind w:left="547" w:hanging="547"/>
        <w:jc w:val="both"/>
        <w:rPr>
          <w:rFonts w:ascii="Arial" w:hAnsi="Arial" w:cs="Arial"/>
          <w:sz w:val="22"/>
          <w:szCs w:val="22"/>
          <w:lang w:val="en-US"/>
        </w:rPr>
      </w:pPr>
      <w:r w:rsidRPr="001C608D">
        <w:rPr>
          <w:rFonts w:ascii="Arial" w:hAnsi="Arial" w:cs="Arial"/>
          <w:b/>
          <w:bCs/>
          <w:sz w:val="22"/>
          <w:szCs w:val="22"/>
          <w:lang w:val="en-US"/>
        </w:rPr>
        <w:lastRenderedPageBreak/>
        <w:t>Independent Auditor's Report</w:t>
      </w:r>
    </w:p>
    <w:p w:rsidR="00737ABF" w:rsidRPr="001C608D" w:rsidRDefault="00737ABF" w:rsidP="00737ABF">
      <w:pPr>
        <w:spacing w:line="380" w:lineRule="exact"/>
        <w:ind w:left="547" w:hanging="547"/>
        <w:jc w:val="both"/>
        <w:rPr>
          <w:rFonts w:ascii="Arial" w:hAnsi="Arial" w:cs="Arial"/>
          <w:sz w:val="22"/>
          <w:szCs w:val="22"/>
          <w:lang w:val="en-US"/>
        </w:rPr>
      </w:pPr>
      <w:r w:rsidRPr="001C608D">
        <w:rPr>
          <w:rFonts w:ascii="Arial" w:hAnsi="Arial" w:cs="Arial"/>
          <w:sz w:val="22"/>
          <w:szCs w:val="22"/>
          <w:lang w:val="en-US"/>
        </w:rPr>
        <w:t>To the Shareholders of Group Lease Public Company Limited</w:t>
      </w:r>
    </w:p>
    <w:p w:rsidR="00072F21" w:rsidRPr="001C608D" w:rsidRDefault="00072F21" w:rsidP="00737ABF">
      <w:pPr>
        <w:pStyle w:val="ListParagraph"/>
        <w:numPr>
          <w:ilvl w:val="0"/>
          <w:numId w:val="7"/>
        </w:numPr>
        <w:spacing w:before="360" w:after="120" w:line="380" w:lineRule="exact"/>
        <w:ind w:left="547" w:hanging="547"/>
        <w:contextualSpacing w:val="0"/>
        <w:rPr>
          <w:rFonts w:ascii="Arial" w:hAnsi="Arial" w:cs="Arial"/>
          <w:b/>
          <w:bCs/>
          <w:sz w:val="22"/>
          <w:szCs w:val="22"/>
          <w:cs/>
        </w:rPr>
      </w:pPr>
      <w:r w:rsidRPr="001C608D">
        <w:rPr>
          <w:rFonts w:ascii="Arial" w:hAnsi="Arial" w:cs="Arial"/>
          <w:b/>
          <w:bCs/>
          <w:sz w:val="22"/>
          <w:szCs w:val="22"/>
          <w:cs/>
        </w:rPr>
        <w:t>Basis of Qualified Opinion</w:t>
      </w:r>
    </w:p>
    <w:p w:rsidR="00072F21" w:rsidRPr="001C608D" w:rsidRDefault="00072F21" w:rsidP="006C7306">
      <w:pPr>
        <w:pStyle w:val="ListParagraph"/>
        <w:numPr>
          <w:ilvl w:val="0"/>
          <w:numId w:val="3"/>
        </w:numPr>
        <w:pBdr>
          <w:top w:val="none" w:sz="4" w:space="0" w:color="auto"/>
          <w:left w:val="none" w:sz="4" w:space="0" w:color="auto"/>
          <w:bottom w:val="none" w:sz="4" w:space="0" w:color="auto"/>
          <w:right w:val="none" w:sz="4" w:space="0" w:color="auto"/>
          <w:between w:val="none" w:sz="4" w:space="0" w:color="auto"/>
          <w:bar w:val="none" w:sz="4" w:color="auto"/>
        </w:pBdr>
        <w:overflowPunct/>
        <w:autoSpaceDE/>
        <w:autoSpaceDN/>
        <w:adjustRightInd/>
        <w:spacing w:before="120" w:after="120" w:line="380" w:lineRule="exact"/>
        <w:ind w:left="1094" w:hanging="547"/>
        <w:contextualSpacing w:val="0"/>
        <w:textAlignment w:val="auto"/>
        <w:rPr>
          <w:rFonts w:ascii="Arial" w:eastAsia="Calibri" w:hAnsi="Arial" w:cs="Arial"/>
          <w:sz w:val="22"/>
          <w:szCs w:val="22"/>
          <w:u w:val="single"/>
          <w:lang w:val="en-US"/>
        </w:rPr>
      </w:pPr>
      <w:r w:rsidRPr="001C608D">
        <w:rPr>
          <w:rFonts w:ascii="Arial" w:eastAsia="Calibri" w:hAnsi="Arial" w:cs="Arial"/>
          <w:sz w:val="22"/>
          <w:szCs w:val="22"/>
          <w:u w:val="single"/>
          <w:lang w:val="en-US"/>
        </w:rPr>
        <w:t>Fraud</w:t>
      </w:r>
      <w:r w:rsidRPr="001C608D">
        <w:rPr>
          <w:rFonts w:ascii="Arial" w:eastAsia="Calibri" w:hAnsi="Arial" w:cs="Cordia New" w:hint="cs"/>
          <w:sz w:val="22"/>
          <w:szCs w:val="22"/>
          <w:u w:val="single"/>
          <w:cs/>
        </w:rPr>
        <w:t xml:space="preserve"> </w:t>
      </w:r>
      <w:r w:rsidRPr="001C608D">
        <w:rPr>
          <w:rFonts w:ascii="Arial" w:eastAsia="Calibri" w:hAnsi="Arial" w:cs="Cordia New"/>
          <w:sz w:val="22"/>
          <w:szCs w:val="22"/>
          <w:u w:val="single"/>
          <w:lang w:val="en-US"/>
        </w:rPr>
        <w:t>as alleged by the SEC</w:t>
      </w:r>
    </w:p>
    <w:p w:rsidR="00072F21" w:rsidRPr="001C608D" w:rsidRDefault="006C7306" w:rsidP="006C7306">
      <w:pPr>
        <w:pStyle w:val="ListParagraph"/>
        <w:pBdr>
          <w:top w:val="none" w:sz="4" w:space="0" w:color="auto"/>
          <w:left w:val="none" w:sz="4" w:space="30" w:color="auto"/>
          <w:bottom w:val="none" w:sz="4" w:space="0" w:color="auto"/>
          <w:right w:val="none" w:sz="4" w:space="0" w:color="auto"/>
          <w:between w:val="none" w:sz="4" w:space="0" w:color="auto"/>
          <w:bar w:val="none" w:sz="4" w:color="auto"/>
        </w:pBdr>
        <w:overflowPunct/>
        <w:autoSpaceDE/>
        <w:autoSpaceDN/>
        <w:adjustRightInd/>
        <w:spacing w:before="120" w:after="120" w:line="380" w:lineRule="exact"/>
        <w:ind w:left="1094" w:hanging="547"/>
        <w:contextualSpacing w:val="0"/>
        <w:textAlignment w:val="auto"/>
        <w:rPr>
          <w:rFonts w:ascii="Arial" w:eastAsia="Calibri" w:hAnsi="Arial" w:cs="Arial"/>
          <w:sz w:val="22"/>
          <w:szCs w:val="22"/>
          <w:lang w:val="en-US"/>
        </w:rPr>
      </w:pPr>
      <w:r w:rsidRPr="001C608D">
        <w:rPr>
          <w:rFonts w:ascii="Arial" w:eastAsia="Calibri" w:hAnsi="Arial" w:cs="Arial"/>
          <w:sz w:val="22"/>
          <w:szCs w:val="22"/>
          <w:lang w:val="en-US"/>
        </w:rPr>
        <w:tab/>
      </w:r>
      <w:r w:rsidR="00072F21" w:rsidRPr="001C608D">
        <w:rPr>
          <w:rFonts w:ascii="Arial" w:eastAsia="Calibri" w:hAnsi="Arial" w:cs="Arial"/>
          <w:sz w:val="22"/>
          <w:szCs w:val="22"/>
          <w:lang w:val="en-US"/>
        </w:rPr>
        <w:t xml:space="preserve">On 16 October 2017, the former Chairman </w:t>
      </w:r>
      <w:r w:rsidR="00072F21" w:rsidRPr="001C608D">
        <w:rPr>
          <w:rFonts w:ascii="Arial" w:eastAsia="Calibri" w:hAnsi="Arial" w:cs="Browallia New"/>
          <w:sz w:val="22"/>
          <w:szCs w:val="28"/>
          <w:lang w:val="en-US"/>
        </w:rPr>
        <w:t>and</w:t>
      </w:r>
      <w:r w:rsidR="00072F21" w:rsidRPr="001C608D">
        <w:rPr>
          <w:rFonts w:ascii="Arial" w:eastAsia="Calibri" w:hAnsi="Arial" w:cs="Arial"/>
          <w:sz w:val="22"/>
          <w:szCs w:val="22"/>
          <w:lang w:val="en-US"/>
        </w:rPr>
        <w:t xml:space="preserve"> Chief Executive Officer (“ex-CEO”) was </w:t>
      </w:r>
      <w:r w:rsidR="00AE5168" w:rsidRPr="001C608D">
        <w:rPr>
          <w:rFonts w:ascii="Arial" w:eastAsia="Calibri" w:hAnsi="Arial" w:cs="Arial"/>
          <w:sz w:val="22"/>
          <w:szCs w:val="22"/>
          <w:lang w:val="en-US"/>
        </w:rPr>
        <w:t>accused</w:t>
      </w:r>
      <w:r w:rsidR="00072F21" w:rsidRPr="001C608D">
        <w:rPr>
          <w:rFonts w:ascii="Arial" w:eastAsia="Calibri" w:hAnsi="Arial" w:cs="Arial"/>
          <w:sz w:val="22"/>
          <w:szCs w:val="22"/>
          <w:lang w:val="en-US"/>
        </w:rPr>
        <w:t xml:space="preserve"> by SEC for, among others,</w:t>
      </w:r>
      <w:r w:rsidR="00DD20A7" w:rsidRPr="001C608D">
        <w:rPr>
          <w:rFonts w:ascii="Arial" w:eastAsia="Calibri" w:hAnsi="Arial" w:cs="Arial"/>
          <w:sz w:val="22"/>
          <w:szCs w:val="22"/>
          <w:lang w:val="en-US"/>
        </w:rPr>
        <w:t xml:space="preserve"> fraud and</w:t>
      </w:r>
      <w:r w:rsidR="00072F21" w:rsidRPr="001C608D">
        <w:rPr>
          <w:rFonts w:ascii="Arial" w:eastAsia="Calibri" w:hAnsi="Arial" w:cs="Arial"/>
          <w:sz w:val="22"/>
          <w:szCs w:val="22"/>
          <w:lang w:val="en-US"/>
        </w:rPr>
        <w:t xml:space="preserve"> falsehood in accounting with concealed act and was referred to the DSI for consideration of prosecution. The pattern appeared to be</w:t>
      </w:r>
      <w:r w:rsidR="006D1135" w:rsidRPr="001C608D">
        <w:rPr>
          <w:rFonts w:ascii="Arial" w:eastAsia="Calibri" w:hAnsi="Arial" w:cs="Arial"/>
          <w:sz w:val="22"/>
          <w:szCs w:val="22"/>
          <w:lang w:val="en-US"/>
        </w:rPr>
        <w:t xml:space="preserve"> </w:t>
      </w:r>
      <w:r w:rsidR="00072F21" w:rsidRPr="001C608D">
        <w:rPr>
          <w:rFonts w:ascii="Arial" w:eastAsia="Calibri" w:hAnsi="Arial" w:cs="Arial"/>
          <w:sz w:val="22"/>
          <w:szCs w:val="22"/>
          <w:lang w:val="en-US"/>
        </w:rPr>
        <w:t xml:space="preserve">round-tripping of fund-out and fund-in in pumping the Group’s profits fictitiously with high interest income. </w:t>
      </w:r>
    </w:p>
    <w:p w:rsidR="00072F21" w:rsidRPr="001C608D" w:rsidRDefault="006C7306" w:rsidP="006C7306">
      <w:pPr>
        <w:pStyle w:val="ListParagraph"/>
        <w:pBdr>
          <w:top w:val="none" w:sz="4" w:space="0" w:color="auto"/>
          <w:left w:val="none" w:sz="4" w:space="30" w:color="auto"/>
          <w:bottom w:val="none" w:sz="4" w:space="0" w:color="auto"/>
          <w:right w:val="none" w:sz="4" w:space="0" w:color="auto"/>
          <w:between w:val="none" w:sz="4" w:space="0" w:color="auto"/>
          <w:bar w:val="none" w:sz="4" w:color="auto"/>
        </w:pBdr>
        <w:overflowPunct/>
        <w:autoSpaceDE/>
        <w:autoSpaceDN/>
        <w:adjustRightInd/>
        <w:spacing w:before="120" w:after="120" w:line="380" w:lineRule="exact"/>
        <w:ind w:left="1094" w:hanging="547"/>
        <w:contextualSpacing w:val="0"/>
        <w:textAlignment w:val="auto"/>
        <w:rPr>
          <w:rFonts w:ascii="Arial" w:eastAsia="Calibri" w:hAnsi="Arial" w:cs="Cordia New"/>
          <w:sz w:val="22"/>
          <w:szCs w:val="22"/>
          <w:lang w:val="en-US"/>
        </w:rPr>
      </w:pPr>
      <w:r w:rsidRPr="001C608D">
        <w:rPr>
          <w:rFonts w:ascii="Arial" w:eastAsia="Calibri" w:hAnsi="Arial" w:cs="Arial"/>
          <w:sz w:val="22"/>
          <w:szCs w:val="22"/>
          <w:lang w:val="en-US"/>
        </w:rPr>
        <w:tab/>
      </w:r>
      <w:r w:rsidR="00072F21" w:rsidRPr="001C608D">
        <w:rPr>
          <w:rFonts w:ascii="Arial" w:eastAsia="Calibri" w:hAnsi="Arial" w:cs="Arial"/>
          <w:sz w:val="22"/>
          <w:szCs w:val="22"/>
          <w:lang w:val="en-US"/>
        </w:rPr>
        <w:t>The SEC’s findings as stated in the allege</w:t>
      </w:r>
      <w:r w:rsidR="001C04E2" w:rsidRPr="001C608D">
        <w:rPr>
          <w:rFonts w:ascii="Arial" w:eastAsia="Calibri" w:hAnsi="Arial" w:cs="Arial"/>
          <w:sz w:val="22"/>
          <w:szCs w:val="22"/>
          <w:lang w:val="en-US"/>
        </w:rPr>
        <w:t>d</w:t>
      </w:r>
      <w:r w:rsidR="00072F21" w:rsidRPr="001C608D">
        <w:rPr>
          <w:rFonts w:ascii="Arial" w:eastAsia="Calibri" w:hAnsi="Arial" w:cs="Arial"/>
          <w:sz w:val="22"/>
          <w:szCs w:val="22"/>
          <w:lang w:val="en-US"/>
        </w:rPr>
        <w:t xml:space="preserve"> against ex-CEO was a follow-up to my previous observations on these Cyprus-Singapore “borrowers” as extraordinary. SEC extended the investigation by tracing the flow of funds with co-operation and assistance from the Cyprus Securities and Exchange Commission. It finally concluded that the loans were fraudulent and regarded as financial shenanigans and filed a criminal complaint against ex-CEO with the DSI mainly for breaking the laws under the Securities and Exchange Act B.E. 2535 and the Securities and Exchange Act (No. 5) B.E. 2559.</w:t>
      </w:r>
      <w:r w:rsidRPr="001C608D">
        <w:rPr>
          <w:rFonts w:ascii="Arial" w:eastAsia="Calibri" w:hAnsi="Arial" w:cs="Arial"/>
          <w:sz w:val="22"/>
          <w:szCs w:val="22"/>
          <w:lang w:val="en-US"/>
        </w:rPr>
        <w:t xml:space="preserve"> </w:t>
      </w:r>
      <w:r w:rsidR="00072F21" w:rsidRPr="001C608D">
        <w:rPr>
          <w:rFonts w:ascii="Arial" w:eastAsia="Calibri" w:hAnsi="Arial" w:cs="Arial"/>
          <w:sz w:val="22"/>
          <w:szCs w:val="22"/>
          <w:lang w:val="en-US"/>
        </w:rPr>
        <w:t>The justice process is ongoing and now rested with DSI for consideration of prosecution against ex-CEO in the court of justice.</w:t>
      </w:r>
    </w:p>
    <w:p w:rsidR="00072F21" w:rsidRPr="001C608D" w:rsidRDefault="00072F21" w:rsidP="006C7306">
      <w:pPr>
        <w:pStyle w:val="ListParagraph"/>
        <w:numPr>
          <w:ilvl w:val="0"/>
          <w:numId w:val="3"/>
        </w:numPr>
        <w:pBdr>
          <w:top w:val="none" w:sz="4" w:space="0" w:color="auto"/>
          <w:left w:val="none" w:sz="4" w:space="0" w:color="auto"/>
          <w:bottom w:val="none" w:sz="4" w:space="0" w:color="auto"/>
          <w:right w:val="none" w:sz="4" w:space="0" w:color="auto"/>
          <w:between w:val="none" w:sz="4" w:space="0" w:color="auto"/>
          <w:bar w:val="none" w:sz="4" w:color="auto"/>
        </w:pBdr>
        <w:overflowPunct/>
        <w:autoSpaceDE/>
        <w:autoSpaceDN/>
        <w:adjustRightInd/>
        <w:spacing w:before="120" w:after="120" w:line="380" w:lineRule="exact"/>
        <w:ind w:left="1094" w:hanging="547"/>
        <w:contextualSpacing w:val="0"/>
        <w:textAlignment w:val="auto"/>
        <w:rPr>
          <w:rFonts w:ascii="Arial" w:eastAsia="Calibri" w:hAnsi="Arial" w:cs="Arial"/>
          <w:sz w:val="22"/>
          <w:szCs w:val="22"/>
          <w:u w:val="single"/>
          <w:lang w:val="en-US"/>
        </w:rPr>
      </w:pPr>
      <w:r w:rsidRPr="001C608D">
        <w:rPr>
          <w:rFonts w:ascii="Arial" w:eastAsia="Calibri" w:hAnsi="Arial" w:cs="Arial"/>
          <w:sz w:val="22"/>
          <w:szCs w:val="22"/>
          <w:u w:val="single"/>
          <w:lang w:val="en-US"/>
        </w:rPr>
        <w:t xml:space="preserve">Historical Records of the </w:t>
      </w:r>
      <w:r w:rsidR="00DD20A7" w:rsidRPr="001C608D">
        <w:rPr>
          <w:rFonts w:ascii="Arial" w:eastAsia="Calibri" w:hAnsi="Arial" w:cs="Arial"/>
          <w:sz w:val="22"/>
          <w:szCs w:val="22"/>
          <w:u w:val="single"/>
          <w:lang w:val="en-US"/>
        </w:rPr>
        <w:t>alleged</w:t>
      </w:r>
      <w:r w:rsidRPr="001C608D">
        <w:rPr>
          <w:rFonts w:ascii="Arial" w:eastAsia="Calibri" w:hAnsi="Arial" w:cs="Arial"/>
          <w:sz w:val="22"/>
          <w:szCs w:val="22"/>
          <w:u w:val="single"/>
          <w:lang w:val="en-US"/>
        </w:rPr>
        <w:t xml:space="preserve"> ‘loans’ and provision for losses</w:t>
      </w:r>
    </w:p>
    <w:p w:rsidR="00072F21" w:rsidRPr="001C608D" w:rsidRDefault="006C7306" w:rsidP="006C7306">
      <w:pPr>
        <w:pStyle w:val="ListParagraph"/>
        <w:pBdr>
          <w:top w:val="none" w:sz="4" w:space="0" w:color="auto"/>
          <w:left w:val="none" w:sz="4" w:space="30" w:color="auto"/>
          <w:bottom w:val="none" w:sz="4" w:space="0" w:color="auto"/>
          <w:right w:val="none" w:sz="4" w:space="0" w:color="auto"/>
          <w:between w:val="none" w:sz="4" w:space="0" w:color="auto"/>
          <w:bar w:val="none" w:sz="4" w:color="auto"/>
        </w:pBdr>
        <w:overflowPunct/>
        <w:autoSpaceDE/>
        <w:autoSpaceDN/>
        <w:adjustRightInd/>
        <w:spacing w:before="120" w:after="120" w:line="380" w:lineRule="exact"/>
        <w:ind w:left="1094" w:hanging="547"/>
        <w:contextualSpacing w:val="0"/>
        <w:textAlignment w:val="auto"/>
        <w:rPr>
          <w:rFonts w:ascii="Arial" w:eastAsia="Calibri" w:hAnsi="Arial" w:cs="Arial"/>
          <w:sz w:val="22"/>
          <w:szCs w:val="22"/>
          <w:lang w:val="en-US"/>
        </w:rPr>
      </w:pPr>
      <w:r w:rsidRPr="001C608D">
        <w:rPr>
          <w:rFonts w:ascii="Arial" w:eastAsia="Calibri" w:hAnsi="Arial" w:cs="Arial"/>
          <w:sz w:val="22"/>
          <w:szCs w:val="22"/>
          <w:lang w:val="en-US"/>
        </w:rPr>
        <w:tab/>
      </w:r>
      <w:r w:rsidR="00072F21" w:rsidRPr="001C608D">
        <w:rPr>
          <w:rFonts w:ascii="Arial" w:eastAsia="Calibri" w:hAnsi="Arial" w:cs="Arial"/>
          <w:sz w:val="22"/>
          <w:szCs w:val="22"/>
          <w:lang w:val="en-US"/>
        </w:rPr>
        <w:t xml:space="preserve">On records, the gross loans purported to be granted to these two major groups of ‘borrowers’ amounted in total to USD 98 million of which the related sum of USD 54 million was alleged by SEC as fraud committed by ex-CEO. After filing of the Company’s 2016 audited financial statements on 28 February 2017 with our highlighted emphasis on the extra nature of the loans, thereafter loans were partially refunded in total of USD 42 million, leaving USD 56 million still outstanding on </w:t>
      </w:r>
      <w:r w:rsidR="009A6610" w:rsidRPr="001C608D">
        <w:rPr>
          <w:rFonts w:ascii="Arial" w:eastAsia="Calibri" w:hAnsi="Arial" w:cstheme="minorBidi" w:hint="cs"/>
          <w:sz w:val="22"/>
          <w:szCs w:val="22"/>
          <w:cs/>
          <w:lang w:val="en-US"/>
        </w:rPr>
        <w:t xml:space="preserve">                      </w:t>
      </w:r>
      <w:r w:rsidR="00072F21" w:rsidRPr="001C608D">
        <w:rPr>
          <w:rFonts w:ascii="Arial" w:eastAsia="Calibri" w:hAnsi="Arial" w:cs="Arial"/>
          <w:sz w:val="22"/>
          <w:szCs w:val="22"/>
          <w:lang w:val="en-US"/>
        </w:rPr>
        <w:t xml:space="preserve">30 September 2017 and 31 December 2017. </w:t>
      </w:r>
    </w:p>
    <w:p w:rsidR="00072F21" w:rsidRPr="001C608D" w:rsidRDefault="00072F21" w:rsidP="006C7306">
      <w:pPr>
        <w:pStyle w:val="ListParagraph"/>
        <w:pBdr>
          <w:top w:val="none" w:sz="4" w:space="0" w:color="auto"/>
          <w:left w:val="none" w:sz="4" w:space="30" w:color="auto"/>
          <w:bottom w:val="none" w:sz="4" w:space="0" w:color="auto"/>
          <w:right w:val="none" w:sz="4" w:space="0" w:color="auto"/>
          <w:between w:val="none" w:sz="4" w:space="0" w:color="auto"/>
          <w:bar w:val="none" w:sz="4" w:color="auto"/>
        </w:pBdr>
        <w:overflowPunct/>
        <w:autoSpaceDE/>
        <w:autoSpaceDN/>
        <w:adjustRightInd/>
        <w:spacing w:before="120" w:after="120" w:line="380" w:lineRule="exact"/>
        <w:ind w:left="1094" w:hanging="547"/>
        <w:contextualSpacing w:val="0"/>
        <w:textAlignment w:val="auto"/>
        <w:rPr>
          <w:rFonts w:ascii="Arial" w:eastAsia="Calibri" w:hAnsi="Arial" w:cs="Arial"/>
          <w:sz w:val="22"/>
          <w:szCs w:val="22"/>
          <w:lang w:val="en-US"/>
        </w:rPr>
        <w:sectPr w:rsidR="00072F21" w:rsidRPr="001C608D" w:rsidSect="006C7306">
          <w:footerReference w:type="default" r:id="rId10"/>
          <w:pgSz w:w="11907" w:h="16840" w:code="9"/>
          <w:pgMar w:top="3600" w:right="1080" w:bottom="1080" w:left="1296" w:header="706" w:footer="706" w:gutter="0"/>
          <w:pgNumType w:start="2"/>
          <w:cols w:space="720"/>
          <w:titlePg/>
        </w:sectPr>
      </w:pPr>
    </w:p>
    <w:p w:rsidR="00072F21" w:rsidRPr="001C608D" w:rsidRDefault="006C7306" w:rsidP="006C7306">
      <w:pPr>
        <w:pStyle w:val="ListParagraph"/>
        <w:pBdr>
          <w:top w:val="none" w:sz="4" w:space="0" w:color="auto"/>
          <w:left w:val="none" w:sz="4" w:space="30" w:color="auto"/>
          <w:bottom w:val="none" w:sz="4" w:space="0" w:color="auto"/>
          <w:right w:val="none" w:sz="4" w:space="0" w:color="auto"/>
          <w:between w:val="none" w:sz="4" w:space="0" w:color="auto"/>
          <w:bar w:val="none" w:sz="4" w:color="auto"/>
        </w:pBdr>
        <w:overflowPunct/>
        <w:autoSpaceDE/>
        <w:autoSpaceDN/>
        <w:adjustRightInd/>
        <w:spacing w:before="120" w:after="120" w:line="380" w:lineRule="exact"/>
        <w:ind w:left="1094" w:hanging="547"/>
        <w:contextualSpacing w:val="0"/>
        <w:textAlignment w:val="auto"/>
        <w:rPr>
          <w:rFonts w:ascii="Arial" w:eastAsia="Calibri" w:hAnsi="Arial" w:cs="Arial"/>
          <w:sz w:val="22"/>
          <w:szCs w:val="22"/>
          <w:lang w:val="en-US"/>
        </w:rPr>
      </w:pPr>
      <w:r w:rsidRPr="001C608D">
        <w:rPr>
          <w:rFonts w:ascii="Arial" w:eastAsia="Calibri" w:hAnsi="Arial" w:cs="Arial"/>
          <w:sz w:val="22"/>
          <w:szCs w:val="22"/>
          <w:lang w:val="en-US"/>
        </w:rPr>
        <w:lastRenderedPageBreak/>
        <w:tab/>
      </w:r>
      <w:r w:rsidR="00072F21" w:rsidRPr="001C608D">
        <w:rPr>
          <w:rFonts w:ascii="Arial" w:eastAsia="Calibri" w:hAnsi="Arial" w:cs="Arial"/>
          <w:sz w:val="22"/>
          <w:szCs w:val="22"/>
          <w:lang w:val="en-US"/>
        </w:rPr>
        <w:t xml:space="preserve">In an attempt to respond to the first SEC’s order to revise and correct past financial statements of the delinquency, the Company decided to set aside a provision for losses from that financial shenanigans as alleged by the SEC the whole sum of USD 56 million against the quarterly profits then ended on 30 September 2017. However, subsequently on 16 January 2018, the SEC ordered the Company again to correct the past financial statements relevantly. In an attempt to respond the SEC’s order again, </w:t>
      </w:r>
      <w:r w:rsidR="00AE5168" w:rsidRPr="001C608D">
        <w:rPr>
          <w:rFonts w:ascii="Arial" w:eastAsia="Calibri" w:hAnsi="Arial" w:cs="Arial"/>
          <w:sz w:val="22"/>
          <w:szCs w:val="22"/>
          <w:lang w:val="en-US"/>
        </w:rPr>
        <w:t xml:space="preserve"> </w:t>
      </w:r>
      <w:r w:rsidR="00072F21" w:rsidRPr="001C608D">
        <w:rPr>
          <w:rFonts w:ascii="Arial" w:eastAsia="Calibri" w:hAnsi="Arial" w:cs="Arial"/>
          <w:sz w:val="22"/>
          <w:szCs w:val="22"/>
          <w:lang w:val="en-US"/>
        </w:rPr>
        <w:t>it has</w:t>
      </w:r>
      <w:r w:rsidR="00652AD3" w:rsidRPr="001C608D">
        <w:rPr>
          <w:rFonts w:ascii="Arial" w:eastAsia="Calibri" w:hAnsi="Arial" w:cs="Arial"/>
          <w:sz w:val="22"/>
          <w:szCs w:val="22"/>
          <w:lang w:val="en-US"/>
        </w:rPr>
        <w:t xml:space="preserve"> retroactively</w:t>
      </w:r>
      <w:r w:rsidR="00072F21" w:rsidRPr="001C608D">
        <w:rPr>
          <w:rFonts w:ascii="Arial" w:eastAsia="Calibri" w:hAnsi="Arial" w:cs="Arial"/>
          <w:sz w:val="22"/>
          <w:szCs w:val="22"/>
          <w:lang w:val="en-US"/>
        </w:rPr>
        <w:t xml:space="preserve"> </w:t>
      </w:r>
      <w:r w:rsidR="00AE5168" w:rsidRPr="001C608D">
        <w:rPr>
          <w:rFonts w:ascii="Arial" w:eastAsia="Calibri" w:hAnsi="Arial" w:cs="Arial"/>
          <w:sz w:val="22"/>
          <w:szCs w:val="22"/>
          <w:lang w:val="en-US"/>
        </w:rPr>
        <w:t>restated</w:t>
      </w:r>
      <w:r w:rsidR="00072F21" w:rsidRPr="001C608D">
        <w:rPr>
          <w:rFonts w:ascii="Arial" w:eastAsia="Calibri" w:hAnsi="Arial" w:cs="Arial"/>
          <w:sz w:val="22"/>
          <w:szCs w:val="22"/>
          <w:lang w:val="en-US"/>
        </w:rPr>
        <w:t xml:space="preserve"> its past financial statements for the year 2017 </w:t>
      </w:r>
      <w:r w:rsidR="00652AD3" w:rsidRPr="001C608D">
        <w:rPr>
          <w:rFonts w:ascii="Arial" w:eastAsia="Calibri" w:hAnsi="Arial" w:cs="Arial"/>
          <w:sz w:val="22"/>
          <w:szCs w:val="22"/>
          <w:lang w:val="en-US"/>
        </w:rPr>
        <w:t>(</w:t>
      </w:r>
      <w:r w:rsidR="00072F21" w:rsidRPr="001C608D">
        <w:rPr>
          <w:rFonts w:ascii="Arial" w:eastAsia="Calibri" w:hAnsi="Arial" w:cs="Arial"/>
          <w:sz w:val="22"/>
          <w:szCs w:val="22"/>
          <w:lang w:val="en-US"/>
        </w:rPr>
        <w:t>and 2016</w:t>
      </w:r>
      <w:r w:rsidR="00652AD3" w:rsidRPr="001C608D">
        <w:rPr>
          <w:rFonts w:ascii="Arial" w:eastAsia="Calibri" w:hAnsi="Arial" w:cs="Arial"/>
          <w:sz w:val="22"/>
          <w:szCs w:val="22"/>
          <w:lang w:val="en-US"/>
        </w:rPr>
        <w:t xml:space="preserve"> comparative financial statements)</w:t>
      </w:r>
      <w:r w:rsidR="00072F21" w:rsidRPr="001C608D">
        <w:rPr>
          <w:rFonts w:ascii="Arial" w:eastAsia="Calibri" w:hAnsi="Arial" w:cs="Arial"/>
          <w:sz w:val="22"/>
          <w:szCs w:val="22"/>
          <w:lang w:val="en-US"/>
        </w:rPr>
        <w:t xml:space="preserve"> for the loan</w:t>
      </w:r>
      <w:r w:rsidR="00652AD3" w:rsidRPr="001C608D">
        <w:rPr>
          <w:rFonts w:ascii="Arial" w:eastAsia="Calibri" w:hAnsi="Arial" w:cs="Arial"/>
          <w:sz w:val="22"/>
          <w:szCs w:val="22"/>
          <w:lang w:val="en-US"/>
        </w:rPr>
        <w:t xml:space="preserve"> portion alleged by the SEC and </w:t>
      </w:r>
      <w:r w:rsidR="00072F21" w:rsidRPr="001C608D">
        <w:rPr>
          <w:rFonts w:ascii="Arial" w:eastAsia="Calibri" w:hAnsi="Arial" w:cs="Arial"/>
          <w:sz w:val="22"/>
          <w:szCs w:val="22"/>
          <w:lang w:val="en-US"/>
        </w:rPr>
        <w:t xml:space="preserve">presented those past financial information here for comparative purpose as explained in Note </w:t>
      </w:r>
      <w:r w:rsidR="00DD20A7" w:rsidRPr="001C608D">
        <w:rPr>
          <w:rFonts w:ascii="Arial" w:eastAsia="Calibri" w:hAnsi="Arial" w:cs="Arial"/>
          <w:sz w:val="22"/>
          <w:szCs w:val="22"/>
          <w:lang w:val="en-US"/>
        </w:rPr>
        <w:t>50</w:t>
      </w:r>
      <w:r w:rsidR="00072F21" w:rsidRPr="001C608D">
        <w:rPr>
          <w:rFonts w:ascii="Arial" w:eastAsia="Calibri" w:hAnsi="Arial" w:cs="Arial"/>
          <w:sz w:val="22"/>
          <w:szCs w:val="22"/>
          <w:lang w:val="en-US"/>
        </w:rPr>
        <w:t xml:space="preserve"> to the financial statements. Please also refer to our audit report paragraph 1 (e).</w:t>
      </w:r>
    </w:p>
    <w:p w:rsidR="00072F21" w:rsidRPr="001C608D" w:rsidRDefault="006C7306" w:rsidP="006C7306">
      <w:pPr>
        <w:pStyle w:val="ListParagraph"/>
        <w:pBdr>
          <w:top w:val="none" w:sz="4" w:space="0" w:color="auto"/>
          <w:left w:val="none" w:sz="4" w:space="30" w:color="auto"/>
          <w:bottom w:val="none" w:sz="4" w:space="0" w:color="auto"/>
          <w:right w:val="none" w:sz="4" w:space="0" w:color="auto"/>
          <w:between w:val="none" w:sz="4" w:space="0" w:color="auto"/>
          <w:bar w:val="none" w:sz="4" w:color="auto"/>
        </w:pBdr>
        <w:overflowPunct/>
        <w:autoSpaceDE/>
        <w:autoSpaceDN/>
        <w:adjustRightInd/>
        <w:spacing w:before="120" w:after="120" w:line="380" w:lineRule="exact"/>
        <w:ind w:left="1094" w:hanging="547"/>
        <w:contextualSpacing w:val="0"/>
        <w:textAlignment w:val="auto"/>
        <w:rPr>
          <w:rFonts w:ascii="Arial" w:eastAsia="Calibri" w:hAnsi="Arial" w:cs="Arial"/>
          <w:sz w:val="22"/>
          <w:szCs w:val="22"/>
          <w:lang w:val="en-US"/>
        </w:rPr>
      </w:pPr>
      <w:r w:rsidRPr="001C608D">
        <w:rPr>
          <w:rFonts w:ascii="Arial" w:eastAsia="Calibri" w:hAnsi="Arial" w:cs="Arial"/>
          <w:sz w:val="22"/>
          <w:szCs w:val="22"/>
          <w:lang w:val="en-US"/>
        </w:rPr>
        <w:tab/>
      </w:r>
      <w:r w:rsidR="00072F21" w:rsidRPr="001C608D">
        <w:rPr>
          <w:rFonts w:ascii="Arial" w:eastAsia="Calibri" w:hAnsi="Arial" w:cs="Arial"/>
          <w:sz w:val="22"/>
          <w:szCs w:val="22"/>
          <w:lang w:val="en-US"/>
        </w:rPr>
        <w:t>In addition, there were receivables substantially incurred in 2017 and due from companies related to this ex-CEO of USD 9 million for which an additional provision for losses was also set aside.</w:t>
      </w:r>
    </w:p>
    <w:p w:rsidR="00072F21" w:rsidRPr="001C608D" w:rsidRDefault="00072F21" w:rsidP="006C7306">
      <w:pPr>
        <w:pStyle w:val="ListParagraph"/>
        <w:numPr>
          <w:ilvl w:val="0"/>
          <w:numId w:val="3"/>
        </w:numPr>
        <w:pBdr>
          <w:top w:val="none" w:sz="4" w:space="0" w:color="auto"/>
          <w:left w:val="none" w:sz="4" w:space="0" w:color="auto"/>
          <w:bottom w:val="none" w:sz="4" w:space="0" w:color="auto"/>
          <w:right w:val="none" w:sz="4" w:space="0" w:color="auto"/>
          <w:between w:val="none" w:sz="4" w:space="0" w:color="auto"/>
          <w:bar w:val="none" w:sz="4" w:color="auto"/>
        </w:pBdr>
        <w:overflowPunct/>
        <w:autoSpaceDE/>
        <w:autoSpaceDN/>
        <w:adjustRightInd/>
        <w:spacing w:before="120" w:after="120" w:line="380" w:lineRule="exact"/>
        <w:ind w:left="1094" w:hanging="547"/>
        <w:contextualSpacing w:val="0"/>
        <w:textAlignment w:val="auto"/>
        <w:rPr>
          <w:rFonts w:ascii="Arial" w:eastAsia="Calibri" w:hAnsi="Arial" w:cs="Arial"/>
          <w:sz w:val="22"/>
          <w:szCs w:val="22"/>
          <w:u w:val="single"/>
          <w:lang w:val="en-US"/>
        </w:rPr>
      </w:pPr>
      <w:r w:rsidRPr="001C608D">
        <w:rPr>
          <w:rFonts w:ascii="Arial" w:eastAsia="Calibri" w:hAnsi="Arial" w:cs="Arial"/>
          <w:sz w:val="22"/>
          <w:szCs w:val="22"/>
          <w:u w:val="single"/>
          <w:lang w:val="en-US"/>
        </w:rPr>
        <w:t>Chance of loss recovery</w:t>
      </w:r>
    </w:p>
    <w:p w:rsidR="00072F21" w:rsidRPr="001C608D" w:rsidRDefault="006C7306" w:rsidP="006C7306">
      <w:pPr>
        <w:pStyle w:val="ListParagraph"/>
        <w:pBdr>
          <w:top w:val="none" w:sz="4" w:space="0" w:color="auto"/>
          <w:left w:val="none" w:sz="4" w:space="30" w:color="auto"/>
          <w:bottom w:val="none" w:sz="4" w:space="0" w:color="auto"/>
          <w:right w:val="none" w:sz="4" w:space="0" w:color="auto"/>
          <w:between w:val="none" w:sz="4" w:space="0" w:color="auto"/>
          <w:bar w:val="none" w:sz="4" w:color="auto"/>
        </w:pBdr>
        <w:overflowPunct/>
        <w:autoSpaceDE/>
        <w:autoSpaceDN/>
        <w:adjustRightInd/>
        <w:spacing w:before="120" w:after="120" w:line="380" w:lineRule="exact"/>
        <w:ind w:left="1094" w:hanging="547"/>
        <w:contextualSpacing w:val="0"/>
        <w:textAlignment w:val="auto"/>
        <w:rPr>
          <w:rFonts w:ascii="Arial" w:eastAsia="Calibri" w:hAnsi="Arial" w:cs="Arial"/>
          <w:sz w:val="22"/>
          <w:szCs w:val="22"/>
          <w:lang w:val="en-US"/>
        </w:rPr>
      </w:pPr>
      <w:r w:rsidRPr="001C608D">
        <w:rPr>
          <w:rFonts w:ascii="Arial" w:eastAsia="Calibri" w:hAnsi="Arial" w:cs="Arial"/>
          <w:sz w:val="22"/>
          <w:szCs w:val="22"/>
          <w:lang w:val="en-US"/>
        </w:rPr>
        <w:tab/>
      </w:r>
      <w:r w:rsidR="00072F21" w:rsidRPr="001C608D">
        <w:rPr>
          <w:rFonts w:ascii="Arial" w:eastAsia="Calibri" w:hAnsi="Arial" w:cs="Arial"/>
          <w:sz w:val="22"/>
          <w:szCs w:val="22"/>
          <w:lang w:val="en-US"/>
        </w:rPr>
        <w:t xml:space="preserve">The portrayed ‘loans’ to Cyprus and Singapore were secured with security of property and financial instruments, the value of which (value of the security of the Company’s own shares which was withdrawn from securities was excluded) then estimated by the management as in excess of the outstanding ‘loans’. Therefore the losses from the provision could be reduced or proved as surplus to requirement if there are attempts to realise their value and civil claims against the ex-CEO for damages. As from 16 October 2017 till now, I am not aware any recovery yet. The Group’s operating results and financial position are therefore dependent on the efforts and eventual realisation of those securities and damages claimed against the ex-CEO for fraud as alleged by the SEC and concealed acts of falsehood in accounting. </w:t>
      </w:r>
    </w:p>
    <w:p w:rsidR="006C7306" w:rsidRPr="001C608D" w:rsidRDefault="006C7306" w:rsidP="006C7306">
      <w:pPr>
        <w:pStyle w:val="ListParagraph"/>
        <w:pBdr>
          <w:top w:val="none" w:sz="4" w:space="0" w:color="auto"/>
          <w:left w:val="none" w:sz="4" w:space="30" w:color="auto"/>
          <w:bottom w:val="none" w:sz="4" w:space="0" w:color="auto"/>
          <w:right w:val="none" w:sz="4" w:space="0" w:color="auto"/>
          <w:between w:val="none" w:sz="4" w:space="0" w:color="auto"/>
          <w:bar w:val="none" w:sz="4" w:color="auto"/>
        </w:pBdr>
        <w:overflowPunct/>
        <w:autoSpaceDE/>
        <w:autoSpaceDN/>
        <w:adjustRightInd/>
        <w:spacing w:before="120" w:after="120" w:line="380" w:lineRule="exact"/>
        <w:ind w:left="1094" w:hanging="547"/>
        <w:contextualSpacing w:val="0"/>
        <w:textAlignment w:val="auto"/>
        <w:rPr>
          <w:rFonts w:ascii="Arial" w:eastAsia="Calibri" w:hAnsi="Arial" w:cs="Arial"/>
          <w:sz w:val="22"/>
          <w:szCs w:val="22"/>
          <w:lang w:val="en-US"/>
        </w:rPr>
      </w:pPr>
      <w:r w:rsidRPr="001C608D">
        <w:rPr>
          <w:rFonts w:ascii="Arial" w:eastAsia="Calibri" w:hAnsi="Arial" w:cs="Arial"/>
          <w:sz w:val="22"/>
          <w:szCs w:val="22"/>
          <w:lang w:val="en-US"/>
        </w:rPr>
        <w:tab/>
      </w:r>
    </w:p>
    <w:p w:rsidR="006C7306" w:rsidRPr="001C608D" w:rsidRDefault="006C7306">
      <w:pPr>
        <w:overflowPunct/>
        <w:autoSpaceDE/>
        <w:autoSpaceDN/>
        <w:adjustRightInd/>
        <w:spacing w:before="100" w:after="100" w:line="380" w:lineRule="exact"/>
        <w:ind w:right="-43"/>
        <w:jc w:val="both"/>
        <w:textAlignment w:val="auto"/>
        <w:rPr>
          <w:rFonts w:ascii="Arial" w:eastAsia="Calibri" w:hAnsi="Arial" w:cs="Arial"/>
          <w:sz w:val="22"/>
          <w:szCs w:val="22"/>
          <w:lang w:val="en-US"/>
        </w:rPr>
      </w:pPr>
      <w:r w:rsidRPr="001C608D">
        <w:rPr>
          <w:rFonts w:ascii="Arial" w:eastAsia="Calibri" w:hAnsi="Arial" w:cs="Arial"/>
          <w:sz w:val="22"/>
          <w:szCs w:val="22"/>
          <w:lang w:val="en-US"/>
        </w:rPr>
        <w:br w:type="page"/>
      </w:r>
    </w:p>
    <w:p w:rsidR="00072F21" w:rsidRPr="001C608D" w:rsidRDefault="006C7306" w:rsidP="006C7306">
      <w:pPr>
        <w:pStyle w:val="ListParagraph"/>
        <w:pBdr>
          <w:top w:val="none" w:sz="4" w:space="0" w:color="auto"/>
          <w:left w:val="none" w:sz="4" w:space="30" w:color="auto"/>
          <w:bottom w:val="none" w:sz="4" w:space="0" w:color="auto"/>
          <w:right w:val="none" w:sz="4" w:space="0" w:color="auto"/>
          <w:between w:val="none" w:sz="4" w:space="0" w:color="auto"/>
          <w:bar w:val="none" w:sz="4" w:color="auto"/>
        </w:pBdr>
        <w:overflowPunct/>
        <w:autoSpaceDE/>
        <w:autoSpaceDN/>
        <w:adjustRightInd/>
        <w:spacing w:before="120" w:after="120" w:line="380" w:lineRule="exact"/>
        <w:ind w:left="1094" w:hanging="547"/>
        <w:contextualSpacing w:val="0"/>
        <w:textAlignment w:val="auto"/>
        <w:rPr>
          <w:rFonts w:ascii="Arial" w:eastAsia="Calibri" w:hAnsi="Arial" w:cs="Arial"/>
          <w:sz w:val="22"/>
          <w:szCs w:val="22"/>
          <w:lang w:val="en-US"/>
        </w:rPr>
      </w:pPr>
      <w:r w:rsidRPr="001C608D">
        <w:rPr>
          <w:rFonts w:ascii="Arial" w:eastAsia="Calibri" w:hAnsi="Arial" w:cs="Arial"/>
          <w:sz w:val="22"/>
          <w:szCs w:val="22"/>
          <w:lang w:val="en-US"/>
        </w:rPr>
        <w:lastRenderedPageBreak/>
        <w:tab/>
      </w:r>
      <w:r w:rsidR="00072F21" w:rsidRPr="001C608D">
        <w:rPr>
          <w:rFonts w:ascii="Arial" w:eastAsia="Calibri" w:hAnsi="Arial" w:cs="Arial"/>
          <w:sz w:val="22"/>
          <w:szCs w:val="22"/>
          <w:lang w:val="en-US"/>
        </w:rPr>
        <w:t>Even with the provision for losses being set up in full, it is commercially necessary for the Company headed by the new CEO, who is related to the ex-CEO, to demand full restitution from the borrowers and that ex-CEO. In addition, the Company is required to protect and take control of all bank accounts of the Company’s subsidiary in Singapore</w:t>
      </w:r>
      <w:r w:rsidR="00AE5168" w:rsidRPr="001C608D">
        <w:rPr>
          <w:rFonts w:ascii="Arial" w:eastAsia="Calibri" w:hAnsi="Arial" w:cs="Arial"/>
          <w:sz w:val="22"/>
          <w:szCs w:val="22"/>
          <w:lang w:val="en-US"/>
        </w:rPr>
        <w:t xml:space="preserve"> and other countries</w:t>
      </w:r>
      <w:r w:rsidR="00072F21" w:rsidRPr="001C608D">
        <w:rPr>
          <w:rFonts w:ascii="Arial" w:eastAsia="Calibri" w:hAnsi="Arial" w:cs="Arial"/>
          <w:sz w:val="22"/>
          <w:szCs w:val="22"/>
          <w:lang w:val="en-US"/>
        </w:rPr>
        <w:t xml:space="preserve"> and all the assets of securities previously provided against the “loans” to ensure realisation on their value at maximum for eventual restitution. </w:t>
      </w:r>
      <w:r w:rsidR="00AE5168" w:rsidRPr="001C608D">
        <w:rPr>
          <w:rFonts w:ascii="Arial" w:eastAsia="Calibri" w:hAnsi="Arial" w:cs="Arial"/>
          <w:sz w:val="22"/>
          <w:szCs w:val="22"/>
          <w:lang w:val="en-US"/>
        </w:rPr>
        <w:t>T</w:t>
      </w:r>
      <w:r w:rsidR="00072F21" w:rsidRPr="001C608D">
        <w:rPr>
          <w:rFonts w:ascii="Arial" w:eastAsia="Calibri" w:hAnsi="Arial" w:cs="Arial"/>
          <w:sz w:val="22"/>
          <w:szCs w:val="22"/>
          <w:lang w:val="en-US"/>
        </w:rPr>
        <w:t xml:space="preserve">he bank accounts of the Company’s subsidiary in Singapore and the substantial securities are presently outside Thailand and under the control of the board of directors of the Company’s subsidiary in Singapore while that ex-CEO is still one of authorised directors of the subsidiaries in Singapore </w:t>
      </w:r>
      <w:r w:rsidR="00072F21" w:rsidRPr="00D21DA5">
        <w:rPr>
          <w:rFonts w:ascii="Arial" w:eastAsia="Calibri" w:hAnsi="Arial" w:cs="Arial"/>
          <w:sz w:val="22"/>
          <w:szCs w:val="22"/>
          <w:lang w:val="en-US"/>
        </w:rPr>
        <w:t xml:space="preserve">and </w:t>
      </w:r>
      <w:r w:rsidR="00CA3365">
        <w:rPr>
          <w:rFonts w:ascii="Arial" w:eastAsia="Calibri" w:hAnsi="Arial" w:cs="Browallia New"/>
          <w:sz w:val="22"/>
          <w:szCs w:val="28"/>
          <w:lang w:val="en-US"/>
        </w:rPr>
        <w:t>an oversea subsidiary</w:t>
      </w:r>
      <w:r w:rsidR="00072F21" w:rsidRPr="00D21DA5">
        <w:rPr>
          <w:rFonts w:ascii="Arial" w:eastAsia="Calibri" w:hAnsi="Arial" w:cs="Arial"/>
          <w:sz w:val="22"/>
          <w:szCs w:val="22"/>
          <w:lang w:val="en-US"/>
        </w:rPr>
        <w:t>.</w:t>
      </w:r>
    </w:p>
    <w:p w:rsidR="00DD20A7" w:rsidRPr="001C608D" w:rsidRDefault="006C7306" w:rsidP="006C7306">
      <w:pPr>
        <w:pStyle w:val="ListParagraph"/>
        <w:pBdr>
          <w:top w:val="none" w:sz="4" w:space="0" w:color="auto"/>
          <w:left w:val="none" w:sz="4" w:space="30" w:color="auto"/>
          <w:bottom w:val="none" w:sz="4" w:space="0" w:color="auto"/>
          <w:right w:val="none" w:sz="4" w:space="0" w:color="auto"/>
          <w:between w:val="none" w:sz="4" w:space="0" w:color="auto"/>
          <w:bar w:val="none" w:sz="4" w:color="auto"/>
        </w:pBdr>
        <w:overflowPunct/>
        <w:autoSpaceDE/>
        <w:autoSpaceDN/>
        <w:adjustRightInd/>
        <w:spacing w:before="120" w:after="120" w:line="380" w:lineRule="exact"/>
        <w:ind w:left="1094" w:hanging="547"/>
        <w:contextualSpacing w:val="0"/>
        <w:textAlignment w:val="auto"/>
        <w:rPr>
          <w:rFonts w:ascii="Arial" w:eastAsia="Calibri" w:hAnsi="Arial" w:cs="Arial"/>
          <w:sz w:val="22"/>
          <w:szCs w:val="22"/>
          <w:lang w:val="en-US"/>
        </w:rPr>
      </w:pPr>
      <w:r w:rsidRPr="001C608D">
        <w:rPr>
          <w:rFonts w:ascii="Arial" w:hAnsi="Arial"/>
          <w:sz w:val="22"/>
          <w:szCs w:val="22"/>
          <w:lang w:val="en-US"/>
        </w:rPr>
        <w:tab/>
      </w:r>
      <w:r w:rsidR="00DD20A7" w:rsidRPr="001C608D">
        <w:rPr>
          <w:rFonts w:ascii="Arial" w:hAnsi="Arial"/>
          <w:sz w:val="22"/>
          <w:szCs w:val="22"/>
          <w:lang w:val="en-US"/>
        </w:rPr>
        <w:t>I</w:t>
      </w:r>
      <w:r w:rsidR="00DD20A7" w:rsidRPr="001C608D">
        <w:rPr>
          <w:rFonts w:ascii="Arial" w:hAnsi="Arial" w:hint="cs"/>
          <w:sz w:val="22"/>
          <w:szCs w:val="22"/>
          <w:cs/>
          <w:lang w:val="en-US"/>
        </w:rPr>
        <w:t xml:space="preserve"> </w:t>
      </w:r>
      <w:r w:rsidR="00DD20A7" w:rsidRPr="001C608D">
        <w:rPr>
          <w:rFonts w:ascii="Arial" w:hAnsi="Arial"/>
          <w:sz w:val="22"/>
          <w:szCs w:val="22"/>
          <w:lang w:val="en-US"/>
        </w:rPr>
        <w:t>have sent requests for confirmation of balances as at 31 December 201</w:t>
      </w:r>
      <w:r w:rsidR="00DD20A7" w:rsidRPr="001C608D">
        <w:rPr>
          <w:rFonts w:ascii="Arial" w:hAnsi="Arial" w:cstheme="minorBidi"/>
          <w:sz w:val="22"/>
          <w:szCs w:val="22"/>
          <w:lang w:val="en-US"/>
        </w:rPr>
        <w:t>7</w:t>
      </w:r>
      <w:r w:rsidR="00DD20A7" w:rsidRPr="001C608D">
        <w:rPr>
          <w:rFonts w:ascii="Arial" w:hAnsi="Arial"/>
          <w:sz w:val="22"/>
          <w:szCs w:val="22"/>
          <w:lang w:val="en-US"/>
        </w:rPr>
        <w:t xml:space="preserve"> to collateral </w:t>
      </w:r>
      <w:r w:rsidR="00DD20A7" w:rsidRPr="001C608D">
        <w:rPr>
          <w:rFonts w:ascii="Arial" w:eastAsia="Calibri" w:hAnsi="Arial" w:cs="Arial"/>
          <w:sz w:val="22"/>
          <w:szCs w:val="22"/>
          <w:lang w:val="en-US"/>
        </w:rPr>
        <w:t>custodian</w:t>
      </w:r>
      <w:r w:rsidR="00DD20A7" w:rsidRPr="001C608D">
        <w:rPr>
          <w:rFonts w:ascii="Arial" w:hAnsi="Arial"/>
          <w:sz w:val="22"/>
          <w:szCs w:val="22"/>
          <w:lang w:val="en-US"/>
        </w:rPr>
        <w:t>. U</w:t>
      </w:r>
      <w:r w:rsidR="00DD20A7" w:rsidRPr="001C608D">
        <w:rPr>
          <w:rFonts w:ascii="Arial" w:hAnsi="Arial"/>
          <w:sz w:val="22"/>
          <w:szCs w:val="28"/>
          <w:lang w:val="en-US"/>
        </w:rPr>
        <w:t>p to this report date, I</w:t>
      </w:r>
      <w:r w:rsidR="00DD20A7" w:rsidRPr="001C608D">
        <w:rPr>
          <w:rFonts w:ascii="Arial" w:hAnsi="Arial"/>
          <w:sz w:val="22"/>
          <w:szCs w:val="22"/>
          <w:lang w:val="en-US"/>
        </w:rPr>
        <w:t xml:space="preserve"> have not yet received any reply from</w:t>
      </w:r>
      <w:r w:rsidR="00DD20A7" w:rsidRPr="001C608D">
        <w:rPr>
          <w:rFonts w:ascii="Arial" w:hAnsi="Arial"/>
          <w:sz w:val="22"/>
          <w:szCs w:val="22"/>
          <w:cs/>
        </w:rPr>
        <w:t xml:space="preserve"> </w:t>
      </w:r>
      <w:r w:rsidR="00DD20A7" w:rsidRPr="001C608D">
        <w:rPr>
          <w:rFonts w:ascii="Arial" w:hAnsi="Arial"/>
          <w:sz w:val="22"/>
          <w:szCs w:val="22"/>
          <w:lang w:val="en-US"/>
        </w:rPr>
        <w:t>the collateral custodian.</w:t>
      </w:r>
    </w:p>
    <w:p w:rsidR="00072F21" w:rsidRPr="001C608D" w:rsidRDefault="00072F21" w:rsidP="006C7306">
      <w:pPr>
        <w:pStyle w:val="ListParagraph"/>
        <w:numPr>
          <w:ilvl w:val="0"/>
          <w:numId w:val="3"/>
        </w:numPr>
        <w:pBdr>
          <w:top w:val="none" w:sz="4" w:space="0" w:color="auto"/>
          <w:left w:val="none" w:sz="4" w:space="0" w:color="auto"/>
          <w:bottom w:val="none" w:sz="4" w:space="0" w:color="auto"/>
          <w:right w:val="none" w:sz="4" w:space="0" w:color="auto"/>
          <w:between w:val="none" w:sz="4" w:space="0" w:color="auto"/>
          <w:bar w:val="none" w:sz="4" w:color="auto"/>
        </w:pBdr>
        <w:overflowPunct/>
        <w:autoSpaceDE/>
        <w:autoSpaceDN/>
        <w:adjustRightInd/>
        <w:spacing w:before="120" w:after="120" w:line="380" w:lineRule="exact"/>
        <w:ind w:left="1094" w:hanging="547"/>
        <w:contextualSpacing w:val="0"/>
        <w:textAlignment w:val="auto"/>
        <w:rPr>
          <w:rFonts w:ascii="Arial" w:eastAsia="Calibri" w:hAnsi="Arial" w:cs="Arial"/>
          <w:sz w:val="22"/>
          <w:szCs w:val="22"/>
          <w:u w:val="single"/>
          <w:lang w:val="en-US"/>
        </w:rPr>
      </w:pPr>
      <w:r w:rsidRPr="001C608D">
        <w:rPr>
          <w:rFonts w:ascii="Arial" w:eastAsia="Calibri" w:hAnsi="Arial" w:cs="Arial"/>
          <w:sz w:val="22"/>
          <w:szCs w:val="22"/>
          <w:u w:val="single"/>
          <w:lang w:val="en-US"/>
        </w:rPr>
        <w:t xml:space="preserve">Qualified </w:t>
      </w:r>
      <w:r w:rsidRPr="001C608D">
        <w:rPr>
          <w:rFonts w:ascii="Arial" w:eastAsia="Calibri" w:hAnsi="Arial" w:cs="Browallia New"/>
          <w:sz w:val="22"/>
          <w:szCs w:val="28"/>
          <w:u w:val="single"/>
          <w:lang w:val="en-US"/>
        </w:rPr>
        <w:t>opinion</w:t>
      </w:r>
    </w:p>
    <w:p w:rsidR="00072F21" w:rsidRPr="001C608D" w:rsidRDefault="006C7306" w:rsidP="006C7306">
      <w:pPr>
        <w:pStyle w:val="ListParagraph"/>
        <w:pBdr>
          <w:top w:val="none" w:sz="4" w:space="0" w:color="auto"/>
          <w:left w:val="none" w:sz="4" w:space="30" w:color="auto"/>
          <w:bottom w:val="none" w:sz="4" w:space="0" w:color="auto"/>
          <w:right w:val="none" w:sz="4" w:space="0" w:color="auto"/>
          <w:between w:val="none" w:sz="4" w:space="0" w:color="auto"/>
          <w:bar w:val="none" w:sz="4" w:color="auto"/>
        </w:pBdr>
        <w:overflowPunct/>
        <w:autoSpaceDE/>
        <w:autoSpaceDN/>
        <w:adjustRightInd/>
        <w:spacing w:before="120" w:after="120" w:line="380" w:lineRule="exact"/>
        <w:ind w:left="1094" w:hanging="547"/>
        <w:contextualSpacing w:val="0"/>
        <w:textAlignment w:val="auto"/>
        <w:rPr>
          <w:rFonts w:ascii="Arial" w:eastAsia="Calibri" w:hAnsi="Arial" w:cs="Browallia New"/>
          <w:sz w:val="22"/>
          <w:szCs w:val="28"/>
          <w:lang w:val="en-US"/>
        </w:rPr>
      </w:pPr>
      <w:r w:rsidRPr="001C608D">
        <w:rPr>
          <w:rFonts w:ascii="Arial" w:eastAsia="Calibri" w:hAnsi="Arial" w:cs="Arial"/>
          <w:sz w:val="22"/>
          <w:szCs w:val="22"/>
          <w:lang w:val="en-US"/>
        </w:rPr>
        <w:tab/>
      </w:r>
      <w:r w:rsidR="00072F21" w:rsidRPr="001C608D">
        <w:rPr>
          <w:rFonts w:ascii="Arial" w:eastAsia="Calibri" w:hAnsi="Arial" w:cs="Arial"/>
          <w:sz w:val="22"/>
          <w:szCs w:val="22"/>
          <w:lang w:val="en-US"/>
        </w:rPr>
        <w:t>Because of that ex-CEO being under ongoing official investigation by DSI following the SEC’s criminal complaint, the whole matter is now under consideration for proceeding to court. Due to the legal process not being finalized and my limitation as a professional auditor in examining further the real status of the borrowings,</w:t>
      </w:r>
      <w:r w:rsidR="00072F21" w:rsidRPr="001C608D">
        <w:rPr>
          <w:rFonts w:ascii="Arial" w:eastAsia="Calibri" w:hAnsi="Arial" w:cs="Arial" w:hint="cs"/>
          <w:sz w:val="22"/>
          <w:szCs w:val="22"/>
          <w:cs/>
          <w:lang w:val="en-US"/>
        </w:rPr>
        <w:t xml:space="preserve"> </w:t>
      </w:r>
      <w:r w:rsidR="00072F21" w:rsidRPr="001C608D">
        <w:rPr>
          <w:rFonts w:ascii="Arial" w:eastAsia="Calibri" w:hAnsi="Arial" w:cs="Arial"/>
          <w:sz w:val="22"/>
          <w:szCs w:val="22"/>
          <w:lang w:val="en-US"/>
        </w:rPr>
        <w:t>I am therefore unable to conclude on the status of the debts except to await for the DSI’s investigation since it has power and official channels to eventually decide and conclude the case and seeking for court’s judgement. Therefore, under this limitation by circumstance, I am unable to conclusively determine the eventuality of the SEC’s criminal complaint on those loans and receivables and bona fide of interest income and also unable to conclude on the fairn</w:t>
      </w:r>
      <w:r w:rsidR="00DD20A7" w:rsidRPr="001C608D">
        <w:rPr>
          <w:rFonts w:ascii="Arial" w:eastAsia="Calibri" w:hAnsi="Arial" w:cs="Arial"/>
          <w:sz w:val="22"/>
          <w:szCs w:val="22"/>
          <w:lang w:val="en-US"/>
        </w:rPr>
        <w:t>ess of the provision for losses</w:t>
      </w:r>
      <w:r w:rsidR="00072F21" w:rsidRPr="001C608D">
        <w:rPr>
          <w:rFonts w:ascii="Arial" w:eastAsia="Calibri" w:hAnsi="Arial" w:cs="Arial"/>
          <w:sz w:val="22"/>
          <w:szCs w:val="22"/>
          <w:lang w:val="en-US"/>
        </w:rPr>
        <w:t xml:space="preserve"> which is subject to the efforts of recovery </w:t>
      </w:r>
      <w:r w:rsidR="008417B0" w:rsidRPr="001C608D">
        <w:rPr>
          <w:rFonts w:ascii="Arial" w:eastAsia="Calibri" w:hAnsi="Arial" w:cs="Arial"/>
          <w:sz w:val="22"/>
          <w:szCs w:val="22"/>
          <w:lang w:val="en-US"/>
        </w:rPr>
        <w:t xml:space="preserve">of the Group’s assets alleged by the SEC </w:t>
      </w:r>
      <w:r w:rsidR="00072F21" w:rsidRPr="001C608D">
        <w:rPr>
          <w:rFonts w:ascii="Arial" w:eastAsia="Calibri" w:hAnsi="Arial" w:cs="Arial"/>
          <w:sz w:val="22"/>
          <w:szCs w:val="22"/>
          <w:lang w:val="en-US"/>
        </w:rPr>
        <w:t>by the new management and also I am unable to conclude whether there should be more adjustment on the past financial statements because the Company has amended its past financial statements based on the figures of loans as made known to the Com</w:t>
      </w:r>
      <w:r w:rsidR="007571A2" w:rsidRPr="001C608D">
        <w:rPr>
          <w:rFonts w:ascii="Arial" w:eastAsia="Calibri" w:hAnsi="Arial" w:cs="Arial"/>
          <w:sz w:val="22"/>
          <w:szCs w:val="22"/>
          <w:lang w:val="en-US"/>
        </w:rPr>
        <w:t>pany from the SEC’s allegation. T</w:t>
      </w:r>
      <w:r w:rsidR="00072F21" w:rsidRPr="001C608D">
        <w:rPr>
          <w:rFonts w:ascii="Arial" w:eastAsia="Calibri" w:hAnsi="Arial" w:cs="Arial"/>
          <w:sz w:val="22"/>
          <w:szCs w:val="22"/>
          <w:lang w:val="en-US"/>
        </w:rPr>
        <w:t xml:space="preserve">he amendment has been made on the 2017 </w:t>
      </w:r>
      <w:r w:rsidR="007571A2" w:rsidRPr="001C608D">
        <w:rPr>
          <w:rFonts w:ascii="Arial" w:eastAsia="Calibri" w:hAnsi="Arial" w:cs="Arial"/>
          <w:sz w:val="22"/>
          <w:szCs w:val="22"/>
          <w:lang w:val="en-US"/>
        </w:rPr>
        <w:t xml:space="preserve"> financial statements (</w:t>
      </w:r>
      <w:r w:rsidR="00072F21" w:rsidRPr="001C608D">
        <w:rPr>
          <w:rFonts w:ascii="Arial" w:eastAsia="Calibri" w:hAnsi="Arial" w:cs="Arial"/>
          <w:sz w:val="22"/>
          <w:szCs w:val="22"/>
          <w:lang w:val="en-US"/>
        </w:rPr>
        <w:t>and 2016</w:t>
      </w:r>
      <w:r w:rsidR="007571A2" w:rsidRPr="001C608D">
        <w:rPr>
          <w:rFonts w:ascii="Arial" w:eastAsia="Calibri" w:hAnsi="Arial" w:cs="Arial"/>
          <w:sz w:val="22"/>
          <w:szCs w:val="22"/>
          <w:lang w:val="en-US"/>
        </w:rPr>
        <w:t xml:space="preserve"> comparative</w:t>
      </w:r>
      <w:r w:rsidR="00072F21" w:rsidRPr="001C608D">
        <w:rPr>
          <w:rFonts w:ascii="Arial" w:eastAsia="Calibri" w:hAnsi="Arial" w:cs="Arial"/>
          <w:sz w:val="22"/>
          <w:szCs w:val="22"/>
          <w:lang w:val="en-US"/>
        </w:rPr>
        <w:t xml:space="preserve"> financial statements</w:t>
      </w:r>
      <w:r w:rsidR="007571A2" w:rsidRPr="001C608D">
        <w:rPr>
          <w:rFonts w:ascii="Arial" w:eastAsia="Calibri" w:hAnsi="Arial" w:cs="Arial"/>
          <w:sz w:val="22"/>
          <w:szCs w:val="22"/>
          <w:lang w:val="en-US"/>
        </w:rPr>
        <w:t xml:space="preserve">) but </w:t>
      </w:r>
      <w:r w:rsidR="00072F21" w:rsidRPr="001C608D">
        <w:rPr>
          <w:rFonts w:ascii="Arial" w:eastAsia="Calibri" w:hAnsi="Arial" w:cs="Arial"/>
          <w:sz w:val="22"/>
          <w:szCs w:val="22"/>
          <w:lang w:val="en-US"/>
        </w:rPr>
        <w:t xml:space="preserve">not on the 2015 financial statements because the Company considers the effect in 2015 </w:t>
      </w:r>
      <w:r w:rsidR="00DD20A7" w:rsidRPr="001C608D">
        <w:rPr>
          <w:rFonts w:ascii="Arial" w:eastAsia="Calibri" w:hAnsi="Arial" w:cs="Browallia New"/>
          <w:sz w:val="22"/>
          <w:szCs w:val="28"/>
          <w:lang w:val="en-US"/>
        </w:rPr>
        <w:t>a</w:t>
      </w:r>
      <w:r w:rsidR="007571A2" w:rsidRPr="001C608D">
        <w:rPr>
          <w:rFonts w:ascii="Arial" w:eastAsia="Calibri" w:hAnsi="Arial" w:cs="Arial"/>
          <w:sz w:val="22"/>
          <w:szCs w:val="22"/>
          <w:lang w:val="en-US"/>
        </w:rPr>
        <w:t>s immaterial.</w:t>
      </w:r>
    </w:p>
    <w:p w:rsidR="001239D8" w:rsidRPr="001C608D" w:rsidRDefault="001239D8">
      <w:pPr>
        <w:overflowPunct/>
        <w:autoSpaceDE/>
        <w:autoSpaceDN/>
        <w:adjustRightInd/>
        <w:spacing w:before="100" w:after="100" w:line="380" w:lineRule="exact"/>
        <w:ind w:right="-43"/>
        <w:jc w:val="both"/>
        <w:textAlignment w:val="auto"/>
        <w:rPr>
          <w:rFonts w:ascii="Arial" w:eastAsia="Calibri" w:hAnsi="Arial" w:cs="Arial"/>
          <w:sz w:val="22"/>
          <w:szCs w:val="22"/>
          <w:u w:val="single"/>
          <w:lang w:val="en-US"/>
        </w:rPr>
      </w:pPr>
      <w:r w:rsidRPr="001C608D">
        <w:rPr>
          <w:rFonts w:ascii="Arial" w:eastAsia="Calibri" w:hAnsi="Arial" w:cs="Arial"/>
          <w:sz w:val="22"/>
          <w:szCs w:val="22"/>
          <w:u w:val="single"/>
          <w:lang w:val="en-US"/>
        </w:rPr>
        <w:br w:type="page"/>
      </w:r>
    </w:p>
    <w:p w:rsidR="00072F21" w:rsidRPr="001C608D" w:rsidRDefault="00DD20A7" w:rsidP="006C7306">
      <w:pPr>
        <w:pStyle w:val="ListParagraph"/>
        <w:numPr>
          <w:ilvl w:val="0"/>
          <w:numId w:val="3"/>
        </w:numPr>
        <w:pBdr>
          <w:top w:val="none" w:sz="4" w:space="0" w:color="auto"/>
          <w:left w:val="none" w:sz="4" w:space="0" w:color="auto"/>
          <w:bottom w:val="none" w:sz="4" w:space="0" w:color="auto"/>
          <w:right w:val="none" w:sz="4" w:space="0" w:color="auto"/>
          <w:between w:val="none" w:sz="4" w:space="0" w:color="auto"/>
          <w:bar w:val="none" w:sz="4" w:color="auto"/>
        </w:pBdr>
        <w:overflowPunct/>
        <w:autoSpaceDE/>
        <w:autoSpaceDN/>
        <w:adjustRightInd/>
        <w:spacing w:before="120" w:after="120" w:line="380" w:lineRule="exact"/>
        <w:ind w:left="1094" w:hanging="547"/>
        <w:contextualSpacing w:val="0"/>
        <w:textAlignment w:val="auto"/>
        <w:rPr>
          <w:rFonts w:ascii="Arial" w:eastAsia="Calibri" w:hAnsi="Arial" w:cs="Arial"/>
          <w:sz w:val="22"/>
          <w:szCs w:val="22"/>
          <w:u w:val="single"/>
          <w:lang w:val="en-US"/>
        </w:rPr>
      </w:pPr>
      <w:r w:rsidRPr="001C608D">
        <w:rPr>
          <w:rFonts w:ascii="Arial" w:eastAsia="Calibri" w:hAnsi="Arial" w:cs="Arial"/>
          <w:sz w:val="22"/>
          <w:szCs w:val="22"/>
          <w:u w:val="single"/>
          <w:lang w:val="en-US"/>
        </w:rPr>
        <w:lastRenderedPageBreak/>
        <w:t>Reclassification as “</w:t>
      </w:r>
      <w:r w:rsidR="006F0076" w:rsidRPr="001C608D">
        <w:rPr>
          <w:rFonts w:ascii="Arial" w:eastAsia="Calibri" w:hAnsi="Arial" w:cs="Browallia New"/>
          <w:sz w:val="22"/>
          <w:szCs w:val="28"/>
          <w:u w:val="single"/>
          <w:lang w:val="en-US"/>
        </w:rPr>
        <w:t>Disputed loans</w:t>
      </w:r>
      <w:r w:rsidR="00072F21" w:rsidRPr="001C608D">
        <w:rPr>
          <w:rFonts w:ascii="Arial" w:eastAsia="Calibri" w:hAnsi="Arial" w:cs="Arial"/>
          <w:sz w:val="22"/>
          <w:szCs w:val="22"/>
          <w:u w:val="single"/>
          <w:lang w:val="en-US"/>
        </w:rPr>
        <w:t>”</w:t>
      </w:r>
      <w:r w:rsidR="006F0076" w:rsidRPr="001C608D">
        <w:rPr>
          <w:rFonts w:ascii="Arial" w:eastAsia="Calibri" w:hAnsi="Arial" w:cs="Arial"/>
          <w:sz w:val="22"/>
          <w:szCs w:val="22"/>
          <w:u w:val="single"/>
          <w:lang w:val="en-US"/>
        </w:rPr>
        <w:t xml:space="preserve"> (as alleged by the SEC)</w:t>
      </w:r>
      <w:r w:rsidR="00072F21" w:rsidRPr="001C608D">
        <w:rPr>
          <w:rFonts w:ascii="Arial" w:eastAsia="Calibri" w:hAnsi="Arial" w:cs="Arial"/>
          <w:sz w:val="22"/>
          <w:szCs w:val="22"/>
          <w:u w:val="single"/>
          <w:lang w:val="en-US"/>
        </w:rPr>
        <w:t xml:space="preserve"> instead of “Loans to Cyprus and Singapore group” and reversal of amount previously shown as interest income</w:t>
      </w:r>
    </w:p>
    <w:p w:rsidR="00072F21" w:rsidRPr="001C608D" w:rsidRDefault="006C7306" w:rsidP="006C7306">
      <w:pPr>
        <w:pStyle w:val="ListParagraph"/>
        <w:pBdr>
          <w:top w:val="none" w:sz="4" w:space="0" w:color="auto"/>
          <w:left w:val="none" w:sz="4" w:space="30" w:color="auto"/>
          <w:bottom w:val="none" w:sz="4" w:space="0" w:color="auto"/>
          <w:right w:val="none" w:sz="4" w:space="0" w:color="auto"/>
          <w:between w:val="none" w:sz="4" w:space="0" w:color="auto"/>
          <w:bar w:val="none" w:sz="4" w:color="auto"/>
        </w:pBdr>
        <w:overflowPunct/>
        <w:autoSpaceDE/>
        <w:autoSpaceDN/>
        <w:adjustRightInd/>
        <w:spacing w:before="120" w:after="120" w:line="380" w:lineRule="exact"/>
        <w:ind w:left="1094" w:hanging="547"/>
        <w:contextualSpacing w:val="0"/>
        <w:textAlignment w:val="auto"/>
        <w:rPr>
          <w:rFonts w:ascii="Arial" w:eastAsia="Calibri" w:hAnsi="Arial" w:cs="Arial"/>
          <w:sz w:val="22"/>
          <w:szCs w:val="22"/>
          <w:lang w:val="en-US"/>
        </w:rPr>
      </w:pPr>
      <w:r w:rsidRPr="001C608D">
        <w:rPr>
          <w:rFonts w:ascii="Arial" w:eastAsia="Calibri" w:hAnsi="Arial" w:cs="Arial"/>
          <w:sz w:val="22"/>
          <w:szCs w:val="22"/>
          <w:lang w:val="en-US"/>
        </w:rPr>
        <w:tab/>
      </w:r>
      <w:r w:rsidR="00072F21" w:rsidRPr="001C608D">
        <w:rPr>
          <w:rFonts w:ascii="Arial" w:eastAsia="Calibri" w:hAnsi="Arial" w:cs="Arial"/>
          <w:sz w:val="22"/>
          <w:szCs w:val="22"/>
          <w:lang w:val="en-US"/>
        </w:rPr>
        <w:t>Relying on the SEC’s allegations of fraud and falsehood in accounting committed by the ex-CEO and assuming the eventual legal process reached with the same conclusions as alleged, the past financial statements ended on the related years would have to be relatively corrected and revised with the now known</w:t>
      </w:r>
      <w:r w:rsidR="00072F21" w:rsidRPr="001C608D">
        <w:rPr>
          <w:rFonts w:ascii="Arial" w:eastAsia="Calibri" w:hAnsi="Arial" w:cs="Arial" w:hint="cs"/>
          <w:sz w:val="22"/>
          <w:szCs w:val="22"/>
          <w:cs/>
          <w:lang w:val="en-US"/>
        </w:rPr>
        <w:t xml:space="preserve"> </w:t>
      </w:r>
      <w:r w:rsidR="00072F21" w:rsidRPr="001C608D">
        <w:rPr>
          <w:rFonts w:ascii="Arial" w:eastAsia="Calibri" w:hAnsi="Arial" w:cs="Arial"/>
          <w:sz w:val="22"/>
          <w:szCs w:val="22"/>
          <w:lang w:val="en-US"/>
        </w:rPr>
        <w:t>alleged fraud, which was portrayed as loans granted by the Group to the ‘borrowers’ in Cyprus and Singapore and reversal of previous interest income.</w:t>
      </w:r>
    </w:p>
    <w:p w:rsidR="00072F21" w:rsidRPr="001C608D" w:rsidRDefault="00072F21" w:rsidP="006C7306">
      <w:pPr>
        <w:spacing w:before="120" w:after="120" w:line="380" w:lineRule="exact"/>
        <w:ind w:left="1620" w:hanging="540"/>
        <w:rPr>
          <w:rFonts w:ascii="Arial" w:hAnsi="Arial" w:cstheme="minorBidi"/>
          <w:sz w:val="22"/>
          <w:szCs w:val="22"/>
          <w:u w:val="single"/>
          <w:lang w:val="en-US"/>
        </w:rPr>
      </w:pPr>
      <w:r w:rsidRPr="001C608D">
        <w:rPr>
          <w:rFonts w:ascii="Arial" w:hAnsi="Arial" w:cs="Arial"/>
          <w:sz w:val="22"/>
          <w:szCs w:val="22"/>
          <w:lang w:val="en-US"/>
        </w:rPr>
        <w:t>1)</w:t>
      </w:r>
      <w:r w:rsidRPr="001C608D">
        <w:rPr>
          <w:rFonts w:ascii="Arial" w:hAnsi="Arial" w:cs="Arial"/>
          <w:sz w:val="22"/>
          <w:szCs w:val="22"/>
          <w:lang w:val="en-US"/>
        </w:rPr>
        <w:tab/>
      </w:r>
      <w:r w:rsidRPr="001C608D">
        <w:rPr>
          <w:rFonts w:ascii="Arial" w:hAnsi="Arial" w:cs="Arial"/>
          <w:sz w:val="22"/>
          <w:szCs w:val="22"/>
          <w:u w:val="single"/>
          <w:lang w:val="en-US"/>
        </w:rPr>
        <w:t>Portion of loans alleged by the S</w:t>
      </w:r>
      <w:r w:rsidR="00044E4C" w:rsidRPr="001C608D">
        <w:rPr>
          <w:rFonts w:ascii="Arial" w:hAnsi="Arial" w:cs="Arial"/>
          <w:sz w:val="22"/>
          <w:szCs w:val="22"/>
          <w:u w:val="single"/>
          <w:lang w:val="en-US"/>
        </w:rPr>
        <w:t>EC of USD 54 million - Already restated</w:t>
      </w:r>
      <w:r w:rsidRPr="001C608D">
        <w:rPr>
          <w:rFonts w:ascii="Arial" w:hAnsi="Arial" w:cs="Arial"/>
          <w:sz w:val="22"/>
          <w:szCs w:val="22"/>
          <w:u w:val="single"/>
          <w:lang w:val="en-US"/>
        </w:rPr>
        <w:t xml:space="preserve"> in the past financial statements</w:t>
      </w:r>
    </w:p>
    <w:p w:rsidR="00072F21" w:rsidRPr="001C608D" w:rsidRDefault="00072F21" w:rsidP="006C7306">
      <w:pPr>
        <w:spacing w:before="120" w:after="120" w:line="380" w:lineRule="exact"/>
        <w:ind w:left="1980" w:hanging="360"/>
        <w:rPr>
          <w:rFonts w:ascii="Arial" w:hAnsi="Arial" w:cs="Arial"/>
          <w:sz w:val="22"/>
          <w:szCs w:val="22"/>
          <w:lang w:val="en-US"/>
        </w:rPr>
      </w:pPr>
      <w:r w:rsidRPr="001C608D">
        <w:rPr>
          <w:rFonts w:ascii="Arial" w:hAnsi="Arial" w:cs="Arial"/>
          <w:sz w:val="22"/>
          <w:szCs w:val="22"/>
          <w:lang w:val="en-US"/>
        </w:rPr>
        <w:t>-</w:t>
      </w:r>
      <w:r w:rsidRPr="001C608D">
        <w:rPr>
          <w:rFonts w:ascii="Arial" w:hAnsi="Arial" w:cs="Arial"/>
          <w:sz w:val="22"/>
          <w:szCs w:val="22"/>
          <w:lang w:val="en-US"/>
        </w:rPr>
        <w:tab/>
        <w:t>The Company has</w:t>
      </w:r>
      <w:r w:rsidR="00DC45B9" w:rsidRPr="001C608D">
        <w:rPr>
          <w:rFonts w:ascii="Arial" w:hAnsi="Arial" w:cs="Arial"/>
          <w:sz w:val="22"/>
          <w:szCs w:val="22"/>
          <w:lang w:val="en-US"/>
        </w:rPr>
        <w:t xml:space="preserve"> retroactively</w:t>
      </w:r>
      <w:r w:rsidRPr="001C608D">
        <w:rPr>
          <w:rFonts w:ascii="Arial" w:hAnsi="Arial" w:cs="Arial"/>
          <w:sz w:val="22"/>
          <w:szCs w:val="22"/>
          <w:lang w:val="en-US"/>
        </w:rPr>
        <w:t xml:space="preserve"> </w:t>
      </w:r>
      <w:r w:rsidR="00044E4C" w:rsidRPr="001C608D">
        <w:rPr>
          <w:rFonts w:ascii="Arial" w:hAnsi="Arial" w:cs="Arial"/>
          <w:sz w:val="22"/>
          <w:szCs w:val="22"/>
          <w:lang w:val="en-US"/>
        </w:rPr>
        <w:t>restated</w:t>
      </w:r>
      <w:r w:rsidRPr="001C608D">
        <w:rPr>
          <w:rFonts w:ascii="Arial" w:hAnsi="Arial" w:cs="Arial"/>
          <w:sz w:val="22"/>
          <w:szCs w:val="22"/>
          <w:lang w:val="en-US"/>
        </w:rPr>
        <w:t xml:space="preserve"> the financial statements for </w:t>
      </w:r>
      <w:r w:rsidR="00DC45B9" w:rsidRPr="001C608D">
        <w:rPr>
          <w:rFonts w:ascii="Arial" w:hAnsi="Arial" w:cs="Arial"/>
          <w:sz w:val="22"/>
          <w:szCs w:val="22"/>
          <w:lang w:val="en-US"/>
        </w:rPr>
        <w:t xml:space="preserve">          </w:t>
      </w:r>
      <w:r w:rsidRPr="001C608D">
        <w:rPr>
          <w:rFonts w:ascii="Arial" w:hAnsi="Arial" w:cs="Arial"/>
          <w:sz w:val="22"/>
          <w:szCs w:val="22"/>
          <w:lang w:val="en-US"/>
        </w:rPr>
        <w:t>the year 2017</w:t>
      </w:r>
      <w:r w:rsidR="007571A2" w:rsidRPr="001C608D">
        <w:rPr>
          <w:rFonts w:ascii="Arial" w:hAnsi="Arial" w:cs="Arial"/>
          <w:sz w:val="22"/>
          <w:szCs w:val="22"/>
          <w:lang w:val="en-US"/>
        </w:rPr>
        <w:t xml:space="preserve"> financial statements</w:t>
      </w:r>
      <w:r w:rsidR="00DC45B9" w:rsidRPr="001C608D">
        <w:rPr>
          <w:rFonts w:ascii="Arial" w:hAnsi="Arial" w:cs="Arial"/>
          <w:sz w:val="22"/>
          <w:szCs w:val="22"/>
          <w:lang w:val="en-US"/>
        </w:rPr>
        <w:t xml:space="preserve"> </w:t>
      </w:r>
      <w:r w:rsidR="007571A2" w:rsidRPr="001C608D">
        <w:rPr>
          <w:rFonts w:ascii="Arial" w:hAnsi="Arial" w:cs="Arial"/>
          <w:sz w:val="22"/>
          <w:szCs w:val="22"/>
          <w:lang w:val="en-US"/>
        </w:rPr>
        <w:t>(</w:t>
      </w:r>
      <w:r w:rsidRPr="001C608D">
        <w:rPr>
          <w:rFonts w:ascii="Arial" w:hAnsi="Arial" w:cs="Arial"/>
          <w:sz w:val="22"/>
          <w:szCs w:val="22"/>
          <w:lang w:val="en-US"/>
        </w:rPr>
        <w:t>and 2016</w:t>
      </w:r>
      <w:r w:rsidR="007571A2" w:rsidRPr="001C608D">
        <w:rPr>
          <w:rFonts w:ascii="Arial" w:hAnsi="Arial" w:cs="Arial"/>
          <w:sz w:val="22"/>
          <w:szCs w:val="22"/>
          <w:lang w:val="en-US"/>
        </w:rPr>
        <w:t xml:space="preserve"> comparative financial statements)</w:t>
      </w:r>
      <w:r w:rsidRPr="001C608D">
        <w:rPr>
          <w:rFonts w:ascii="Arial" w:hAnsi="Arial" w:cs="Arial"/>
          <w:sz w:val="22"/>
          <w:szCs w:val="22"/>
          <w:lang w:val="en-US"/>
        </w:rPr>
        <w:t xml:space="preserve"> whereby it has not recognised interest income as revenue but cash received from interest </w:t>
      </w:r>
      <w:r w:rsidR="00987B99" w:rsidRPr="001C608D">
        <w:rPr>
          <w:rFonts w:ascii="Arial" w:hAnsi="Arial" w:cs="Browallia New"/>
          <w:sz w:val="22"/>
          <w:szCs w:val="28"/>
          <w:lang w:val="en-US"/>
        </w:rPr>
        <w:t>has been</w:t>
      </w:r>
      <w:r w:rsidRPr="001C608D">
        <w:rPr>
          <w:rFonts w:ascii="Arial" w:hAnsi="Arial" w:cs="Arial"/>
          <w:sz w:val="22"/>
          <w:szCs w:val="22"/>
          <w:lang w:val="en-US"/>
        </w:rPr>
        <w:t xml:space="preserve"> treated as a part of loan repayment.</w:t>
      </w:r>
    </w:p>
    <w:tbl>
      <w:tblPr>
        <w:tblW w:w="8100" w:type="dxa"/>
        <w:tblInd w:w="1890" w:type="dxa"/>
        <w:tblLayout w:type="fixed"/>
        <w:tblLook w:val="00A0" w:firstRow="1" w:lastRow="0" w:firstColumn="1" w:lastColumn="0" w:noHBand="0" w:noVBand="0"/>
      </w:tblPr>
      <w:tblGrid>
        <w:gridCol w:w="4320"/>
        <w:gridCol w:w="1260"/>
        <w:gridCol w:w="1260"/>
        <w:gridCol w:w="1260"/>
      </w:tblGrid>
      <w:tr w:rsidR="00072F21" w:rsidRPr="001C608D" w:rsidTr="007571A2">
        <w:trPr>
          <w:trHeight w:val="459"/>
        </w:trPr>
        <w:tc>
          <w:tcPr>
            <w:tcW w:w="4320" w:type="dxa"/>
            <w:shd w:val="clear" w:color="auto" w:fill="auto"/>
          </w:tcPr>
          <w:p w:rsidR="00072F21" w:rsidRPr="001C608D" w:rsidRDefault="00072F21" w:rsidP="005D764F">
            <w:pPr>
              <w:spacing w:line="380" w:lineRule="exact"/>
              <w:ind w:left="108"/>
              <w:rPr>
                <w:rFonts w:ascii="Arial" w:hAnsi="Arial" w:cs="Arial"/>
                <w:color w:val="000000"/>
                <w:sz w:val="22"/>
                <w:szCs w:val="22"/>
                <w:cs/>
                <w:lang w:val="en-US"/>
              </w:rPr>
            </w:pPr>
            <w:r w:rsidRPr="001C608D">
              <w:rPr>
                <w:lang w:val="en-US"/>
              </w:rPr>
              <w:br w:type="page"/>
            </w:r>
          </w:p>
        </w:tc>
        <w:tc>
          <w:tcPr>
            <w:tcW w:w="1260" w:type="dxa"/>
            <w:shd w:val="clear" w:color="auto" w:fill="auto"/>
            <w:vAlign w:val="center"/>
          </w:tcPr>
          <w:p w:rsidR="00072F21" w:rsidRPr="001C608D" w:rsidRDefault="00072F21" w:rsidP="005D764F">
            <w:pPr>
              <w:spacing w:line="380" w:lineRule="exact"/>
              <w:ind w:right="61"/>
              <w:jc w:val="center"/>
              <w:rPr>
                <w:rFonts w:ascii="Arial" w:hAnsi="Arial" w:cs="Arial"/>
                <w:color w:val="000000"/>
                <w:sz w:val="22"/>
                <w:szCs w:val="22"/>
                <w:u w:val="single"/>
                <w:cs/>
              </w:rPr>
            </w:pPr>
            <w:r w:rsidRPr="001C608D">
              <w:rPr>
                <w:rFonts w:ascii="Arial" w:hAnsi="Arial" w:cs="Arial"/>
                <w:color w:val="000000"/>
                <w:sz w:val="22"/>
                <w:szCs w:val="22"/>
                <w:u w:val="single"/>
                <w:cs/>
              </w:rPr>
              <w:t>2017</w:t>
            </w:r>
          </w:p>
        </w:tc>
        <w:tc>
          <w:tcPr>
            <w:tcW w:w="1260" w:type="dxa"/>
            <w:shd w:val="clear" w:color="auto" w:fill="auto"/>
            <w:vAlign w:val="center"/>
          </w:tcPr>
          <w:p w:rsidR="00072F21" w:rsidRPr="001C608D" w:rsidRDefault="00072F21" w:rsidP="005D764F">
            <w:pPr>
              <w:spacing w:line="380" w:lineRule="exact"/>
              <w:ind w:right="61"/>
              <w:jc w:val="center"/>
              <w:rPr>
                <w:rFonts w:ascii="Arial" w:hAnsi="Arial" w:cs="Arial"/>
                <w:color w:val="000000"/>
                <w:sz w:val="22"/>
                <w:szCs w:val="22"/>
                <w:u w:val="single"/>
                <w:cs/>
              </w:rPr>
            </w:pPr>
            <w:r w:rsidRPr="001C608D">
              <w:rPr>
                <w:rFonts w:ascii="Arial" w:hAnsi="Arial" w:cs="Arial"/>
                <w:color w:val="000000"/>
                <w:sz w:val="22"/>
                <w:szCs w:val="22"/>
                <w:u w:val="single"/>
                <w:cs/>
              </w:rPr>
              <w:t>2016</w:t>
            </w:r>
          </w:p>
        </w:tc>
        <w:tc>
          <w:tcPr>
            <w:tcW w:w="1260" w:type="dxa"/>
            <w:vAlign w:val="center"/>
          </w:tcPr>
          <w:p w:rsidR="00072F21" w:rsidRPr="001C608D" w:rsidRDefault="00072F21" w:rsidP="005D764F">
            <w:pPr>
              <w:spacing w:line="380" w:lineRule="exact"/>
              <w:ind w:right="61"/>
              <w:jc w:val="center"/>
              <w:rPr>
                <w:rFonts w:ascii="Arial" w:hAnsi="Arial" w:cs="Arial"/>
                <w:color w:val="000000"/>
                <w:sz w:val="22"/>
                <w:szCs w:val="22"/>
                <w:u w:val="single"/>
                <w:cs/>
              </w:rPr>
            </w:pPr>
            <w:r w:rsidRPr="001C608D">
              <w:rPr>
                <w:rFonts w:ascii="Arial" w:hAnsi="Arial" w:cs="Arial"/>
                <w:color w:val="000000"/>
                <w:sz w:val="22"/>
                <w:szCs w:val="22"/>
                <w:u w:val="single"/>
                <w:cs/>
              </w:rPr>
              <w:t>2015</w:t>
            </w:r>
          </w:p>
        </w:tc>
      </w:tr>
      <w:tr w:rsidR="00072F21" w:rsidRPr="001C608D" w:rsidTr="007571A2">
        <w:trPr>
          <w:trHeight w:val="459"/>
        </w:trPr>
        <w:tc>
          <w:tcPr>
            <w:tcW w:w="4320" w:type="dxa"/>
            <w:shd w:val="clear" w:color="auto" w:fill="auto"/>
          </w:tcPr>
          <w:p w:rsidR="00072F21" w:rsidRPr="001C608D" w:rsidRDefault="00072F21" w:rsidP="005D764F">
            <w:pPr>
              <w:spacing w:line="380" w:lineRule="exact"/>
              <w:ind w:left="108"/>
              <w:rPr>
                <w:rFonts w:ascii="Arial" w:hAnsi="Arial" w:cs="Arial"/>
                <w:color w:val="000000"/>
                <w:sz w:val="22"/>
                <w:szCs w:val="22"/>
                <w:cs/>
              </w:rPr>
            </w:pPr>
          </w:p>
        </w:tc>
        <w:tc>
          <w:tcPr>
            <w:tcW w:w="1260" w:type="dxa"/>
            <w:shd w:val="clear" w:color="auto" w:fill="auto"/>
            <w:vAlign w:val="center"/>
          </w:tcPr>
          <w:p w:rsidR="00CA3365" w:rsidRDefault="00CA3365" w:rsidP="006C7306">
            <w:pPr>
              <w:spacing w:line="380" w:lineRule="exact"/>
              <w:ind w:left="-108" w:right="-108"/>
              <w:jc w:val="center"/>
              <w:rPr>
                <w:rFonts w:ascii="Arial" w:hAnsi="Arial" w:cs="Arial"/>
                <w:color w:val="000000"/>
                <w:sz w:val="22"/>
                <w:szCs w:val="22"/>
                <w:cs/>
              </w:rPr>
            </w:pPr>
            <w:r>
              <w:rPr>
                <w:rFonts w:ascii="Arial" w:hAnsi="Arial" w:cs="Arial"/>
                <w:color w:val="000000"/>
                <w:sz w:val="22"/>
                <w:szCs w:val="22"/>
                <w:cs/>
              </w:rPr>
              <w:t>Million</w:t>
            </w:r>
          </w:p>
          <w:p w:rsidR="00072F21" w:rsidRPr="001C608D" w:rsidRDefault="00072F21" w:rsidP="006C7306">
            <w:pPr>
              <w:spacing w:line="380" w:lineRule="exact"/>
              <w:ind w:left="-108" w:right="-108"/>
              <w:jc w:val="center"/>
              <w:rPr>
                <w:rFonts w:ascii="Arial" w:hAnsi="Arial" w:cs="Arial"/>
                <w:color w:val="000000"/>
                <w:sz w:val="22"/>
                <w:szCs w:val="22"/>
                <w:cs/>
              </w:rPr>
            </w:pPr>
            <w:r w:rsidRPr="001C608D">
              <w:rPr>
                <w:rFonts w:ascii="Arial" w:hAnsi="Arial" w:cs="Arial"/>
                <w:color w:val="000000"/>
                <w:sz w:val="22"/>
                <w:szCs w:val="22"/>
                <w:cs/>
              </w:rPr>
              <w:t>Baht</w:t>
            </w:r>
          </w:p>
        </w:tc>
        <w:tc>
          <w:tcPr>
            <w:tcW w:w="1260" w:type="dxa"/>
            <w:shd w:val="clear" w:color="auto" w:fill="auto"/>
            <w:vAlign w:val="center"/>
          </w:tcPr>
          <w:p w:rsidR="00CA3365" w:rsidRDefault="00CA3365" w:rsidP="006C7306">
            <w:pPr>
              <w:spacing w:line="380" w:lineRule="exact"/>
              <w:ind w:left="-108" w:right="-108"/>
              <w:jc w:val="center"/>
              <w:rPr>
                <w:rFonts w:ascii="Arial" w:hAnsi="Arial" w:cs="Arial"/>
                <w:color w:val="000000"/>
                <w:sz w:val="22"/>
                <w:szCs w:val="22"/>
                <w:cs/>
              </w:rPr>
            </w:pPr>
            <w:r>
              <w:rPr>
                <w:rFonts w:ascii="Arial" w:hAnsi="Arial" w:cs="Arial"/>
                <w:color w:val="000000"/>
                <w:sz w:val="22"/>
                <w:szCs w:val="22"/>
                <w:cs/>
              </w:rPr>
              <w:t>Million</w:t>
            </w:r>
          </w:p>
          <w:p w:rsidR="00072F21" w:rsidRPr="001C608D" w:rsidRDefault="00072F21" w:rsidP="006C7306">
            <w:pPr>
              <w:spacing w:line="380" w:lineRule="exact"/>
              <w:ind w:left="-108" w:right="-108"/>
              <w:jc w:val="center"/>
              <w:rPr>
                <w:rFonts w:ascii="Arial" w:hAnsi="Arial" w:cs="Arial"/>
                <w:color w:val="000000"/>
                <w:sz w:val="22"/>
                <w:szCs w:val="22"/>
                <w:cs/>
              </w:rPr>
            </w:pPr>
            <w:r w:rsidRPr="001C608D">
              <w:rPr>
                <w:rFonts w:ascii="Arial" w:hAnsi="Arial" w:cs="Arial"/>
                <w:color w:val="000000"/>
                <w:sz w:val="22"/>
                <w:szCs w:val="22"/>
                <w:cs/>
              </w:rPr>
              <w:t>Baht</w:t>
            </w:r>
          </w:p>
        </w:tc>
        <w:tc>
          <w:tcPr>
            <w:tcW w:w="1260" w:type="dxa"/>
            <w:vAlign w:val="center"/>
          </w:tcPr>
          <w:p w:rsidR="00CA3365" w:rsidRDefault="00CA3365" w:rsidP="006C7306">
            <w:pPr>
              <w:spacing w:line="380" w:lineRule="exact"/>
              <w:ind w:left="-108" w:right="-108"/>
              <w:jc w:val="center"/>
              <w:rPr>
                <w:rFonts w:ascii="Arial" w:hAnsi="Arial" w:cs="Arial"/>
                <w:color w:val="000000"/>
                <w:sz w:val="22"/>
                <w:szCs w:val="22"/>
                <w:cs/>
              </w:rPr>
            </w:pPr>
            <w:r>
              <w:rPr>
                <w:rFonts w:ascii="Arial" w:hAnsi="Arial" w:cs="Arial"/>
                <w:color w:val="000000"/>
                <w:sz w:val="22"/>
                <w:szCs w:val="22"/>
                <w:cs/>
              </w:rPr>
              <w:t>Million</w:t>
            </w:r>
          </w:p>
          <w:p w:rsidR="00072F21" w:rsidRPr="001C608D" w:rsidRDefault="00072F21" w:rsidP="006C7306">
            <w:pPr>
              <w:spacing w:line="380" w:lineRule="exact"/>
              <w:ind w:left="-108" w:right="-108"/>
              <w:jc w:val="center"/>
              <w:rPr>
                <w:rFonts w:ascii="Arial" w:hAnsi="Arial" w:cs="Arial"/>
                <w:color w:val="000000"/>
                <w:sz w:val="22"/>
                <w:szCs w:val="22"/>
                <w:cs/>
              </w:rPr>
            </w:pPr>
            <w:r w:rsidRPr="001C608D">
              <w:rPr>
                <w:rFonts w:ascii="Arial" w:hAnsi="Arial" w:cs="Arial"/>
                <w:color w:val="000000"/>
                <w:sz w:val="22"/>
                <w:szCs w:val="22"/>
                <w:cs/>
              </w:rPr>
              <w:t>Baht</w:t>
            </w:r>
          </w:p>
        </w:tc>
      </w:tr>
      <w:tr w:rsidR="00072F21" w:rsidRPr="001C608D" w:rsidTr="007571A2">
        <w:trPr>
          <w:trHeight w:val="459"/>
        </w:trPr>
        <w:tc>
          <w:tcPr>
            <w:tcW w:w="4320" w:type="dxa"/>
            <w:shd w:val="clear" w:color="auto" w:fill="auto"/>
          </w:tcPr>
          <w:p w:rsidR="00072F21" w:rsidRPr="001C608D" w:rsidRDefault="00987B99" w:rsidP="006C7306">
            <w:pPr>
              <w:spacing w:line="380" w:lineRule="exact"/>
              <w:ind w:left="162" w:hanging="162"/>
              <w:rPr>
                <w:rFonts w:ascii="Arial" w:hAnsi="Arial" w:cs="Arial"/>
                <w:color w:val="000000"/>
                <w:sz w:val="22"/>
                <w:szCs w:val="22"/>
                <w:cs/>
              </w:rPr>
            </w:pPr>
            <w:r w:rsidRPr="001C608D">
              <w:rPr>
                <w:rFonts w:ascii="Arial" w:hAnsi="Arial" w:cs="Browallia New"/>
                <w:color w:val="000000"/>
                <w:sz w:val="22"/>
                <w:szCs w:val="28"/>
                <w:u w:val="single"/>
                <w:lang w:val="en-US"/>
              </w:rPr>
              <w:t xml:space="preserve">Consolidated </w:t>
            </w:r>
            <w:r w:rsidR="00072F21" w:rsidRPr="001C608D">
              <w:rPr>
                <w:rFonts w:ascii="Arial" w:hAnsi="Arial" w:cs="Arial"/>
                <w:color w:val="000000"/>
                <w:sz w:val="22"/>
                <w:szCs w:val="22"/>
                <w:u w:val="single"/>
                <w:lang w:val="en-US"/>
              </w:rPr>
              <w:t>Income Statement</w:t>
            </w:r>
            <w:r w:rsidR="00072F21" w:rsidRPr="001C608D">
              <w:rPr>
                <w:rFonts w:ascii="Arial" w:hAnsi="Arial" w:cs="Arial"/>
                <w:color w:val="000000"/>
                <w:sz w:val="22"/>
                <w:szCs w:val="22"/>
                <w:lang w:val="en-US"/>
              </w:rPr>
              <w:t>:</w:t>
            </w:r>
          </w:p>
        </w:tc>
        <w:tc>
          <w:tcPr>
            <w:tcW w:w="1260" w:type="dxa"/>
            <w:shd w:val="clear" w:color="auto" w:fill="auto"/>
            <w:vAlign w:val="center"/>
          </w:tcPr>
          <w:p w:rsidR="00072F21" w:rsidRPr="001C608D" w:rsidRDefault="00072F21" w:rsidP="005D764F">
            <w:pPr>
              <w:spacing w:line="380" w:lineRule="exact"/>
              <w:ind w:right="61"/>
              <w:jc w:val="center"/>
              <w:rPr>
                <w:rFonts w:ascii="Arial" w:hAnsi="Arial" w:cs="Arial"/>
                <w:color w:val="000000"/>
                <w:sz w:val="22"/>
                <w:szCs w:val="22"/>
                <w:lang w:val="en-US"/>
              </w:rPr>
            </w:pPr>
          </w:p>
        </w:tc>
        <w:tc>
          <w:tcPr>
            <w:tcW w:w="1260" w:type="dxa"/>
            <w:shd w:val="clear" w:color="auto" w:fill="auto"/>
            <w:vAlign w:val="center"/>
          </w:tcPr>
          <w:p w:rsidR="00072F21" w:rsidRPr="001C608D" w:rsidRDefault="00072F21" w:rsidP="005D764F">
            <w:pPr>
              <w:spacing w:line="380" w:lineRule="exact"/>
              <w:ind w:right="61"/>
              <w:jc w:val="center"/>
              <w:rPr>
                <w:rFonts w:ascii="Arial" w:hAnsi="Arial" w:cs="Arial"/>
                <w:color w:val="000000"/>
                <w:sz w:val="22"/>
                <w:szCs w:val="22"/>
                <w:lang w:val="en-US"/>
              </w:rPr>
            </w:pPr>
          </w:p>
        </w:tc>
        <w:tc>
          <w:tcPr>
            <w:tcW w:w="1260" w:type="dxa"/>
            <w:vAlign w:val="center"/>
          </w:tcPr>
          <w:p w:rsidR="00072F21" w:rsidRPr="001C608D" w:rsidRDefault="00072F21" w:rsidP="005D764F">
            <w:pPr>
              <w:spacing w:line="380" w:lineRule="exact"/>
              <w:ind w:right="61"/>
              <w:jc w:val="center"/>
              <w:rPr>
                <w:rFonts w:ascii="Arial" w:hAnsi="Arial" w:cs="Arial"/>
                <w:color w:val="000000"/>
                <w:sz w:val="22"/>
                <w:szCs w:val="22"/>
                <w:lang w:val="en-US"/>
              </w:rPr>
            </w:pPr>
          </w:p>
        </w:tc>
      </w:tr>
      <w:tr w:rsidR="00072F21" w:rsidRPr="001C608D" w:rsidTr="007571A2">
        <w:trPr>
          <w:trHeight w:val="444"/>
        </w:trPr>
        <w:tc>
          <w:tcPr>
            <w:tcW w:w="4320" w:type="dxa"/>
            <w:shd w:val="clear" w:color="auto" w:fill="auto"/>
          </w:tcPr>
          <w:p w:rsidR="00072F21" w:rsidRPr="001C608D" w:rsidRDefault="00072F21" w:rsidP="006C7306">
            <w:pPr>
              <w:spacing w:line="380" w:lineRule="exact"/>
              <w:ind w:left="162" w:hanging="162"/>
              <w:rPr>
                <w:rFonts w:ascii="Arial" w:hAnsi="Arial" w:cs="Arial"/>
                <w:color w:val="000000"/>
                <w:sz w:val="22"/>
                <w:szCs w:val="22"/>
                <w:cs/>
              </w:rPr>
            </w:pPr>
            <w:r w:rsidRPr="001C608D">
              <w:rPr>
                <w:rFonts w:ascii="Arial" w:hAnsi="Arial" w:cs="Arial"/>
                <w:color w:val="000000"/>
                <w:sz w:val="22"/>
                <w:szCs w:val="22"/>
                <w:lang w:val="en-US"/>
              </w:rPr>
              <w:t>Profit (loss) as previously reported</w:t>
            </w:r>
          </w:p>
        </w:tc>
        <w:tc>
          <w:tcPr>
            <w:tcW w:w="1260" w:type="dxa"/>
            <w:shd w:val="clear" w:color="auto" w:fill="auto"/>
            <w:vAlign w:val="center"/>
          </w:tcPr>
          <w:p w:rsidR="00072F21" w:rsidRPr="001C608D" w:rsidRDefault="00072F21" w:rsidP="006C7306">
            <w:pPr>
              <w:tabs>
                <w:tab w:val="decimal" w:pos="882"/>
              </w:tabs>
              <w:spacing w:line="380" w:lineRule="exact"/>
              <w:ind w:right="61"/>
              <w:rPr>
                <w:rFonts w:ascii="Arial" w:hAnsi="Arial" w:cs="Arial"/>
                <w:color w:val="000000"/>
                <w:sz w:val="22"/>
                <w:szCs w:val="22"/>
                <w:lang w:val="en-US"/>
              </w:rPr>
            </w:pPr>
            <w:r w:rsidRPr="001C608D">
              <w:rPr>
                <w:rFonts w:ascii="Arial" w:hAnsi="Arial" w:cs="Arial"/>
                <w:color w:val="000000"/>
                <w:sz w:val="22"/>
                <w:szCs w:val="22"/>
                <w:lang w:val="en-US"/>
              </w:rPr>
              <w:t>(1,8</w:t>
            </w:r>
            <w:r w:rsidR="00987B99" w:rsidRPr="001C608D">
              <w:rPr>
                <w:rFonts w:ascii="Arial" w:hAnsi="Arial" w:cs="Arial"/>
                <w:color w:val="000000"/>
                <w:sz w:val="22"/>
                <w:szCs w:val="22"/>
                <w:lang w:val="en-US"/>
              </w:rPr>
              <w:t>23</w:t>
            </w:r>
            <w:r w:rsidRPr="001C608D">
              <w:rPr>
                <w:rFonts w:ascii="Arial" w:hAnsi="Arial" w:cs="Arial"/>
                <w:color w:val="000000"/>
                <w:sz w:val="22"/>
                <w:szCs w:val="22"/>
                <w:lang w:val="en-US"/>
              </w:rPr>
              <w:t>)</w:t>
            </w:r>
          </w:p>
        </w:tc>
        <w:tc>
          <w:tcPr>
            <w:tcW w:w="1260" w:type="dxa"/>
            <w:shd w:val="clear" w:color="auto" w:fill="auto"/>
            <w:vAlign w:val="center"/>
          </w:tcPr>
          <w:p w:rsidR="00072F21" w:rsidRPr="001C608D" w:rsidRDefault="00072F21" w:rsidP="006C7306">
            <w:pPr>
              <w:tabs>
                <w:tab w:val="decimal" w:pos="882"/>
              </w:tabs>
              <w:spacing w:line="380" w:lineRule="exact"/>
              <w:ind w:right="61"/>
              <w:rPr>
                <w:rFonts w:ascii="Arial" w:hAnsi="Arial" w:cs="Arial"/>
                <w:color w:val="000000"/>
                <w:sz w:val="22"/>
                <w:szCs w:val="22"/>
                <w:lang w:val="en-US"/>
              </w:rPr>
            </w:pPr>
            <w:r w:rsidRPr="001C608D">
              <w:rPr>
                <w:rFonts w:ascii="Arial" w:hAnsi="Arial" w:cs="Arial"/>
                <w:color w:val="000000"/>
                <w:sz w:val="22"/>
                <w:szCs w:val="22"/>
                <w:lang w:val="en-US"/>
              </w:rPr>
              <w:t>1,063</w:t>
            </w:r>
          </w:p>
        </w:tc>
        <w:tc>
          <w:tcPr>
            <w:tcW w:w="1260" w:type="dxa"/>
            <w:vAlign w:val="center"/>
          </w:tcPr>
          <w:p w:rsidR="00072F21" w:rsidRPr="001C608D" w:rsidRDefault="00072F21" w:rsidP="006C7306">
            <w:pPr>
              <w:tabs>
                <w:tab w:val="decimal" w:pos="882"/>
              </w:tabs>
              <w:spacing w:line="380" w:lineRule="exact"/>
              <w:ind w:right="61"/>
              <w:rPr>
                <w:rFonts w:ascii="Arial" w:hAnsi="Arial" w:cs="Arial"/>
                <w:color w:val="000000"/>
                <w:sz w:val="22"/>
                <w:szCs w:val="22"/>
                <w:lang w:val="en-US"/>
              </w:rPr>
            </w:pPr>
            <w:r w:rsidRPr="001C608D">
              <w:rPr>
                <w:rFonts w:ascii="Arial" w:hAnsi="Arial" w:cs="Arial"/>
                <w:color w:val="000000"/>
                <w:sz w:val="22"/>
                <w:szCs w:val="22"/>
                <w:lang w:val="en-US"/>
              </w:rPr>
              <w:t>583</w:t>
            </w:r>
          </w:p>
        </w:tc>
      </w:tr>
      <w:tr w:rsidR="00072F21" w:rsidRPr="001C608D" w:rsidTr="007571A2">
        <w:trPr>
          <w:trHeight w:val="444"/>
        </w:trPr>
        <w:tc>
          <w:tcPr>
            <w:tcW w:w="4320" w:type="dxa"/>
            <w:shd w:val="clear" w:color="auto" w:fill="auto"/>
          </w:tcPr>
          <w:p w:rsidR="00072F21" w:rsidRPr="001C608D" w:rsidRDefault="00072F21" w:rsidP="006C7306">
            <w:pPr>
              <w:spacing w:line="380" w:lineRule="exact"/>
              <w:ind w:left="162" w:right="-288" w:hanging="162"/>
              <w:rPr>
                <w:rFonts w:ascii="Arial" w:hAnsi="Arial" w:cs="Arial"/>
                <w:color w:val="000000"/>
                <w:sz w:val="22"/>
                <w:szCs w:val="22"/>
                <w:lang w:val="en-US"/>
              </w:rPr>
            </w:pPr>
            <w:r w:rsidRPr="001C608D">
              <w:rPr>
                <w:rFonts w:ascii="Arial" w:hAnsi="Arial" w:cs="Arial"/>
                <w:color w:val="000000"/>
                <w:sz w:val="22"/>
                <w:szCs w:val="22"/>
                <w:lang w:val="en-US"/>
              </w:rPr>
              <w:t>Int</w:t>
            </w:r>
            <w:r w:rsidR="006C7306" w:rsidRPr="001C608D">
              <w:rPr>
                <w:rFonts w:ascii="Arial" w:hAnsi="Arial" w:cs="Arial"/>
                <w:color w:val="000000"/>
                <w:sz w:val="22"/>
                <w:szCs w:val="22"/>
                <w:lang w:val="en-US"/>
              </w:rPr>
              <w:t>erest income not recognised as</w:t>
            </w:r>
            <w:r w:rsidR="006C7306" w:rsidRPr="001C608D">
              <w:rPr>
                <w:rFonts w:ascii="Arial" w:hAnsi="Arial" w:cstheme="minorBidi" w:hint="cs"/>
                <w:color w:val="000000"/>
                <w:sz w:val="22"/>
                <w:szCs w:val="22"/>
                <w:cs/>
                <w:lang w:val="en-US"/>
              </w:rPr>
              <w:t xml:space="preserve"> </w:t>
            </w:r>
            <w:r w:rsidRPr="001C608D">
              <w:rPr>
                <w:rFonts w:ascii="Arial" w:hAnsi="Arial" w:cs="Arial"/>
                <w:color w:val="000000"/>
                <w:sz w:val="22"/>
                <w:szCs w:val="22"/>
                <w:lang w:val="en-US"/>
              </w:rPr>
              <w:t>revenue</w:t>
            </w:r>
          </w:p>
        </w:tc>
        <w:tc>
          <w:tcPr>
            <w:tcW w:w="1260" w:type="dxa"/>
            <w:shd w:val="clear" w:color="auto" w:fill="auto"/>
            <w:vAlign w:val="center"/>
          </w:tcPr>
          <w:p w:rsidR="00072F21" w:rsidRPr="001C608D" w:rsidRDefault="00072F21" w:rsidP="006C7306">
            <w:pPr>
              <w:tabs>
                <w:tab w:val="decimal" w:pos="882"/>
              </w:tabs>
              <w:spacing w:line="380" w:lineRule="exact"/>
              <w:ind w:right="61"/>
              <w:rPr>
                <w:rFonts w:ascii="Arial" w:hAnsi="Arial" w:cs="Arial"/>
                <w:color w:val="000000"/>
                <w:sz w:val="22"/>
                <w:szCs w:val="22"/>
                <w:lang w:val="en-US"/>
              </w:rPr>
            </w:pPr>
            <w:r w:rsidRPr="001C608D">
              <w:rPr>
                <w:rFonts w:ascii="Arial" w:hAnsi="Arial" w:cs="Arial"/>
                <w:color w:val="000000"/>
                <w:sz w:val="22"/>
                <w:szCs w:val="22"/>
                <w:lang w:val="en-US"/>
              </w:rPr>
              <w:t>(</w:t>
            </w:r>
            <w:r w:rsidR="000330F9" w:rsidRPr="001C608D">
              <w:rPr>
                <w:rFonts w:ascii="Arial" w:hAnsi="Arial" w:cs="Arial"/>
                <w:color w:val="000000"/>
                <w:sz w:val="22"/>
                <w:szCs w:val="22"/>
                <w:lang w:val="en-US"/>
              </w:rPr>
              <w:t>177</w:t>
            </w:r>
            <w:r w:rsidRPr="001C608D">
              <w:rPr>
                <w:rFonts w:ascii="Arial" w:hAnsi="Arial" w:cs="Arial"/>
                <w:color w:val="000000"/>
                <w:sz w:val="22"/>
                <w:szCs w:val="22"/>
                <w:lang w:val="en-US"/>
              </w:rPr>
              <w:t>)</w:t>
            </w:r>
          </w:p>
        </w:tc>
        <w:tc>
          <w:tcPr>
            <w:tcW w:w="1260" w:type="dxa"/>
            <w:shd w:val="clear" w:color="auto" w:fill="auto"/>
            <w:vAlign w:val="center"/>
          </w:tcPr>
          <w:p w:rsidR="00072F21" w:rsidRPr="001C608D" w:rsidRDefault="00072F21" w:rsidP="006C7306">
            <w:pPr>
              <w:tabs>
                <w:tab w:val="decimal" w:pos="882"/>
              </w:tabs>
              <w:spacing w:line="380" w:lineRule="exact"/>
              <w:ind w:right="61"/>
              <w:rPr>
                <w:rFonts w:ascii="Arial" w:hAnsi="Arial" w:cs="Arial"/>
                <w:color w:val="000000"/>
                <w:sz w:val="22"/>
                <w:szCs w:val="22"/>
                <w:lang w:val="en-US"/>
              </w:rPr>
            </w:pPr>
            <w:r w:rsidRPr="001C608D">
              <w:rPr>
                <w:rFonts w:ascii="Arial" w:hAnsi="Arial" w:cs="Arial"/>
                <w:color w:val="000000"/>
                <w:sz w:val="22"/>
                <w:szCs w:val="22"/>
                <w:lang w:val="en-US"/>
              </w:rPr>
              <w:t>(23</w:t>
            </w:r>
            <w:r w:rsidR="009F30EC" w:rsidRPr="001C608D">
              <w:rPr>
                <w:rFonts w:ascii="Arial" w:hAnsi="Arial" w:cs="Arial"/>
                <w:color w:val="000000"/>
                <w:sz w:val="22"/>
                <w:szCs w:val="22"/>
                <w:lang w:val="en-US"/>
              </w:rPr>
              <w:t>4</w:t>
            </w:r>
            <w:r w:rsidRPr="001C608D">
              <w:rPr>
                <w:rFonts w:ascii="Arial" w:hAnsi="Arial" w:cs="Arial"/>
                <w:color w:val="000000"/>
                <w:sz w:val="22"/>
                <w:szCs w:val="22"/>
                <w:lang w:val="en-US"/>
              </w:rPr>
              <w:t>)</w:t>
            </w:r>
          </w:p>
        </w:tc>
        <w:tc>
          <w:tcPr>
            <w:tcW w:w="1260" w:type="dxa"/>
            <w:vAlign w:val="center"/>
          </w:tcPr>
          <w:p w:rsidR="00072F21" w:rsidRPr="001C608D" w:rsidRDefault="00072F21" w:rsidP="006C7306">
            <w:pPr>
              <w:tabs>
                <w:tab w:val="decimal" w:pos="882"/>
              </w:tabs>
              <w:spacing w:line="380" w:lineRule="exact"/>
              <w:ind w:right="61"/>
              <w:rPr>
                <w:rFonts w:ascii="Arial" w:hAnsi="Arial" w:cs="Arial"/>
                <w:color w:val="000000"/>
                <w:sz w:val="22"/>
                <w:szCs w:val="22"/>
                <w:lang w:val="en-US"/>
              </w:rPr>
            </w:pPr>
            <w:r w:rsidRPr="001C608D">
              <w:rPr>
                <w:rFonts w:ascii="Arial" w:hAnsi="Arial" w:cs="Arial"/>
                <w:color w:val="000000"/>
                <w:sz w:val="22"/>
                <w:szCs w:val="22"/>
                <w:lang w:val="en-US"/>
              </w:rPr>
              <w:t>-</w:t>
            </w:r>
          </w:p>
        </w:tc>
      </w:tr>
      <w:tr w:rsidR="00072F21" w:rsidRPr="001C608D" w:rsidTr="007571A2">
        <w:trPr>
          <w:trHeight w:val="558"/>
        </w:trPr>
        <w:tc>
          <w:tcPr>
            <w:tcW w:w="4320" w:type="dxa"/>
            <w:shd w:val="clear" w:color="auto" w:fill="auto"/>
          </w:tcPr>
          <w:p w:rsidR="00072F21" w:rsidRPr="001C608D" w:rsidRDefault="00072F21" w:rsidP="001B2D1E">
            <w:pPr>
              <w:spacing w:line="380" w:lineRule="exact"/>
              <w:ind w:left="162" w:hanging="162"/>
              <w:rPr>
                <w:rFonts w:ascii="Arial" w:hAnsi="Arial" w:cs="Arial"/>
                <w:color w:val="000000"/>
                <w:sz w:val="22"/>
                <w:szCs w:val="22"/>
                <w:cs/>
                <w:lang w:val="en-US"/>
              </w:rPr>
            </w:pPr>
            <w:r w:rsidRPr="001C608D">
              <w:rPr>
                <w:rFonts w:ascii="Arial" w:hAnsi="Arial" w:cs="Arial"/>
                <w:color w:val="000000"/>
                <w:sz w:val="22"/>
                <w:szCs w:val="22"/>
                <w:lang w:val="en-US"/>
              </w:rPr>
              <w:t>Reversal of</w:t>
            </w:r>
            <w:r w:rsidR="00987B99" w:rsidRPr="001C608D">
              <w:rPr>
                <w:rFonts w:ascii="Arial" w:hAnsi="Arial" w:cs="Arial"/>
                <w:color w:val="000000"/>
                <w:sz w:val="22"/>
                <w:szCs w:val="22"/>
                <w:lang w:val="en-US"/>
              </w:rPr>
              <w:t xml:space="preserve"> a part of</w:t>
            </w:r>
            <w:r w:rsidR="001B2D1E" w:rsidRPr="001C608D">
              <w:rPr>
                <w:rFonts w:ascii="Arial" w:hAnsi="Arial" w:cs="Arial"/>
                <w:color w:val="000000"/>
                <w:sz w:val="22"/>
                <w:szCs w:val="22"/>
                <w:lang w:val="en-US"/>
              </w:rPr>
              <w:t xml:space="preserve"> provision for loss as </w:t>
            </w:r>
            <w:r w:rsidR="00DD20A7" w:rsidRPr="001C608D">
              <w:rPr>
                <w:rFonts w:ascii="Arial" w:hAnsi="Arial" w:cs="Arial"/>
                <w:color w:val="000000"/>
                <w:sz w:val="22"/>
                <w:szCs w:val="22"/>
                <w:lang w:val="en-US"/>
              </w:rPr>
              <w:t xml:space="preserve">recorded </w:t>
            </w:r>
            <w:r w:rsidRPr="001C608D">
              <w:rPr>
                <w:rFonts w:ascii="Arial" w:hAnsi="Arial" w:cs="Arial"/>
                <w:color w:val="000000"/>
                <w:sz w:val="22"/>
                <w:szCs w:val="22"/>
                <w:lang w:val="en-US"/>
              </w:rPr>
              <w:t>in the year 2017 (because the ou</w:t>
            </w:r>
            <w:r w:rsidR="001B2D1E" w:rsidRPr="001C608D">
              <w:rPr>
                <w:rFonts w:ascii="Arial" w:hAnsi="Arial" w:cs="Arial"/>
                <w:color w:val="000000"/>
                <w:sz w:val="22"/>
                <w:szCs w:val="22"/>
                <w:lang w:val="en-US"/>
              </w:rPr>
              <w:t xml:space="preserve">tstanding balance of loans was </w:t>
            </w:r>
            <w:r w:rsidRPr="001C608D">
              <w:rPr>
                <w:rFonts w:ascii="Arial" w:hAnsi="Arial" w:cs="Arial"/>
                <w:color w:val="000000"/>
                <w:sz w:val="22"/>
                <w:szCs w:val="22"/>
                <w:lang w:val="en-US"/>
              </w:rPr>
              <w:t>r</w:t>
            </w:r>
            <w:r w:rsidR="001B2D1E" w:rsidRPr="001C608D">
              <w:rPr>
                <w:rFonts w:ascii="Arial" w:hAnsi="Arial" w:cs="Arial"/>
                <w:color w:val="000000"/>
                <w:sz w:val="22"/>
                <w:szCs w:val="22"/>
                <w:lang w:val="en-US"/>
              </w:rPr>
              <w:t xml:space="preserve">educed as a result of deducting </w:t>
            </w:r>
            <w:r w:rsidR="007571A2" w:rsidRPr="001C608D">
              <w:rPr>
                <w:rFonts w:ascii="Arial" w:hAnsi="Arial" w:cs="Arial"/>
                <w:color w:val="000000"/>
                <w:sz w:val="22"/>
                <w:szCs w:val="22"/>
                <w:lang w:val="en-US"/>
              </w:rPr>
              <w:t xml:space="preserve"> </w:t>
            </w:r>
            <w:r w:rsidRPr="001C608D">
              <w:rPr>
                <w:rFonts w:ascii="Arial" w:hAnsi="Arial" w:cs="Arial"/>
                <w:color w:val="000000"/>
                <w:sz w:val="22"/>
                <w:szCs w:val="22"/>
                <w:cs/>
              </w:rPr>
              <w:t>interest received)</w:t>
            </w:r>
          </w:p>
        </w:tc>
        <w:tc>
          <w:tcPr>
            <w:tcW w:w="1260" w:type="dxa"/>
            <w:shd w:val="clear" w:color="auto" w:fill="auto"/>
            <w:vAlign w:val="center"/>
          </w:tcPr>
          <w:p w:rsidR="00072F21" w:rsidRPr="001C608D" w:rsidRDefault="00072F21" w:rsidP="006C7306">
            <w:pPr>
              <w:pBdr>
                <w:bottom w:val="single" w:sz="4" w:space="1" w:color="auto"/>
              </w:pBdr>
              <w:tabs>
                <w:tab w:val="decimal" w:pos="882"/>
              </w:tabs>
              <w:spacing w:line="380" w:lineRule="exact"/>
              <w:ind w:right="61"/>
              <w:rPr>
                <w:rFonts w:ascii="Arial" w:hAnsi="Arial" w:cs="Arial"/>
                <w:color w:val="000000"/>
                <w:sz w:val="22"/>
                <w:szCs w:val="22"/>
                <w:cs/>
              </w:rPr>
            </w:pPr>
          </w:p>
          <w:p w:rsidR="00072F21" w:rsidRPr="001C608D" w:rsidRDefault="00072F21" w:rsidP="006C7306">
            <w:pPr>
              <w:pBdr>
                <w:bottom w:val="single" w:sz="4" w:space="1" w:color="auto"/>
              </w:pBdr>
              <w:tabs>
                <w:tab w:val="decimal" w:pos="882"/>
              </w:tabs>
              <w:spacing w:line="380" w:lineRule="exact"/>
              <w:ind w:right="61"/>
              <w:rPr>
                <w:rFonts w:ascii="Arial" w:hAnsi="Arial" w:cs="Arial"/>
                <w:color w:val="000000"/>
                <w:sz w:val="22"/>
                <w:szCs w:val="22"/>
                <w:cs/>
              </w:rPr>
            </w:pPr>
          </w:p>
          <w:p w:rsidR="00072F21" w:rsidRPr="001C608D" w:rsidRDefault="00072F21" w:rsidP="006C7306">
            <w:pPr>
              <w:pBdr>
                <w:bottom w:val="single" w:sz="4" w:space="1" w:color="auto"/>
              </w:pBdr>
              <w:tabs>
                <w:tab w:val="decimal" w:pos="882"/>
              </w:tabs>
              <w:spacing w:line="380" w:lineRule="exact"/>
              <w:ind w:right="61"/>
              <w:rPr>
                <w:rFonts w:ascii="Arial" w:hAnsi="Arial" w:cs="Arial"/>
                <w:color w:val="000000"/>
                <w:sz w:val="22"/>
                <w:szCs w:val="22"/>
                <w:cs/>
              </w:rPr>
            </w:pPr>
          </w:p>
          <w:p w:rsidR="00072F21" w:rsidRPr="001C608D" w:rsidRDefault="00072F21" w:rsidP="006C7306">
            <w:pPr>
              <w:pBdr>
                <w:bottom w:val="single" w:sz="4" w:space="1" w:color="auto"/>
              </w:pBdr>
              <w:tabs>
                <w:tab w:val="decimal" w:pos="882"/>
              </w:tabs>
              <w:spacing w:line="380" w:lineRule="exact"/>
              <w:ind w:right="61"/>
              <w:rPr>
                <w:rFonts w:ascii="Arial" w:hAnsi="Arial" w:cs="Arial"/>
                <w:color w:val="000000"/>
                <w:sz w:val="22"/>
                <w:szCs w:val="22"/>
                <w:cs/>
              </w:rPr>
            </w:pPr>
          </w:p>
          <w:p w:rsidR="00072F21" w:rsidRPr="001C608D" w:rsidRDefault="000330F9" w:rsidP="006C7306">
            <w:pPr>
              <w:pBdr>
                <w:bottom w:val="single" w:sz="4" w:space="1" w:color="auto"/>
              </w:pBdr>
              <w:tabs>
                <w:tab w:val="decimal" w:pos="882"/>
              </w:tabs>
              <w:spacing w:line="380" w:lineRule="exact"/>
              <w:ind w:right="61"/>
              <w:rPr>
                <w:rFonts w:ascii="Arial" w:hAnsi="Arial" w:cs="Arial"/>
                <w:color w:val="000000"/>
                <w:sz w:val="22"/>
                <w:szCs w:val="22"/>
                <w:cs/>
              </w:rPr>
            </w:pPr>
            <w:r w:rsidRPr="001C608D">
              <w:rPr>
                <w:rFonts w:ascii="Arial" w:hAnsi="Arial" w:cs="Arial"/>
                <w:color w:val="000000"/>
                <w:sz w:val="22"/>
                <w:szCs w:val="22"/>
                <w:cs/>
              </w:rPr>
              <w:t>393</w:t>
            </w:r>
          </w:p>
        </w:tc>
        <w:tc>
          <w:tcPr>
            <w:tcW w:w="1260" w:type="dxa"/>
            <w:shd w:val="clear" w:color="auto" w:fill="auto"/>
            <w:vAlign w:val="center"/>
          </w:tcPr>
          <w:p w:rsidR="00072F21" w:rsidRPr="001C608D" w:rsidRDefault="00072F21" w:rsidP="006C7306">
            <w:pPr>
              <w:pBdr>
                <w:bottom w:val="single" w:sz="4" w:space="1" w:color="auto"/>
              </w:pBdr>
              <w:tabs>
                <w:tab w:val="decimal" w:pos="882"/>
              </w:tabs>
              <w:spacing w:line="380" w:lineRule="exact"/>
              <w:ind w:right="61"/>
              <w:rPr>
                <w:rFonts w:ascii="Arial" w:hAnsi="Arial" w:cs="Arial"/>
                <w:color w:val="000000"/>
                <w:sz w:val="22"/>
                <w:szCs w:val="22"/>
                <w:cs/>
              </w:rPr>
            </w:pPr>
          </w:p>
          <w:p w:rsidR="00072F21" w:rsidRPr="001C608D" w:rsidRDefault="00072F21" w:rsidP="006C7306">
            <w:pPr>
              <w:pBdr>
                <w:bottom w:val="single" w:sz="4" w:space="1" w:color="auto"/>
              </w:pBdr>
              <w:tabs>
                <w:tab w:val="decimal" w:pos="882"/>
              </w:tabs>
              <w:spacing w:line="380" w:lineRule="exact"/>
              <w:ind w:right="61"/>
              <w:rPr>
                <w:rFonts w:ascii="Arial" w:hAnsi="Arial" w:cs="Arial"/>
                <w:color w:val="000000"/>
                <w:sz w:val="22"/>
                <w:szCs w:val="22"/>
                <w:cs/>
              </w:rPr>
            </w:pPr>
          </w:p>
          <w:p w:rsidR="00072F21" w:rsidRPr="001C608D" w:rsidRDefault="00072F21" w:rsidP="006C7306">
            <w:pPr>
              <w:pBdr>
                <w:bottom w:val="single" w:sz="4" w:space="1" w:color="auto"/>
              </w:pBdr>
              <w:tabs>
                <w:tab w:val="decimal" w:pos="882"/>
              </w:tabs>
              <w:spacing w:line="380" w:lineRule="exact"/>
              <w:ind w:right="61"/>
              <w:rPr>
                <w:rFonts w:ascii="Arial" w:hAnsi="Arial" w:cs="Arial"/>
                <w:color w:val="000000"/>
                <w:sz w:val="22"/>
                <w:szCs w:val="22"/>
                <w:cs/>
              </w:rPr>
            </w:pPr>
          </w:p>
          <w:p w:rsidR="00072F21" w:rsidRPr="001C608D" w:rsidRDefault="00072F21" w:rsidP="006C7306">
            <w:pPr>
              <w:pBdr>
                <w:bottom w:val="single" w:sz="4" w:space="1" w:color="auto"/>
              </w:pBdr>
              <w:tabs>
                <w:tab w:val="decimal" w:pos="882"/>
              </w:tabs>
              <w:spacing w:line="380" w:lineRule="exact"/>
              <w:ind w:right="61"/>
              <w:rPr>
                <w:rFonts w:ascii="Arial" w:hAnsi="Arial" w:cs="Arial"/>
                <w:color w:val="000000"/>
                <w:sz w:val="22"/>
                <w:szCs w:val="22"/>
                <w:cs/>
              </w:rPr>
            </w:pPr>
          </w:p>
          <w:p w:rsidR="00072F21" w:rsidRPr="001C608D" w:rsidRDefault="000330F9" w:rsidP="006C7306">
            <w:pPr>
              <w:pBdr>
                <w:bottom w:val="single" w:sz="4" w:space="1" w:color="auto"/>
              </w:pBdr>
              <w:tabs>
                <w:tab w:val="decimal" w:pos="882"/>
              </w:tabs>
              <w:spacing w:line="380" w:lineRule="exact"/>
              <w:ind w:right="61"/>
              <w:rPr>
                <w:rFonts w:ascii="Arial" w:hAnsi="Arial" w:cs="Arial"/>
                <w:color w:val="000000"/>
                <w:sz w:val="22"/>
                <w:szCs w:val="22"/>
                <w:cs/>
              </w:rPr>
            </w:pPr>
            <w:r w:rsidRPr="001C608D">
              <w:rPr>
                <w:rFonts w:ascii="Arial" w:hAnsi="Arial" w:cs="Arial"/>
                <w:color w:val="000000"/>
                <w:sz w:val="22"/>
                <w:szCs w:val="22"/>
                <w:cs/>
              </w:rPr>
              <w:t>-</w:t>
            </w:r>
          </w:p>
        </w:tc>
        <w:tc>
          <w:tcPr>
            <w:tcW w:w="1260" w:type="dxa"/>
            <w:vAlign w:val="center"/>
          </w:tcPr>
          <w:p w:rsidR="00072F21" w:rsidRPr="001C608D" w:rsidRDefault="00072F21" w:rsidP="006C7306">
            <w:pPr>
              <w:pBdr>
                <w:bottom w:val="single" w:sz="4" w:space="1" w:color="auto"/>
              </w:pBdr>
              <w:tabs>
                <w:tab w:val="decimal" w:pos="882"/>
              </w:tabs>
              <w:spacing w:line="380" w:lineRule="exact"/>
              <w:ind w:right="61"/>
              <w:rPr>
                <w:rFonts w:ascii="Arial" w:hAnsi="Arial" w:cs="Arial"/>
                <w:color w:val="000000"/>
                <w:sz w:val="22"/>
                <w:szCs w:val="22"/>
                <w:cs/>
              </w:rPr>
            </w:pPr>
          </w:p>
          <w:p w:rsidR="00072F21" w:rsidRPr="001C608D" w:rsidRDefault="00072F21" w:rsidP="006C7306">
            <w:pPr>
              <w:pBdr>
                <w:bottom w:val="single" w:sz="4" w:space="1" w:color="auto"/>
              </w:pBdr>
              <w:tabs>
                <w:tab w:val="decimal" w:pos="882"/>
              </w:tabs>
              <w:spacing w:line="380" w:lineRule="exact"/>
              <w:ind w:right="61"/>
              <w:rPr>
                <w:rFonts w:ascii="Arial" w:hAnsi="Arial" w:cs="Arial"/>
                <w:color w:val="000000"/>
                <w:sz w:val="22"/>
                <w:szCs w:val="22"/>
                <w:cs/>
              </w:rPr>
            </w:pPr>
          </w:p>
          <w:p w:rsidR="00072F21" w:rsidRPr="001C608D" w:rsidRDefault="00072F21" w:rsidP="006C7306">
            <w:pPr>
              <w:pBdr>
                <w:bottom w:val="single" w:sz="4" w:space="1" w:color="auto"/>
              </w:pBdr>
              <w:tabs>
                <w:tab w:val="decimal" w:pos="882"/>
              </w:tabs>
              <w:spacing w:line="380" w:lineRule="exact"/>
              <w:ind w:right="61"/>
              <w:rPr>
                <w:rFonts w:ascii="Arial" w:hAnsi="Arial" w:cs="Arial"/>
                <w:color w:val="000000"/>
                <w:sz w:val="22"/>
                <w:szCs w:val="22"/>
                <w:cs/>
              </w:rPr>
            </w:pPr>
          </w:p>
          <w:p w:rsidR="00072F21" w:rsidRPr="001C608D" w:rsidRDefault="00072F21" w:rsidP="006C7306">
            <w:pPr>
              <w:pBdr>
                <w:bottom w:val="single" w:sz="4" w:space="1" w:color="auto"/>
              </w:pBdr>
              <w:tabs>
                <w:tab w:val="decimal" w:pos="882"/>
              </w:tabs>
              <w:spacing w:line="380" w:lineRule="exact"/>
              <w:ind w:right="61"/>
              <w:rPr>
                <w:rFonts w:ascii="Arial" w:hAnsi="Arial" w:cs="Arial"/>
                <w:color w:val="000000"/>
                <w:sz w:val="22"/>
                <w:szCs w:val="22"/>
                <w:cs/>
              </w:rPr>
            </w:pPr>
          </w:p>
          <w:p w:rsidR="00072F21" w:rsidRPr="001C608D" w:rsidRDefault="000330F9" w:rsidP="006C7306">
            <w:pPr>
              <w:pBdr>
                <w:bottom w:val="single" w:sz="4" w:space="1" w:color="auto"/>
              </w:pBdr>
              <w:tabs>
                <w:tab w:val="decimal" w:pos="882"/>
              </w:tabs>
              <w:spacing w:line="380" w:lineRule="exact"/>
              <w:ind w:right="61"/>
              <w:rPr>
                <w:rFonts w:ascii="Arial" w:hAnsi="Arial" w:cs="Arial"/>
                <w:color w:val="000000"/>
                <w:sz w:val="22"/>
                <w:szCs w:val="22"/>
                <w:cs/>
              </w:rPr>
            </w:pPr>
            <w:r w:rsidRPr="001C608D">
              <w:rPr>
                <w:rFonts w:ascii="Arial" w:hAnsi="Arial" w:cs="Arial"/>
                <w:color w:val="000000"/>
                <w:sz w:val="22"/>
                <w:szCs w:val="22"/>
                <w:cs/>
              </w:rPr>
              <w:t>-</w:t>
            </w:r>
          </w:p>
        </w:tc>
      </w:tr>
      <w:tr w:rsidR="00072F21" w:rsidRPr="001C608D" w:rsidTr="007571A2">
        <w:trPr>
          <w:trHeight w:val="444"/>
        </w:trPr>
        <w:tc>
          <w:tcPr>
            <w:tcW w:w="4320" w:type="dxa"/>
            <w:shd w:val="clear" w:color="auto" w:fill="auto"/>
          </w:tcPr>
          <w:p w:rsidR="00072F21" w:rsidRPr="001C608D" w:rsidRDefault="00072F21" w:rsidP="00367BCC">
            <w:pPr>
              <w:spacing w:line="380" w:lineRule="exact"/>
              <w:ind w:left="162" w:hanging="162"/>
              <w:rPr>
                <w:rFonts w:ascii="Arial" w:hAnsi="Arial" w:cs="Browallia New"/>
                <w:color w:val="000000"/>
                <w:sz w:val="22"/>
                <w:szCs w:val="28"/>
                <w:lang w:val="en-US"/>
              </w:rPr>
            </w:pPr>
            <w:r w:rsidRPr="001C608D">
              <w:rPr>
                <w:rFonts w:ascii="Arial" w:hAnsi="Arial" w:cs="Arial"/>
                <w:color w:val="000000"/>
                <w:sz w:val="22"/>
                <w:szCs w:val="22"/>
                <w:cs/>
              </w:rPr>
              <w:t xml:space="preserve">Profit (loss) </w:t>
            </w:r>
            <w:r w:rsidR="00367BCC" w:rsidRPr="001C608D">
              <w:rPr>
                <w:rFonts w:ascii="Arial" w:hAnsi="Arial" w:cs="Arial"/>
                <w:color w:val="000000"/>
                <w:sz w:val="22"/>
                <w:szCs w:val="22"/>
                <w:cs/>
              </w:rPr>
              <w:t xml:space="preserve">as </w:t>
            </w:r>
            <w:r w:rsidR="00367BCC" w:rsidRPr="001C608D">
              <w:rPr>
                <w:rFonts w:ascii="Arial" w:hAnsi="Arial" w:cs="Arial"/>
                <w:color w:val="000000"/>
                <w:sz w:val="22"/>
                <w:szCs w:val="22"/>
                <w:lang w:val="en-US"/>
              </w:rPr>
              <w:t>restated</w:t>
            </w:r>
          </w:p>
        </w:tc>
        <w:tc>
          <w:tcPr>
            <w:tcW w:w="1260" w:type="dxa"/>
            <w:shd w:val="clear" w:color="auto" w:fill="auto"/>
            <w:vAlign w:val="center"/>
          </w:tcPr>
          <w:p w:rsidR="00072F21" w:rsidRPr="001C608D" w:rsidRDefault="00072F21" w:rsidP="006C7306">
            <w:pPr>
              <w:pBdr>
                <w:bottom w:val="double" w:sz="4" w:space="1" w:color="auto"/>
              </w:pBdr>
              <w:tabs>
                <w:tab w:val="decimal" w:pos="882"/>
              </w:tabs>
              <w:spacing w:line="380" w:lineRule="exact"/>
              <w:ind w:right="61"/>
              <w:rPr>
                <w:rFonts w:ascii="Arial" w:hAnsi="Arial" w:cs="Arial"/>
                <w:color w:val="000000"/>
                <w:sz w:val="22"/>
                <w:szCs w:val="22"/>
                <w:cs/>
              </w:rPr>
            </w:pPr>
            <w:r w:rsidRPr="001C608D">
              <w:rPr>
                <w:rFonts w:ascii="Arial" w:hAnsi="Arial" w:cs="Arial"/>
                <w:color w:val="000000"/>
                <w:sz w:val="22"/>
                <w:szCs w:val="22"/>
                <w:cs/>
              </w:rPr>
              <w:t>(</w:t>
            </w:r>
            <w:r w:rsidR="000330F9" w:rsidRPr="001C608D">
              <w:rPr>
                <w:rFonts w:ascii="Arial" w:hAnsi="Arial" w:cstheme="minorBidi"/>
                <w:color w:val="000000"/>
                <w:sz w:val="22"/>
                <w:szCs w:val="22"/>
                <w:lang w:val="en-US"/>
              </w:rPr>
              <w:t>1,607</w:t>
            </w:r>
            <w:r w:rsidRPr="001C608D">
              <w:rPr>
                <w:rFonts w:ascii="Arial" w:hAnsi="Arial" w:cs="Arial"/>
                <w:color w:val="000000"/>
                <w:sz w:val="22"/>
                <w:szCs w:val="22"/>
                <w:cs/>
              </w:rPr>
              <w:t>)</w:t>
            </w:r>
          </w:p>
        </w:tc>
        <w:tc>
          <w:tcPr>
            <w:tcW w:w="1260" w:type="dxa"/>
            <w:shd w:val="clear" w:color="auto" w:fill="auto"/>
            <w:vAlign w:val="center"/>
          </w:tcPr>
          <w:p w:rsidR="00072F21" w:rsidRPr="001C608D" w:rsidRDefault="00072F21" w:rsidP="006C7306">
            <w:pPr>
              <w:pBdr>
                <w:bottom w:val="double" w:sz="4" w:space="1" w:color="auto"/>
              </w:pBdr>
              <w:tabs>
                <w:tab w:val="decimal" w:pos="882"/>
              </w:tabs>
              <w:spacing w:line="380" w:lineRule="exact"/>
              <w:ind w:right="61"/>
              <w:rPr>
                <w:rFonts w:ascii="Arial" w:hAnsi="Arial" w:cs="Arial"/>
                <w:color w:val="000000"/>
                <w:sz w:val="22"/>
                <w:szCs w:val="22"/>
                <w:cs/>
              </w:rPr>
            </w:pPr>
            <w:r w:rsidRPr="001C608D">
              <w:rPr>
                <w:rFonts w:ascii="Arial" w:hAnsi="Arial" w:cs="Arial"/>
                <w:color w:val="000000"/>
                <w:sz w:val="22"/>
                <w:szCs w:val="22"/>
                <w:cs/>
              </w:rPr>
              <w:t>8</w:t>
            </w:r>
            <w:r w:rsidR="009F30EC" w:rsidRPr="001C608D">
              <w:rPr>
                <w:rFonts w:ascii="Arial" w:hAnsi="Arial" w:cs="Arial"/>
                <w:color w:val="000000"/>
                <w:sz w:val="22"/>
                <w:szCs w:val="22"/>
                <w:cs/>
              </w:rPr>
              <w:t>29</w:t>
            </w:r>
          </w:p>
        </w:tc>
        <w:tc>
          <w:tcPr>
            <w:tcW w:w="1260" w:type="dxa"/>
            <w:vAlign w:val="center"/>
          </w:tcPr>
          <w:p w:rsidR="00072F21" w:rsidRPr="001C608D" w:rsidRDefault="00072F21" w:rsidP="006C7306">
            <w:pPr>
              <w:pBdr>
                <w:bottom w:val="double" w:sz="4" w:space="1" w:color="auto"/>
              </w:pBdr>
              <w:tabs>
                <w:tab w:val="decimal" w:pos="882"/>
              </w:tabs>
              <w:spacing w:line="380" w:lineRule="exact"/>
              <w:ind w:right="61"/>
              <w:rPr>
                <w:rFonts w:ascii="Arial" w:hAnsi="Arial" w:cs="Arial"/>
                <w:color w:val="000000"/>
                <w:sz w:val="22"/>
                <w:szCs w:val="22"/>
                <w:cs/>
              </w:rPr>
            </w:pPr>
            <w:r w:rsidRPr="001C608D">
              <w:rPr>
                <w:rFonts w:ascii="Arial" w:hAnsi="Arial" w:cs="Arial"/>
                <w:color w:val="000000"/>
                <w:sz w:val="22"/>
                <w:szCs w:val="22"/>
                <w:cs/>
              </w:rPr>
              <w:t>583</w:t>
            </w:r>
          </w:p>
        </w:tc>
      </w:tr>
    </w:tbl>
    <w:p w:rsidR="00D16AFC" w:rsidRPr="001C608D" w:rsidRDefault="00072F21" w:rsidP="007D6A73">
      <w:pPr>
        <w:spacing w:before="120" w:after="120" w:line="380" w:lineRule="exact"/>
        <w:ind w:left="2610" w:hanging="630"/>
        <w:rPr>
          <w:rFonts w:ascii="Arial" w:hAnsi="Arial" w:cs="Arial"/>
          <w:sz w:val="22"/>
          <w:szCs w:val="22"/>
          <w:lang w:val="en-US"/>
        </w:rPr>
      </w:pPr>
      <w:r w:rsidRPr="001C608D">
        <w:rPr>
          <w:rFonts w:ascii="Arial" w:hAnsi="Arial" w:cs="Arial"/>
          <w:sz w:val="22"/>
          <w:szCs w:val="22"/>
          <w:u w:val="single"/>
          <w:lang w:val="en-US"/>
        </w:rPr>
        <w:t>Note</w:t>
      </w:r>
      <w:r w:rsidRPr="001C608D">
        <w:rPr>
          <w:rFonts w:ascii="Arial" w:hAnsi="Arial" w:cs="Arial"/>
          <w:sz w:val="22"/>
          <w:szCs w:val="22"/>
          <w:lang w:val="en-US"/>
        </w:rPr>
        <w:t xml:space="preserve">: </w:t>
      </w:r>
      <w:r w:rsidR="006C7306" w:rsidRPr="001C608D">
        <w:rPr>
          <w:rFonts w:ascii="Arial" w:hAnsi="Arial" w:cstheme="minorBidi"/>
          <w:sz w:val="22"/>
          <w:szCs w:val="22"/>
          <w:cs/>
          <w:lang w:val="en-US"/>
        </w:rPr>
        <w:tab/>
      </w:r>
      <w:r w:rsidRPr="001C608D">
        <w:rPr>
          <w:rFonts w:ascii="Arial" w:hAnsi="Arial" w:cs="Arial"/>
          <w:sz w:val="22"/>
          <w:szCs w:val="22"/>
          <w:lang w:val="en-US"/>
        </w:rPr>
        <w:t>Because the effect of adjustment</w:t>
      </w:r>
      <w:r w:rsidR="00D672BF" w:rsidRPr="001C608D">
        <w:rPr>
          <w:rFonts w:ascii="Arial" w:hAnsi="Arial" w:cstheme="minorBidi" w:hint="cs"/>
          <w:sz w:val="22"/>
          <w:szCs w:val="22"/>
          <w:cs/>
          <w:lang w:val="en-US"/>
        </w:rPr>
        <w:t xml:space="preserve"> </w:t>
      </w:r>
      <w:r w:rsidR="00D672BF" w:rsidRPr="001C608D">
        <w:rPr>
          <w:rFonts w:ascii="Arial" w:hAnsi="Arial" w:cstheme="minorBidi"/>
          <w:sz w:val="22"/>
          <w:szCs w:val="22"/>
          <w:lang w:val="en-US"/>
        </w:rPr>
        <w:t>to profit and loss</w:t>
      </w:r>
      <w:r w:rsidRPr="001C608D">
        <w:rPr>
          <w:rFonts w:ascii="Arial" w:hAnsi="Arial" w:cs="Arial"/>
          <w:sz w:val="22"/>
          <w:szCs w:val="22"/>
          <w:lang w:val="en-US"/>
        </w:rPr>
        <w:t xml:space="preserve"> for the year 2015 was only Baht 34 million which is regarded by the Company as immaterial, the Company has not amended the 2015 financial statements </w:t>
      </w:r>
      <w:r w:rsidR="00987B99" w:rsidRPr="001C608D">
        <w:rPr>
          <w:rFonts w:ascii="Arial" w:hAnsi="Arial" w:cs="Arial"/>
          <w:sz w:val="22"/>
          <w:szCs w:val="22"/>
          <w:lang w:val="en-US"/>
        </w:rPr>
        <w:t xml:space="preserve">but </w:t>
      </w:r>
      <w:r w:rsidRPr="001C608D">
        <w:rPr>
          <w:rFonts w:ascii="Arial" w:hAnsi="Arial" w:cs="Arial"/>
          <w:sz w:val="22"/>
          <w:szCs w:val="22"/>
          <w:lang w:val="en-US"/>
        </w:rPr>
        <w:t xml:space="preserve">included that </w:t>
      </w:r>
      <w:r w:rsidR="006D1135" w:rsidRPr="001C608D">
        <w:rPr>
          <w:rFonts w:ascii="Arial" w:hAnsi="Arial" w:cs="Arial"/>
          <w:sz w:val="22"/>
          <w:szCs w:val="22"/>
          <w:lang w:val="en-US"/>
        </w:rPr>
        <w:t>amount in the 2016 adjustment and</w:t>
      </w:r>
      <w:r w:rsidRPr="001C608D">
        <w:rPr>
          <w:rFonts w:ascii="Arial" w:hAnsi="Arial" w:cs="Arial"/>
          <w:sz w:val="22"/>
          <w:szCs w:val="22"/>
          <w:lang w:val="en-US"/>
        </w:rPr>
        <w:t xml:space="preserve"> amend the 2016 financial statements.</w:t>
      </w:r>
    </w:p>
    <w:p w:rsidR="00072F21" w:rsidRPr="001C608D" w:rsidRDefault="00D16AFC" w:rsidP="007D6A73">
      <w:pPr>
        <w:spacing w:before="120" w:after="120" w:line="380" w:lineRule="exact"/>
        <w:ind w:left="1980" w:hanging="360"/>
        <w:rPr>
          <w:rFonts w:ascii="Arial" w:hAnsi="Arial" w:cstheme="minorBidi"/>
          <w:sz w:val="22"/>
          <w:szCs w:val="22"/>
          <w:lang w:val="en-US"/>
        </w:rPr>
      </w:pPr>
      <w:r w:rsidRPr="001C608D">
        <w:rPr>
          <w:rFonts w:ascii="Arial" w:hAnsi="Arial" w:cs="Arial"/>
          <w:sz w:val="22"/>
          <w:szCs w:val="22"/>
          <w:lang w:val="en-US"/>
        </w:rPr>
        <w:br w:type="page"/>
      </w:r>
      <w:r w:rsidR="00072F21" w:rsidRPr="001C608D">
        <w:rPr>
          <w:rFonts w:ascii="Arial" w:hAnsi="Arial" w:cs="Arial"/>
          <w:sz w:val="22"/>
          <w:szCs w:val="22"/>
          <w:lang w:val="en-US"/>
        </w:rPr>
        <w:lastRenderedPageBreak/>
        <w:t>-</w:t>
      </w:r>
      <w:r w:rsidR="00072F21" w:rsidRPr="001C608D">
        <w:rPr>
          <w:rFonts w:ascii="Arial" w:hAnsi="Arial" w:cs="Arial"/>
          <w:sz w:val="22"/>
          <w:szCs w:val="22"/>
          <w:lang w:val="en-US"/>
        </w:rPr>
        <w:tab/>
        <w:t>In addition, the Company has reclassified from the “Loans to Cyprus and Singapore group” to “</w:t>
      </w:r>
      <w:r w:rsidR="006F0076" w:rsidRPr="001C608D">
        <w:rPr>
          <w:rFonts w:ascii="Arial" w:hAnsi="Arial" w:cs="Arial"/>
          <w:sz w:val="22"/>
          <w:szCs w:val="22"/>
          <w:lang w:val="en-US"/>
        </w:rPr>
        <w:t>Disputed loans</w:t>
      </w:r>
      <w:r w:rsidR="00072F21" w:rsidRPr="001C608D">
        <w:rPr>
          <w:rFonts w:ascii="Arial" w:hAnsi="Arial" w:cs="Arial"/>
          <w:sz w:val="22"/>
          <w:szCs w:val="22"/>
          <w:lang w:val="en-US"/>
        </w:rPr>
        <w:t>”</w:t>
      </w:r>
      <w:r w:rsidR="006F0076" w:rsidRPr="001C608D">
        <w:rPr>
          <w:rFonts w:ascii="Arial" w:hAnsi="Arial" w:cs="Arial"/>
          <w:sz w:val="22"/>
          <w:szCs w:val="22"/>
          <w:lang w:val="en-US"/>
        </w:rPr>
        <w:t xml:space="preserve"> (as alleged by the SEC)</w:t>
      </w:r>
      <w:r w:rsidR="00072F21" w:rsidRPr="001C608D">
        <w:rPr>
          <w:rFonts w:ascii="Arial" w:hAnsi="Arial" w:cs="Arial"/>
          <w:sz w:val="22"/>
          <w:szCs w:val="22"/>
          <w:lang w:val="en-US"/>
        </w:rPr>
        <w:t>. The Company has set up full provision against those loans in the year 2017.</w:t>
      </w:r>
      <w:r w:rsidR="00DD20A7" w:rsidRPr="001C608D">
        <w:rPr>
          <w:rFonts w:ascii="Arial" w:hAnsi="Arial" w:cstheme="minorBidi" w:hint="cs"/>
          <w:sz w:val="22"/>
          <w:szCs w:val="22"/>
          <w:cs/>
          <w:lang w:val="en-US"/>
        </w:rPr>
        <w:t xml:space="preserve"> </w:t>
      </w:r>
      <w:r w:rsidR="00DD20A7" w:rsidRPr="001C608D">
        <w:rPr>
          <w:rFonts w:ascii="Arial" w:hAnsi="Arial" w:cs="Arial"/>
          <w:sz w:val="22"/>
          <w:szCs w:val="22"/>
          <w:lang w:val="en-US"/>
        </w:rPr>
        <w:t>The Company has stopped recognising interest income on these loans since the fourth quarter of 2017.</w:t>
      </w:r>
    </w:p>
    <w:tbl>
      <w:tblPr>
        <w:tblW w:w="7740" w:type="dxa"/>
        <w:tblInd w:w="1890" w:type="dxa"/>
        <w:tblLayout w:type="fixed"/>
        <w:tblLook w:val="00A0" w:firstRow="1" w:lastRow="0" w:firstColumn="1" w:lastColumn="0" w:noHBand="0" w:noVBand="0"/>
      </w:tblPr>
      <w:tblGrid>
        <w:gridCol w:w="3960"/>
        <w:gridCol w:w="1260"/>
        <w:gridCol w:w="1260"/>
        <w:gridCol w:w="1260"/>
      </w:tblGrid>
      <w:tr w:rsidR="00072F21" w:rsidRPr="001C608D" w:rsidTr="0015492F">
        <w:trPr>
          <w:trHeight w:val="324"/>
        </w:trPr>
        <w:tc>
          <w:tcPr>
            <w:tcW w:w="3960" w:type="dxa"/>
            <w:shd w:val="clear" w:color="auto" w:fill="auto"/>
          </w:tcPr>
          <w:p w:rsidR="00072F21" w:rsidRPr="001C608D" w:rsidRDefault="00072F21" w:rsidP="007D6A73">
            <w:pPr>
              <w:spacing w:line="380" w:lineRule="exact"/>
              <w:ind w:left="108"/>
              <w:rPr>
                <w:rFonts w:ascii="Arial" w:hAnsi="Arial" w:cs="Arial"/>
                <w:color w:val="000000"/>
                <w:sz w:val="22"/>
                <w:szCs w:val="22"/>
                <w:lang w:val="en-US"/>
              </w:rPr>
            </w:pPr>
          </w:p>
        </w:tc>
        <w:tc>
          <w:tcPr>
            <w:tcW w:w="1260" w:type="dxa"/>
            <w:shd w:val="clear" w:color="auto" w:fill="auto"/>
            <w:vAlign w:val="center"/>
          </w:tcPr>
          <w:p w:rsidR="00072F21" w:rsidRPr="001C608D" w:rsidRDefault="00072F21" w:rsidP="007D6A73">
            <w:pPr>
              <w:spacing w:line="380" w:lineRule="exact"/>
              <w:ind w:right="61"/>
              <w:jc w:val="center"/>
              <w:rPr>
                <w:rFonts w:ascii="Arial" w:hAnsi="Arial" w:cs="Arial"/>
                <w:color w:val="000000"/>
                <w:sz w:val="22"/>
                <w:szCs w:val="22"/>
                <w:u w:val="single"/>
                <w:cs/>
              </w:rPr>
            </w:pPr>
            <w:r w:rsidRPr="001C608D">
              <w:rPr>
                <w:rFonts w:ascii="Arial" w:hAnsi="Arial" w:cs="Arial"/>
                <w:color w:val="000000"/>
                <w:sz w:val="22"/>
                <w:szCs w:val="22"/>
                <w:u w:val="single"/>
                <w:cs/>
              </w:rPr>
              <w:t>2017</w:t>
            </w:r>
          </w:p>
        </w:tc>
        <w:tc>
          <w:tcPr>
            <w:tcW w:w="1260" w:type="dxa"/>
            <w:shd w:val="clear" w:color="auto" w:fill="auto"/>
            <w:vAlign w:val="center"/>
          </w:tcPr>
          <w:p w:rsidR="00072F21" w:rsidRPr="001C608D" w:rsidRDefault="00072F21" w:rsidP="007D6A73">
            <w:pPr>
              <w:spacing w:line="380" w:lineRule="exact"/>
              <w:ind w:right="61"/>
              <w:jc w:val="center"/>
              <w:rPr>
                <w:rFonts w:ascii="Arial" w:hAnsi="Arial" w:cs="Arial"/>
                <w:color w:val="000000"/>
                <w:sz w:val="22"/>
                <w:szCs w:val="22"/>
                <w:u w:val="single"/>
                <w:cs/>
              </w:rPr>
            </w:pPr>
            <w:r w:rsidRPr="001C608D">
              <w:rPr>
                <w:rFonts w:ascii="Arial" w:hAnsi="Arial" w:cs="Arial"/>
                <w:color w:val="000000"/>
                <w:sz w:val="22"/>
                <w:szCs w:val="22"/>
                <w:u w:val="single"/>
                <w:cs/>
              </w:rPr>
              <w:t>2016</w:t>
            </w:r>
          </w:p>
        </w:tc>
        <w:tc>
          <w:tcPr>
            <w:tcW w:w="1260" w:type="dxa"/>
            <w:vAlign w:val="center"/>
          </w:tcPr>
          <w:p w:rsidR="00072F21" w:rsidRPr="001C608D" w:rsidRDefault="00072F21" w:rsidP="007D6A73">
            <w:pPr>
              <w:spacing w:line="380" w:lineRule="exact"/>
              <w:ind w:right="61"/>
              <w:jc w:val="center"/>
              <w:rPr>
                <w:rFonts w:ascii="Arial" w:hAnsi="Arial" w:cs="Arial"/>
                <w:color w:val="000000"/>
                <w:sz w:val="22"/>
                <w:szCs w:val="22"/>
                <w:u w:val="single"/>
                <w:cs/>
              </w:rPr>
            </w:pPr>
            <w:r w:rsidRPr="001C608D">
              <w:rPr>
                <w:rFonts w:ascii="Arial" w:hAnsi="Arial" w:cs="Arial"/>
                <w:color w:val="000000"/>
                <w:sz w:val="22"/>
                <w:szCs w:val="22"/>
                <w:u w:val="single"/>
                <w:cs/>
              </w:rPr>
              <w:t>2015</w:t>
            </w:r>
          </w:p>
        </w:tc>
      </w:tr>
      <w:tr w:rsidR="00072F21" w:rsidRPr="001C608D" w:rsidTr="0015492F">
        <w:trPr>
          <w:trHeight w:val="306"/>
        </w:trPr>
        <w:tc>
          <w:tcPr>
            <w:tcW w:w="3960" w:type="dxa"/>
            <w:shd w:val="clear" w:color="auto" w:fill="auto"/>
          </w:tcPr>
          <w:p w:rsidR="00072F21" w:rsidRPr="001C608D" w:rsidRDefault="00072F21" w:rsidP="007D6A73">
            <w:pPr>
              <w:spacing w:line="380" w:lineRule="exact"/>
              <w:ind w:left="108"/>
              <w:rPr>
                <w:rFonts w:ascii="Arial" w:hAnsi="Arial" w:cs="Arial"/>
                <w:color w:val="000000"/>
                <w:sz w:val="22"/>
                <w:szCs w:val="22"/>
                <w:cs/>
              </w:rPr>
            </w:pPr>
          </w:p>
        </w:tc>
        <w:tc>
          <w:tcPr>
            <w:tcW w:w="1260" w:type="dxa"/>
            <w:shd w:val="clear" w:color="auto" w:fill="auto"/>
            <w:vAlign w:val="center"/>
          </w:tcPr>
          <w:p w:rsidR="00CA3365" w:rsidRDefault="00CA3365" w:rsidP="007D6A73">
            <w:pPr>
              <w:spacing w:line="380" w:lineRule="exact"/>
              <w:ind w:left="-108" w:right="-108"/>
              <w:jc w:val="center"/>
              <w:rPr>
                <w:rFonts w:ascii="Arial" w:hAnsi="Arial" w:cs="Arial"/>
                <w:color w:val="000000"/>
                <w:sz w:val="22"/>
                <w:szCs w:val="22"/>
                <w:cs/>
              </w:rPr>
            </w:pPr>
            <w:r>
              <w:rPr>
                <w:rFonts w:ascii="Arial" w:hAnsi="Arial" w:cs="Arial"/>
                <w:color w:val="000000"/>
                <w:sz w:val="22"/>
                <w:szCs w:val="22"/>
                <w:cs/>
              </w:rPr>
              <w:t>Million</w:t>
            </w:r>
          </w:p>
          <w:p w:rsidR="00072F21" w:rsidRPr="001C608D" w:rsidRDefault="00072F21" w:rsidP="007D6A73">
            <w:pPr>
              <w:spacing w:line="380" w:lineRule="exact"/>
              <w:ind w:left="-108" w:right="-108"/>
              <w:jc w:val="center"/>
              <w:rPr>
                <w:rFonts w:ascii="Arial" w:hAnsi="Arial" w:cs="Arial"/>
                <w:color w:val="000000"/>
                <w:sz w:val="22"/>
                <w:szCs w:val="22"/>
                <w:cs/>
              </w:rPr>
            </w:pPr>
            <w:r w:rsidRPr="001C608D">
              <w:rPr>
                <w:rFonts w:ascii="Arial" w:hAnsi="Arial" w:cs="Arial"/>
                <w:color w:val="000000"/>
                <w:sz w:val="22"/>
                <w:szCs w:val="22"/>
                <w:cs/>
              </w:rPr>
              <w:t>Baht</w:t>
            </w:r>
          </w:p>
        </w:tc>
        <w:tc>
          <w:tcPr>
            <w:tcW w:w="1260" w:type="dxa"/>
            <w:shd w:val="clear" w:color="auto" w:fill="auto"/>
            <w:vAlign w:val="center"/>
          </w:tcPr>
          <w:p w:rsidR="00CA3365" w:rsidRDefault="00CA3365" w:rsidP="007D6A73">
            <w:pPr>
              <w:spacing w:line="380" w:lineRule="exact"/>
              <w:ind w:left="-108" w:right="-108"/>
              <w:jc w:val="center"/>
              <w:rPr>
                <w:rFonts w:ascii="Arial" w:hAnsi="Arial" w:cs="Arial"/>
                <w:color w:val="000000"/>
                <w:sz w:val="22"/>
                <w:szCs w:val="22"/>
                <w:cs/>
              </w:rPr>
            </w:pPr>
            <w:r>
              <w:rPr>
                <w:rFonts w:ascii="Arial" w:hAnsi="Arial" w:cs="Arial"/>
                <w:color w:val="000000"/>
                <w:sz w:val="22"/>
                <w:szCs w:val="22"/>
                <w:cs/>
              </w:rPr>
              <w:t>Million</w:t>
            </w:r>
          </w:p>
          <w:p w:rsidR="00072F21" w:rsidRPr="001C608D" w:rsidRDefault="00072F21" w:rsidP="007D6A73">
            <w:pPr>
              <w:spacing w:line="380" w:lineRule="exact"/>
              <w:ind w:left="-108" w:right="-108"/>
              <w:jc w:val="center"/>
              <w:rPr>
                <w:rFonts w:ascii="Arial" w:hAnsi="Arial" w:cs="Arial"/>
                <w:color w:val="000000"/>
                <w:sz w:val="22"/>
                <w:szCs w:val="22"/>
                <w:cs/>
              </w:rPr>
            </w:pPr>
            <w:r w:rsidRPr="001C608D">
              <w:rPr>
                <w:rFonts w:ascii="Arial" w:hAnsi="Arial" w:cs="Arial"/>
                <w:color w:val="000000"/>
                <w:sz w:val="22"/>
                <w:szCs w:val="22"/>
                <w:cs/>
              </w:rPr>
              <w:t>Baht</w:t>
            </w:r>
          </w:p>
        </w:tc>
        <w:tc>
          <w:tcPr>
            <w:tcW w:w="1260" w:type="dxa"/>
            <w:vAlign w:val="center"/>
          </w:tcPr>
          <w:p w:rsidR="00CA3365" w:rsidRDefault="00CA3365" w:rsidP="007D6A73">
            <w:pPr>
              <w:spacing w:line="380" w:lineRule="exact"/>
              <w:ind w:left="-108" w:right="-108"/>
              <w:jc w:val="center"/>
              <w:rPr>
                <w:rFonts w:ascii="Arial" w:hAnsi="Arial" w:cs="Arial"/>
                <w:color w:val="000000"/>
                <w:sz w:val="22"/>
                <w:szCs w:val="22"/>
                <w:cs/>
              </w:rPr>
            </w:pPr>
            <w:r>
              <w:rPr>
                <w:rFonts w:ascii="Arial" w:hAnsi="Arial" w:cs="Arial"/>
                <w:color w:val="000000"/>
                <w:sz w:val="22"/>
                <w:szCs w:val="22"/>
                <w:cs/>
              </w:rPr>
              <w:t>Million</w:t>
            </w:r>
          </w:p>
          <w:p w:rsidR="00072F21" w:rsidRPr="001C608D" w:rsidRDefault="00072F21" w:rsidP="007D6A73">
            <w:pPr>
              <w:spacing w:line="380" w:lineRule="exact"/>
              <w:ind w:left="-108" w:right="-108"/>
              <w:jc w:val="center"/>
              <w:rPr>
                <w:rFonts w:ascii="Arial" w:hAnsi="Arial" w:cs="Arial"/>
                <w:color w:val="000000"/>
                <w:sz w:val="22"/>
                <w:szCs w:val="22"/>
                <w:cs/>
              </w:rPr>
            </w:pPr>
            <w:r w:rsidRPr="001C608D">
              <w:rPr>
                <w:rFonts w:ascii="Arial" w:hAnsi="Arial" w:cs="Arial"/>
                <w:color w:val="000000"/>
                <w:sz w:val="22"/>
                <w:szCs w:val="22"/>
                <w:cs/>
              </w:rPr>
              <w:t>Baht</w:t>
            </w:r>
          </w:p>
        </w:tc>
      </w:tr>
      <w:tr w:rsidR="00072F21" w:rsidRPr="001C608D" w:rsidTr="0015492F">
        <w:trPr>
          <w:trHeight w:val="639"/>
        </w:trPr>
        <w:tc>
          <w:tcPr>
            <w:tcW w:w="3960" w:type="dxa"/>
            <w:shd w:val="clear" w:color="auto" w:fill="auto"/>
          </w:tcPr>
          <w:p w:rsidR="00072F21" w:rsidRPr="001C608D" w:rsidRDefault="00987B99" w:rsidP="007D6A73">
            <w:pPr>
              <w:spacing w:line="380" w:lineRule="exact"/>
              <w:ind w:left="162" w:hanging="162"/>
              <w:rPr>
                <w:rFonts w:ascii="Arial" w:hAnsi="Arial" w:cs="Arial"/>
                <w:color w:val="000000"/>
                <w:sz w:val="22"/>
                <w:szCs w:val="22"/>
                <w:u w:val="single"/>
                <w:lang w:val="en-US"/>
              </w:rPr>
            </w:pPr>
            <w:r w:rsidRPr="001C608D">
              <w:rPr>
                <w:rFonts w:ascii="Arial" w:hAnsi="Arial" w:cs="Arial"/>
                <w:color w:val="000000"/>
                <w:sz w:val="22"/>
                <w:szCs w:val="22"/>
                <w:u w:val="single"/>
                <w:cs/>
              </w:rPr>
              <w:t xml:space="preserve">Consolidated </w:t>
            </w:r>
            <w:r w:rsidRPr="001C608D">
              <w:rPr>
                <w:rFonts w:ascii="Arial" w:hAnsi="Arial" w:cs="Arial"/>
                <w:color w:val="000000"/>
                <w:sz w:val="22"/>
                <w:szCs w:val="22"/>
                <w:u w:val="single"/>
                <w:lang w:val="en-US"/>
              </w:rPr>
              <w:t>Statement</w:t>
            </w:r>
            <w:r w:rsidR="00072F21" w:rsidRPr="001C608D">
              <w:rPr>
                <w:rFonts w:ascii="Arial" w:hAnsi="Arial" w:cs="Arial"/>
                <w:color w:val="000000"/>
                <w:sz w:val="22"/>
                <w:szCs w:val="22"/>
                <w:u w:val="single"/>
                <w:lang w:val="en-US"/>
              </w:rPr>
              <w:t xml:space="preserve"> of financial position:</w:t>
            </w:r>
          </w:p>
        </w:tc>
        <w:tc>
          <w:tcPr>
            <w:tcW w:w="1260" w:type="dxa"/>
            <w:shd w:val="clear" w:color="auto" w:fill="auto"/>
            <w:vAlign w:val="center"/>
          </w:tcPr>
          <w:p w:rsidR="00072F21" w:rsidRPr="001C608D" w:rsidRDefault="00072F21" w:rsidP="007D6A73">
            <w:pPr>
              <w:tabs>
                <w:tab w:val="decimal" w:pos="1163"/>
              </w:tabs>
              <w:spacing w:line="380" w:lineRule="exact"/>
              <w:ind w:right="61"/>
              <w:rPr>
                <w:rFonts w:ascii="Arial" w:hAnsi="Arial" w:cs="Arial"/>
                <w:color w:val="000000"/>
                <w:sz w:val="22"/>
                <w:szCs w:val="22"/>
                <w:lang w:val="en-US"/>
              </w:rPr>
            </w:pPr>
          </w:p>
        </w:tc>
        <w:tc>
          <w:tcPr>
            <w:tcW w:w="1260" w:type="dxa"/>
            <w:shd w:val="clear" w:color="auto" w:fill="auto"/>
            <w:vAlign w:val="center"/>
          </w:tcPr>
          <w:p w:rsidR="00072F21" w:rsidRPr="001C608D" w:rsidRDefault="00072F21" w:rsidP="007D6A73">
            <w:pPr>
              <w:tabs>
                <w:tab w:val="decimal" w:pos="1163"/>
              </w:tabs>
              <w:spacing w:line="380" w:lineRule="exact"/>
              <w:ind w:right="61"/>
              <w:rPr>
                <w:rFonts w:ascii="Arial" w:hAnsi="Arial" w:cs="Arial"/>
                <w:color w:val="000000"/>
                <w:sz w:val="22"/>
                <w:szCs w:val="22"/>
                <w:lang w:val="en-US"/>
              </w:rPr>
            </w:pPr>
          </w:p>
        </w:tc>
        <w:tc>
          <w:tcPr>
            <w:tcW w:w="1260" w:type="dxa"/>
            <w:vAlign w:val="center"/>
          </w:tcPr>
          <w:p w:rsidR="00072F21" w:rsidRPr="001C608D" w:rsidRDefault="00072F21" w:rsidP="007D6A73">
            <w:pPr>
              <w:tabs>
                <w:tab w:val="decimal" w:pos="1163"/>
              </w:tabs>
              <w:spacing w:line="380" w:lineRule="exact"/>
              <w:ind w:right="61"/>
              <w:rPr>
                <w:rFonts w:ascii="Arial" w:hAnsi="Arial" w:cs="Arial"/>
                <w:color w:val="000000"/>
                <w:sz w:val="22"/>
                <w:szCs w:val="22"/>
                <w:lang w:val="en-US"/>
              </w:rPr>
            </w:pPr>
          </w:p>
        </w:tc>
      </w:tr>
      <w:tr w:rsidR="00072F21" w:rsidRPr="001C608D" w:rsidTr="0015492F">
        <w:trPr>
          <w:trHeight w:val="444"/>
        </w:trPr>
        <w:tc>
          <w:tcPr>
            <w:tcW w:w="3960" w:type="dxa"/>
            <w:shd w:val="clear" w:color="auto" w:fill="auto"/>
          </w:tcPr>
          <w:p w:rsidR="009B4FB7" w:rsidRPr="001C608D" w:rsidRDefault="006F0076" w:rsidP="009B4FB7">
            <w:pPr>
              <w:spacing w:line="380" w:lineRule="exact"/>
              <w:ind w:left="162" w:hanging="162"/>
              <w:rPr>
                <w:rFonts w:ascii="Arial" w:hAnsi="Arial" w:cs="Arial"/>
                <w:color w:val="000000"/>
                <w:sz w:val="22"/>
                <w:szCs w:val="22"/>
                <w:lang w:val="en-US"/>
              </w:rPr>
            </w:pPr>
            <w:r w:rsidRPr="001C608D">
              <w:rPr>
                <w:rFonts w:ascii="Arial" w:hAnsi="Arial" w:cs="Arial"/>
                <w:color w:val="000000"/>
                <w:sz w:val="22"/>
                <w:szCs w:val="22"/>
                <w:lang w:val="en-US"/>
              </w:rPr>
              <w:t>Disputed l</w:t>
            </w:r>
            <w:r w:rsidR="00072F21" w:rsidRPr="001C608D">
              <w:rPr>
                <w:rFonts w:ascii="Arial" w:hAnsi="Arial" w:cs="Arial"/>
                <w:color w:val="000000"/>
                <w:sz w:val="22"/>
                <w:szCs w:val="22"/>
                <w:lang w:val="en-US"/>
              </w:rPr>
              <w:t>oans</w:t>
            </w:r>
            <w:r w:rsidR="006E53DB" w:rsidRPr="001C608D">
              <w:rPr>
                <w:rFonts w:ascii="Arial" w:hAnsi="Arial" w:cs="Arial"/>
                <w:color w:val="000000"/>
                <w:sz w:val="22"/>
                <w:szCs w:val="22"/>
                <w:lang w:val="en-US"/>
              </w:rPr>
              <w:t xml:space="preserve"> </w:t>
            </w:r>
            <w:r w:rsidR="009B4FB7" w:rsidRPr="001C608D">
              <w:rPr>
                <w:rFonts w:ascii="Arial" w:hAnsi="Arial" w:cs="Arial"/>
                <w:color w:val="000000"/>
                <w:sz w:val="22"/>
                <w:szCs w:val="22"/>
                <w:lang w:val="en-US"/>
              </w:rPr>
              <w:t xml:space="preserve">(as alleged by the </w:t>
            </w:r>
          </w:p>
          <w:p w:rsidR="00072F21" w:rsidRPr="001C608D" w:rsidRDefault="009B4FB7" w:rsidP="009B4FB7">
            <w:pPr>
              <w:spacing w:line="380" w:lineRule="exact"/>
              <w:ind w:left="162" w:hanging="162"/>
              <w:rPr>
                <w:rFonts w:ascii="Arial" w:hAnsi="Arial" w:cs="Arial"/>
                <w:color w:val="000000"/>
                <w:sz w:val="22"/>
                <w:szCs w:val="22"/>
                <w:cs/>
                <w:lang w:val="en-US"/>
              </w:rPr>
            </w:pPr>
            <w:r w:rsidRPr="001C608D">
              <w:rPr>
                <w:rFonts w:ascii="Arial" w:hAnsi="Arial" w:cs="Arial"/>
                <w:color w:val="000000"/>
                <w:sz w:val="22"/>
                <w:szCs w:val="22"/>
                <w:lang w:val="en-US"/>
              </w:rPr>
              <w:t xml:space="preserve">   SEC) </w:t>
            </w:r>
            <w:r w:rsidR="006E53DB" w:rsidRPr="001C608D">
              <w:rPr>
                <w:rFonts w:ascii="Arial" w:hAnsi="Arial" w:cs="Arial"/>
                <w:color w:val="000000"/>
                <w:sz w:val="22"/>
                <w:szCs w:val="22"/>
                <w:lang w:val="en-US"/>
              </w:rPr>
              <w:t>and interest receivable</w:t>
            </w:r>
            <w:r w:rsidR="00072F21" w:rsidRPr="001C608D">
              <w:rPr>
                <w:rFonts w:ascii="Arial" w:hAnsi="Arial" w:cs="Arial"/>
                <w:color w:val="000000"/>
                <w:sz w:val="22"/>
                <w:szCs w:val="22"/>
                <w:lang w:val="en-US"/>
              </w:rPr>
              <w:t xml:space="preserve"> </w:t>
            </w:r>
            <w:r w:rsidR="006E53DB" w:rsidRPr="001C608D">
              <w:rPr>
                <w:rFonts w:ascii="Arial" w:hAnsi="Arial" w:cs="Arial"/>
                <w:color w:val="000000"/>
                <w:sz w:val="22"/>
                <w:szCs w:val="22"/>
                <w:lang w:val="en-US"/>
              </w:rPr>
              <w:t xml:space="preserve">as </w:t>
            </w:r>
            <w:r w:rsidR="006F0076" w:rsidRPr="001C608D">
              <w:rPr>
                <w:rFonts w:ascii="Arial" w:hAnsi="Arial" w:cs="Arial"/>
                <w:color w:val="000000"/>
                <w:sz w:val="22"/>
                <w:szCs w:val="22"/>
                <w:lang w:val="en-US"/>
              </w:rPr>
              <w:t xml:space="preserve">previously included in </w:t>
            </w:r>
            <w:r w:rsidR="006E53DB" w:rsidRPr="001C608D">
              <w:rPr>
                <w:rFonts w:ascii="Arial" w:hAnsi="Arial" w:cs="Arial"/>
                <w:color w:val="000000"/>
                <w:sz w:val="22"/>
                <w:szCs w:val="22"/>
                <w:lang w:val="en-US"/>
              </w:rPr>
              <w:t>normal loans</w:t>
            </w:r>
          </w:p>
        </w:tc>
        <w:tc>
          <w:tcPr>
            <w:tcW w:w="1260" w:type="dxa"/>
            <w:shd w:val="clear" w:color="auto" w:fill="auto"/>
            <w:vAlign w:val="center"/>
          </w:tcPr>
          <w:p w:rsidR="00072F21" w:rsidRPr="001C608D" w:rsidRDefault="00072F21" w:rsidP="007D6A73">
            <w:pPr>
              <w:tabs>
                <w:tab w:val="decimal" w:pos="882"/>
              </w:tabs>
              <w:spacing w:line="380" w:lineRule="exact"/>
              <w:ind w:right="61"/>
              <w:rPr>
                <w:rFonts w:ascii="Arial" w:hAnsi="Arial" w:cs="Arial"/>
                <w:color w:val="000000"/>
                <w:sz w:val="22"/>
                <w:szCs w:val="22"/>
                <w:lang w:val="en-US"/>
              </w:rPr>
            </w:pPr>
          </w:p>
          <w:p w:rsidR="00072F21" w:rsidRPr="001C608D" w:rsidRDefault="00072F21" w:rsidP="007D6A73">
            <w:pPr>
              <w:tabs>
                <w:tab w:val="decimal" w:pos="882"/>
              </w:tabs>
              <w:spacing w:line="380" w:lineRule="exact"/>
              <w:ind w:right="61"/>
              <w:rPr>
                <w:rFonts w:ascii="Arial" w:hAnsi="Arial" w:cs="Arial"/>
                <w:color w:val="000000"/>
                <w:sz w:val="22"/>
                <w:szCs w:val="22"/>
                <w:lang w:val="en-US"/>
              </w:rPr>
            </w:pPr>
          </w:p>
          <w:p w:rsidR="00072F21" w:rsidRPr="001C608D" w:rsidRDefault="000330F9" w:rsidP="007D6A73">
            <w:pPr>
              <w:tabs>
                <w:tab w:val="decimal" w:pos="882"/>
              </w:tabs>
              <w:spacing w:line="380" w:lineRule="exact"/>
              <w:ind w:right="61"/>
              <w:rPr>
                <w:rFonts w:ascii="Arial" w:hAnsi="Arial" w:cs="Arial"/>
                <w:color w:val="000000"/>
                <w:sz w:val="22"/>
                <w:szCs w:val="22"/>
                <w:cs/>
                <w:lang w:val="en-US"/>
              </w:rPr>
            </w:pPr>
            <w:r w:rsidRPr="001C608D">
              <w:rPr>
                <w:rFonts w:ascii="Arial" w:hAnsi="Arial" w:cs="Arial"/>
                <w:color w:val="000000"/>
                <w:sz w:val="22"/>
                <w:szCs w:val="22"/>
                <w:cs/>
                <w:lang w:val="en-US"/>
              </w:rPr>
              <w:t>9</w:t>
            </w:r>
            <w:r w:rsidR="006E53DB" w:rsidRPr="001C608D">
              <w:rPr>
                <w:rFonts w:ascii="Arial" w:hAnsi="Arial" w:cs="Arial"/>
                <w:color w:val="000000"/>
                <w:sz w:val="22"/>
                <w:szCs w:val="22"/>
                <w:cs/>
                <w:lang w:val="en-US"/>
              </w:rPr>
              <w:t>75</w:t>
            </w:r>
          </w:p>
        </w:tc>
        <w:tc>
          <w:tcPr>
            <w:tcW w:w="1260" w:type="dxa"/>
            <w:shd w:val="clear" w:color="auto" w:fill="auto"/>
            <w:vAlign w:val="center"/>
          </w:tcPr>
          <w:p w:rsidR="00072F21" w:rsidRPr="001C608D" w:rsidRDefault="00072F21" w:rsidP="007D6A73">
            <w:pPr>
              <w:tabs>
                <w:tab w:val="decimal" w:pos="882"/>
              </w:tabs>
              <w:spacing w:line="380" w:lineRule="exact"/>
              <w:ind w:right="61"/>
              <w:rPr>
                <w:rFonts w:ascii="Arial" w:hAnsi="Arial" w:cs="Arial"/>
                <w:color w:val="000000"/>
                <w:sz w:val="22"/>
                <w:szCs w:val="22"/>
                <w:cs/>
                <w:lang w:val="en-US"/>
              </w:rPr>
            </w:pPr>
          </w:p>
          <w:p w:rsidR="00072F21" w:rsidRPr="001C608D" w:rsidRDefault="00072F21" w:rsidP="007D6A73">
            <w:pPr>
              <w:tabs>
                <w:tab w:val="decimal" w:pos="882"/>
              </w:tabs>
              <w:spacing w:line="380" w:lineRule="exact"/>
              <w:ind w:right="61"/>
              <w:rPr>
                <w:rFonts w:ascii="Arial" w:hAnsi="Arial" w:cs="Arial"/>
                <w:color w:val="000000"/>
                <w:sz w:val="22"/>
                <w:szCs w:val="22"/>
                <w:cs/>
                <w:lang w:val="en-US"/>
              </w:rPr>
            </w:pPr>
          </w:p>
          <w:p w:rsidR="00072F21" w:rsidRPr="001C608D" w:rsidRDefault="006E53DB" w:rsidP="007D6A73">
            <w:pPr>
              <w:tabs>
                <w:tab w:val="decimal" w:pos="882"/>
              </w:tabs>
              <w:spacing w:line="380" w:lineRule="exact"/>
              <w:ind w:right="61"/>
              <w:rPr>
                <w:rFonts w:ascii="Arial" w:hAnsi="Arial" w:cs="Arial"/>
                <w:color w:val="000000"/>
                <w:sz w:val="22"/>
                <w:szCs w:val="22"/>
                <w:cs/>
                <w:lang w:val="en-US"/>
              </w:rPr>
            </w:pPr>
            <w:r w:rsidRPr="001C608D">
              <w:rPr>
                <w:rFonts w:ascii="Arial" w:hAnsi="Arial" w:cs="Arial"/>
                <w:color w:val="000000"/>
                <w:sz w:val="22"/>
                <w:szCs w:val="22"/>
                <w:cs/>
                <w:lang w:val="en-US"/>
              </w:rPr>
              <w:t>2,053</w:t>
            </w:r>
          </w:p>
        </w:tc>
        <w:tc>
          <w:tcPr>
            <w:tcW w:w="1260" w:type="dxa"/>
            <w:vAlign w:val="center"/>
          </w:tcPr>
          <w:p w:rsidR="00072F21" w:rsidRPr="001C608D" w:rsidRDefault="00072F21" w:rsidP="007D6A73">
            <w:pPr>
              <w:tabs>
                <w:tab w:val="decimal" w:pos="882"/>
              </w:tabs>
              <w:spacing w:line="380" w:lineRule="exact"/>
              <w:ind w:right="61"/>
              <w:rPr>
                <w:rFonts w:ascii="Arial" w:hAnsi="Arial" w:cs="Arial"/>
                <w:color w:val="000000"/>
                <w:sz w:val="22"/>
                <w:szCs w:val="22"/>
                <w:cs/>
                <w:lang w:val="en-US"/>
              </w:rPr>
            </w:pPr>
          </w:p>
          <w:p w:rsidR="00072F21" w:rsidRPr="001C608D" w:rsidRDefault="00072F21" w:rsidP="007D6A73">
            <w:pPr>
              <w:tabs>
                <w:tab w:val="decimal" w:pos="882"/>
              </w:tabs>
              <w:spacing w:line="380" w:lineRule="exact"/>
              <w:ind w:right="61"/>
              <w:rPr>
                <w:rFonts w:ascii="Arial" w:hAnsi="Arial" w:cs="Arial"/>
                <w:color w:val="000000"/>
                <w:sz w:val="22"/>
                <w:szCs w:val="22"/>
                <w:cs/>
                <w:lang w:val="en-US"/>
              </w:rPr>
            </w:pPr>
          </w:p>
          <w:p w:rsidR="00072F21" w:rsidRPr="001C608D" w:rsidRDefault="00072F21" w:rsidP="007D6A73">
            <w:pPr>
              <w:tabs>
                <w:tab w:val="decimal" w:pos="882"/>
              </w:tabs>
              <w:spacing w:line="380" w:lineRule="exact"/>
              <w:ind w:right="61"/>
              <w:rPr>
                <w:rFonts w:ascii="Arial" w:hAnsi="Arial" w:cs="Arial"/>
                <w:color w:val="000000"/>
                <w:sz w:val="22"/>
                <w:szCs w:val="22"/>
                <w:cs/>
                <w:lang w:val="en-US"/>
              </w:rPr>
            </w:pPr>
            <w:r w:rsidRPr="001C608D">
              <w:rPr>
                <w:rFonts w:ascii="Arial" w:hAnsi="Arial" w:cs="Arial"/>
                <w:color w:val="000000"/>
                <w:sz w:val="22"/>
                <w:szCs w:val="22"/>
                <w:cs/>
                <w:lang w:val="en-US"/>
              </w:rPr>
              <w:t>1,1</w:t>
            </w:r>
            <w:r w:rsidR="006E53DB" w:rsidRPr="001C608D">
              <w:rPr>
                <w:rFonts w:ascii="Arial" w:hAnsi="Arial" w:cs="Arial"/>
                <w:color w:val="000000"/>
                <w:sz w:val="22"/>
                <w:szCs w:val="22"/>
                <w:cs/>
                <w:lang w:val="en-US"/>
              </w:rPr>
              <w:t>58</w:t>
            </w:r>
          </w:p>
        </w:tc>
      </w:tr>
      <w:tr w:rsidR="00072F21" w:rsidRPr="001C608D" w:rsidTr="0015492F">
        <w:trPr>
          <w:trHeight w:val="444"/>
        </w:trPr>
        <w:tc>
          <w:tcPr>
            <w:tcW w:w="3960" w:type="dxa"/>
            <w:shd w:val="clear" w:color="auto" w:fill="auto"/>
          </w:tcPr>
          <w:p w:rsidR="00072F21" w:rsidRPr="001C608D" w:rsidRDefault="006E53DB" w:rsidP="007D6A73">
            <w:pPr>
              <w:spacing w:line="380" w:lineRule="exact"/>
              <w:ind w:left="792" w:hanging="792"/>
              <w:rPr>
                <w:rFonts w:ascii="Arial" w:hAnsi="Arial" w:cs="Arial"/>
                <w:color w:val="000000"/>
                <w:sz w:val="22"/>
                <w:szCs w:val="22"/>
                <w:lang w:val="en-US"/>
              </w:rPr>
            </w:pPr>
            <w:r w:rsidRPr="001C608D">
              <w:rPr>
                <w:rFonts w:ascii="Arial" w:hAnsi="Arial" w:cs="Arial"/>
                <w:color w:val="000000"/>
                <w:sz w:val="22"/>
                <w:szCs w:val="22"/>
                <w:lang w:val="en-US"/>
              </w:rPr>
              <w:t>Less</w:t>
            </w:r>
            <w:r w:rsidR="00072F21" w:rsidRPr="001C608D">
              <w:rPr>
                <w:rFonts w:ascii="Arial" w:hAnsi="Arial" w:cs="Arial"/>
                <w:color w:val="000000"/>
                <w:sz w:val="22"/>
                <w:szCs w:val="22"/>
                <w:lang w:val="en-US"/>
              </w:rPr>
              <w:t xml:space="preserve">: Interest receivable as </w:t>
            </w:r>
            <w:r w:rsidR="007D6A73" w:rsidRPr="001C608D">
              <w:rPr>
                <w:rFonts w:ascii="Arial" w:hAnsi="Arial" w:cs="Arial"/>
                <w:color w:val="000000"/>
                <w:sz w:val="22"/>
                <w:szCs w:val="22"/>
                <w:lang w:val="en-US"/>
              </w:rPr>
              <w:t>previously</w:t>
            </w:r>
          </w:p>
          <w:p w:rsidR="00072F21" w:rsidRPr="001C608D" w:rsidRDefault="00072F21" w:rsidP="007D6A73">
            <w:pPr>
              <w:spacing w:line="380" w:lineRule="exact"/>
              <w:ind w:left="792" w:hanging="792"/>
              <w:rPr>
                <w:rFonts w:ascii="Arial" w:hAnsi="Arial" w:cs="Arial"/>
                <w:color w:val="000000"/>
                <w:sz w:val="22"/>
                <w:szCs w:val="22"/>
                <w:cs/>
              </w:rPr>
            </w:pPr>
            <w:r w:rsidRPr="001C608D">
              <w:rPr>
                <w:rFonts w:ascii="Arial" w:hAnsi="Arial" w:cs="Arial"/>
                <w:color w:val="000000"/>
                <w:sz w:val="22"/>
                <w:szCs w:val="22"/>
                <w:lang w:val="en-US"/>
              </w:rPr>
              <w:t xml:space="preserve">  </w:t>
            </w:r>
            <w:r w:rsidR="007D6A73" w:rsidRPr="001C608D">
              <w:rPr>
                <w:rFonts w:ascii="Arial" w:hAnsi="Arial" w:cstheme="minorBidi"/>
                <w:color w:val="000000"/>
                <w:sz w:val="22"/>
                <w:szCs w:val="22"/>
                <w:cs/>
              </w:rPr>
              <w:tab/>
            </w:r>
            <w:r w:rsidRPr="001C608D">
              <w:rPr>
                <w:rFonts w:ascii="Arial" w:hAnsi="Arial" w:cs="Arial"/>
                <w:color w:val="000000"/>
                <w:sz w:val="22"/>
                <w:szCs w:val="22"/>
                <w:lang w:val="en-US"/>
              </w:rPr>
              <w:t xml:space="preserve">included in </w:t>
            </w:r>
            <w:r w:rsidRPr="001C608D">
              <w:rPr>
                <w:rFonts w:ascii="Arial" w:hAnsi="Arial" w:cs="Arial"/>
                <w:color w:val="000000"/>
                <w:sz w:val="22"/>
                <w:szCs w:val="22"/>
                <w:cs/>
              </w:rPr>
              <w:t>normal interest receivable</w:t>
            </w:r>
          </w:p>
        </w:tc>
        <w:tc>
          <w:tcPr>
            <w:tcW w:w="1260" w:type="dxa"/>
            <w:shd w:val="clear" w:color="auto" w:fill="auto"/>
            <w:vAlign w:val="center"/>
          </w:tcPr>
          <w:p w:rsidR="00072F21" w:rsidRPr="001C608D" w:rsidRDefault="00072F21" w:rsidP="007D6A73">
            <w:pPr>
              <w:tabs>
                <w:tab w:val="decimal" w:pos="882"/>
              </w:tabs>
              <w:spacing w:line="380" w:lineRule="exact"/>
              <w:ind w:right="61"/>
              <w:rPr>
                <w:rFonts w:ascii="Arial" w:hAnsi="Arial" w:cs="Arial"/>
                <w:color w:val="000000"/>
                <w:sz w:val="22"/>
                <w:szCs w:val="22"/>
                <w:cs/>
                <w:lang w:val="en-US"/>
              </w:rPr>
            </w:pPr>
          </w:p>
          <w:p w:rsidR="00072F21" w:rsidRPr="001C608D" w:rsidRDefault="00072F21" w:rsidP="007D6A73">
            <w:pPr>
              <w:tabs>
                <w:tab w:val="decimal" w:pos="882"/>
              </w:tabs>
              <w:spacing w:line="380" w:lineRule="exact"/>
              <w:ind w:right="61"/>
              <w:rPr>
                <w:rFonts w:ascii="Arial" w:hAnsi="Arial" w:cs="Arial"/>
                <w:color w:val="000000"/>
                <w:sz w:val="22"/>
                <w:szCs w:val="22"/>
                <w:cs/>
                <w:lang w:val="en-US"/>
              </w:rPr>
            </w:pPr>
          </w:p>
          <w:p w:rsidR="00072F21" w:rsidRPr="001C608D" w:rsidRDefault="006E53DB" w:rsidP="007D6A73">
            <w:pPr>
              <w:tabs>
                <w:tab w:val="decimal" w:pos="882"/>
              </w:tabs>
              <w:spacing w:line="380" w:lineRule="exact"/>
              <w:ind w:right="61"/>
              <w:rPr>
                <w:rFonts w:ascii="Arial" w:hAnsi="Arial" w:cs="Arial"/>
                <w:color w:val="000000"/>
                <w:sz w:val="22"/>
                <w:szCs w:val="22"/>
                <w:cs/>
                <w:lang w:val="en-US"/>
              </w:rPr>
            </w:pPr>
            <w:r w:rsidRPr="001C608D">
              <w:rPr>
                <w:rFonts w:ascii="Arial" w:hAnsi="Arial" w:cs="Arial"/>
                <w:color w:val="000000"/>
                <w:sz w:val="22"/>
                <w:szCs w:val="22"/>
                <w:cs/>
                <w:lang w:val="en-US"/>
              </w:rPr>
              <w:t>(</w:t>
            </w:r>
            <w:r w:rsidR="000330F9" w:rsidRPr="001C608D">
              <w:rPr>
                <w:rFonts w:ascii="Arial" w:hAnsi="Arial" w:cs="Arial"/>
                <w:color w:val="000000"/>
                <w:sz w:val="22"/>
                <w:szCs w:val="22"/>
                <w:cs/>
                <w:lang w:val="en-US"/>
              </w:rPr>
              <w:t>35</w:t>
            </w:r>
            <w:r w:rsidRPr="001C608D">
              <w:rPr>
                <w:rFonts w:ascii="Arial" w:hAnsi="Arial" w:cs="Arial"/>
                <w:color w:val="000000"/>
                <w:sz w:val="22"/>
                <w:szCs w:val="22"/>
                <w:cs/>
                <w:lang w:val="en-US"/>
              </w:rPr>
              <w:t>)</w:t>
            </w:r>
          </w:p>
        </w:tc>
        <w:tc>
          <w:tcPr>
            <w:tcW w:w="1260" w:type="dxa"/>
            <w:shd w:val="clear" w:color="auto" w:fill="auto"/>
            <w:vAlign w:val="center"/>
          </w:tcPr>
          <w:p w:rsidR="00072F21" w:rsidRPr="001C608D" w:rsidRDefault="00072F21" w:rsidP="007D6A73">
            <w:pPr>
              <w:tabs>
                <w:tab w:val="decimal" w:pos="882"/>
              </w:tabs>
              <w:spacing w:line="380" w:lineRule="exact"/>
              <w:ind w:right="61"/>
              <w:rPr>
                <w:rFonts w:ascii="Arial" w:hAnsi="Arial" w:cs="Arial"/>
                <w:color w:val="000000"/>
                <w:sz w:val="22"/>
                <w:szCs w:val="22"/>
                <w:cs/>
                <w:lang w:val="en-US"/>
              </w:rPr>
            </w:pPr>
          </w:p>
          <w:p w:rsidR="00072F21" w:rsidRPr="001C608D" w:rsidRDefault="00072F21" w:rsidP="007D6A73">
            <w:pPr>
              <w:tabs>
                <w:tab w:val="decimal" w:pos="882"/>
              </w:tabs>
              <w:spacing w:line="380" w:lineRule="exact"/>
              <w:ind w:right="61"/>
              <w:rPr>
                <w:rFonts w:ascii="Arial" w:hAnsi="Arial" w:cs="Arial"/>
                <w:color w:val="000000"/>
                <w:sz w:val="22"/>
                <w:szCs w:val="22"/>
                <w:cs/>
                <w:lang w:val="en-US"/>
              </w:rPr>
            </w:pPr>
          </w:p>
          <w:p w:rsidR="00072F21" w:rsidRPr="001C608D" w:rsidRDefault="006E53DB" w:rsidP="007D6A73">
            <w:pPr>
              <w:tabs>
                <w:tab w:val="decimal" w:pos="882"/>
              </w:tabs>
              <w:spacing w:line="380" w:lineRule="exact"/>
              <w:ind w:right="61"/>
              <w:rPr>
                <w:rFonts w:ascii="Arial" w:hAnsi="Arial" w:cs="Arial"/>
                <w:color w:val="000000"/>
                <w:sz w:val="22"/>
                <w:szCs w:val="22"/>
                <w:cs/>
                <w:lang w:val="en-US"/>
              </w:rPr>
            </w:pPr>
            <w:r w:rsidRPr="001C608D">
              <w:rPr>
                <w:rFonts w:ascii="Arial" w:hAnsi="Arial" w:cs="Arial"/>
                <w:color w:val="000000"/>
                <w:sz w:val="22"/>
                <w:szCs w:val="22"/>
                <w:cs/>
                <w:lang w:val="en-US"/>
              </w:rPr>
              <w:t>(115)</w:t>
            </w:r>
          </w:p>
        </w:tc>
        <w:tc>
          <w:tcPr>
            <w:tcW w:w="1260" w:type="dxa"/>
            <w:vAlign w:val="center"/>
          </w:tcPr>
          <w:p w:rsidR="00072F21" w:rsidRPr="001C608D" w:rsidRDefault="00072F21" w:rsidP="007D6A73">
            <w:pPr>
              <w:tabs>
                <w:tab w:val="decimal" w:pos="882"/>
              </w:tabs>
              <w:spacing w:line="380" w:lineRule="exact"/>
              <w:ind w:right="61"/>
              <w:rPr>
                <w:rFonts w:ascii="Arial" w:hAnsi="Arial" w:cs="Arial"/>
                <w:color w:val="000000"/>
                <w:sz w:val="22"/>
                <w:szCs w:val="22"/>
                <w:cs/>
                <w:lang w:val="en-US"/>
              </w:rPr>
            </w:pPr>
          </w:p>
          <w:p w:rsidR="00072F21" w:rsidRPr="001C608D" w:rsidRDefault="00072F21" w:rsidP="007D6A73">
            <w:pPr>
              <w:tabs>
                <w:tab w:val="decimal" w:pos="882"/>
              </w:tabs>
              <w:spacing w:line="380" w:lineRule="exact"/>
              <w:ind w:right="61"/>
              <w:rPr>
                <w:rFonts w:ascii="Arial" w:hAnsi="Arial" w:cs="Arial"/>
                <w:color w:val="000000"/>
                <w:sz w:val="22"/>
                <w:szCs w:val="22"/>
                <w:cs/>
                <w:lang w:val="en-US"/>
              </w:rPr>
            </w:pPr>
          </w:p>
          <w:p w:rsidR="00072F21" w:rsidRPr="001C608D" w:rsidRDefault="006E53DB" w:rsidP="007D6A73">
            <w:pPr>
              <w:tabs>
                <w:tab w:val="decimal" w:pos="882"/>
              </w:tabs>
              <w:spacing w:line="380" w:lineRule="exact"/>
              <w:ind w:right="61"/>
              <w:rPr>
                <w:rFonts w:ascii="Arial" w:hAnsi="Arial" w:cs="Arial"/>
                <w:color w:val="000000"/>
                <w:sz w:val="22"/>
                <w:szCs w:val="22"/>
                <w:cs/>
                <w:lang w:val="en-US"/>
              </w:rPr>
            </w:pPr>
            <w:r w:rsidRPr="001C608D">
              <w:rPr>
                <w:rFonts w:ascii="Arial" w:hAnsi="Arial" w:cs="Arial"/>
                <w:color w:val="000000"/>
                <w:sz w:val="22"/>
                <w:szCs w:val="22"/>
                <w:cs/>
                <w:lang w:val="en-US"/>
              </w:rPr>
              <w:t>-</w:t>
            </w:r>
          </w:p>
        </w:tc>
      </w:tr>
      <w:tr w:rsidR="00072F21" w:rsidRPr="001C608D" w:rsidTr="0015492F">
        <w:trPr>
          <w:trHeight w:val="444"/>
        </w:trPr>
        <w:tc>
          <w:tcPr>
            <w:tcW w:w="3960" w:type="dxa"/>
            <w:shd w:val="clear" w:color="auto" w:fill="auto"/>
          </w:tcPr>
          <w:p w:rsidR="00072F21" w:rsidRPr="001C608D" w:rsidRDefault="00072F21" w:rsidP="007D6A73">
            <w:pPr>
              <w:spacing w:line="380" w:lineRule="exact"/>
              <w:ind w:left="792" w:hanging="792"/>
              <w:rPr>
                <w:rFonts w:ascii="Arial" w:hAnsi="Arial" w:cs="Arial"/>
                <w:color w:val="000000"/>
                <w:sz w:val="22"/>
                <w:szCs w:val="22"/>
                <w:lang w:val="en-US"/>
              </w:rPr>
            </w:pPr>
            <w:r w:rsidRPr="001C608D">
              <w:rPr>
                <w:rFonts w:ascii="Arial" w:hAnsi="Arial" w:cs="Arial"/>
                <w:color w:val="000000"/>
                <w:sz w:val="22"/>
                <w:szCs w:val="22"/>
                <w:lang w:val="en-US"/>
              </w:rPr>
              <w:t>Less: Interest received</w:t>
            </w:r>
            <w:r w:rsidR="00987B99" w:rsidRPr="001C608D">
              <w:rPr>
                <w:rFonts w:ascii="Arial" w:hAnsi="Arial" w:cs="Arial"/>
                <w:color w:val="000000"/>
                <w:sz w:val="22"/>
                <w:szCs w:val="22"/>
                <w:lang w:val="en-US"/>
              </w:rPr>
              <w:t xml:space="preserve"> which is regarded</w:t>
            </w:r>
            <w:r w:rsidRPr="001C608D">
              <w:rPr>
                <w:rFonts w:ascii="Arial" w:hAnsi="Arial" w:cs="Arial"/>
                <w:color w:val="000000"/>
                <w:sz w:val="22"/>
                <w:szCs w:val="22"/>
                <w:lang w:val="en-US"/>
              </w:rPr>
              <w:t xml:space="preserve"> </w:t>
            </w:r>
            <w:r w:rsidR="00987B99" w:rsidRPr="001C608D">
              <w:rPr>
                <w:rFonts w:ascii="Arial" w:hAnsi="Arial" w:cs="Arial"/>
                <w:color w:val="000000"/>
                <w:sz w:val="22"/>
                <w:szCs w:val="22"/>
                <w:lang w:val="en-US"/>
              </w:rPr>
              <w:t>as loan</w:t>
            </w:r>
            <w:r w:rsidR="007D6A73" w:rsidRPr="001C608D">
              <w:rPr>
                <w:rFonts w:ascii="Arial" w:hAnsi="Arial" w:cstheme="minorBidi" w:hint="cs"/>
                <w:color w:val="000000"/>
                <w:sz w:val="22"/>
                <w:szCs w:val="22"/>
                <w:cs/>
                <w:lang w:val="en-US"/>
              </w:rPr>
              <w:t xml:space="preserve"> </w:t>
            </w:r>
            <w:r w:rsidRPr="001C608D">
              <w:rPr>
                <w:rFonts w:ascii="Arial" w:hAnsi="Arial" w:cs="Arial"/>
                <w:color w:val="000000"/>
                <w:sz w:val="22"/>
                <w:szCs w:val="22"/>
                <w:lang w:val="en-US"/>
              </w:rPr>
              <w:t>repayment</w:t>
            </w:r>
          </w:p>
        </w:tc>
        <w:tc>
          <w:tcPr>
            <w:tcW w:w="1260" w:type="dxa"/>
            <w:shd w:val="clear" w:color="auto" w:fill="auto"/>
            <w:vAlign w:val="center"/>
          </w:tcPr>
          <w:p w:rsidR="00072F21" w:rsidRPr="001C608D" w:rsidRDefault="00072F21" w:rsidP="007D6A73">
            <w:pPr>
              <w:pBdr>
                <w:bottom w:val="single" w:sz="4" w:space="1" w:color="auto"/>
              </w:pBdr>
              <w:tabs>
                <w:tab w:val="decimal" w:pos="882"/>
              </w:tabs>
              <w:spacing w:line="380" w:lineRule="exact"/>
              <w:ind w:right="61"/>
              <w:rPr>
                <w:rFonts w:ascii="Arial" w:hAnsi="Arial" w:cs="Arial"/>
                <w:color w:val="000000"/>
                <w:sz w:val="22"/>
                <w:szCs w:val="22"/>
                <w:lang w:val="en-US"/>
              </w:rPr>
            </w:pPr>
          </w:p>
          <w:p w:rsidR="00072F21" w:rsidRPr="001C608D" w:rsidRDefault="00072F21" w:rsidP="007D6A73">
            <w:pPr>
              <w:pBdr>
                <w:bottom w:val="single" w:sz="4" w:space="1" w:color="auto"/>
              </w:pBdr>
              <w:tabs>
                <w:tab w:val="decimal" w:pos="882"/>
              </w:tabs>
              <w:spacing w:line="380" w:lineRule="exact"/>
              <w:ind w:right="61"/>
              <w:rPr>
                <w:rFonts w:ascii="Arial" w:hAnsi="Arial" w:cs="Arial"/>
                <w:color w:val="000000"/>
                <w:sz w:val="22"/>
                <w:szCs w:val="22"/>
                <w:cs/>
                <w:lang w:val="en-US"/>
              </w:rPr>
            </w:pPr>
            <w:r w:rsidRPr="001C608D">
              <w:rPr>
                <w:rFonts w:ascii="Arial" w:hAnsi="Arial" w:cs="Arial"/>
                <w:color w:val="000000"/>
                <w:sz w:val="22"/>
                <w:szCs w:val="22"/>
                <w:cs/>
                <w:lang w:val="en-US"/>
              </w:rPr>
              <w:t>(</w:t>
            </w:r>
            <w:r w:rsidR="000330F9" w:rsidRPr="001C608D">
              <w:rPr>
                <w:rFonts w:ascii="Arial" w:hAnsi="Arial" w:cs="Arial"/>
                <w:color w:val="000000"/>
                <w:sz w:val="22"/>
                <w:szCs w:val="22"/>
                <w:cs/>
                <w:lang w:val="en-US"/>
              </w:rPr>
              <w:t>349</w:t>
            </w:r>
            <w:r w:rsidRPr="001C608D">
              <w:rPr>
                <w:rFonts w:ascii="Arial" w:hAnsi="Arial" w:cs="Arial"/>
                <w:color w:val="000000"/>
                <w:sz w:val="22"/>
                <w:szCs w:val="22"/>
                <w:cs/>
                <w:lang w:val="en-US"/>
              </w:rPr>
              <w:t>)</w:t>
            </w:r>
          </w:p>
        </w:tc>
        <w:tc>
          <w:tcPr>
            <w:tcW w:w="1260" w:type="dxa"/>
            <w:shd w:val="clear" w:color="auto" w:fill="auto"/>
            <w:vAlign w:val="center"/>
          </w:tcPr>
          <w:p w:rsidR="00072F21" w:rsidRPr="001C608D" w:rsidRDefault="00072F21" w:rsidP="007D6A73">
            <w:pPr>
              <w:pBdr>
                <w:bottom w:val="single" w:sz="4" w:space="1" w:color="auto"/>
              </w:pBdr>
              <w:tabs>
                <w:tab w:val="decimal" w:pos="882"/>
              </w:tabs>
              <w:spacing w:line="380" w:lineRule="exact"/>
              <w:ind w:right="61"/>
              <w:rPr>
                <w:rFonts w:ascii="Arial" w:hAnsi="Arial" w:cs="Arial"/>
                <w:color w:val="000000"/>
                <w:sz w:val="22"/>
                <w:szCs w:val="22"/>
                <w:cs/>
                <w:lang w:val="en-US"/>
              </w:rPr>
            </w:pPr>
          </w:p>
          <w:p w:rsidR="00072F21" w:rsidRPr="001C608D" w:rsidRDefault="00072F21" w:rsidP="007D6A73">
            <w:pPr>
              <w:pBdr>
                <w:bottom w:val="single" w:sz="4" w:space="1" w:color="auto"/>
              </w:pBdr>
              <w:tabs>
                <w:tab w:val="decimal" w:pos="882"/>
              </w:tabs>
              <w:spacing w:line="380" w:lineRule="exact"/>
              <w:ind w:right="61"/>
              <w:rPr>
                <w:rFonts w:ascii="Arial" w:hAnsi="Arial" w:cs="Arial"/>
                <w:color w:val="000000"/>
                <w:sz w:val="22"/>
                <w:szCs w:val="22"/>
                <w:cs/>
                <w:lang w:val="en-US"/>
              </w:rPr>
            </w:pPr>
            <w:r w:rsidRPr="001C608D">
              <w:rPr>
                <w:rFonts w:ascii="Arial" w:hAnsi="Arial" w:cs="Arial"/>
                <w:color w:val="000000"/>
                <w:sz w:val="22"/>
                <w:szCs w:val="22"/>
                <w:cs/>
                <w:lang w:val="en-US"/>
              </w:rPr>
              <w:t>(</w:t>
            </w:r>
            <w:r w:rsidR="006E53DB" w:rsidRPr="001C608D">
              <w:rPr>
                <w:rFonts w:ascii="Arial" w:hAnsi="Arial" w:cs="Arial"/>
                <w:color w:val="000000"/>
                <w:sz w:val="22"/>
                <w:szCs w:val="22"/>
                <w:cs/>
                <w:lang w:val="en-US"/>
              </w:rPr>
              <w:t>122</w:t>
            </w:r>
            <w:r w:rsidRPr="001C608D">
              <w:rPr>
                <w:rFonts w:ascii="Arial" w:hAnsi="Arial" w:cs="Arial"/>
                <w:color w:val="000000"/>
                <w:sz w:val="22"/>
                <w:szCs w:val="22"/>
                <w:cs/>
                <w:lang w:val="en-US"/>
              </w:rPr>
              <w:t>)</w:t>
            </w:r>
          </w:p>
        </w:tc>
        <w:tc>
          <w:tcPr>
            <w:tcW w:w="1260" w:type="dxa"/>
            <w:vAlign w:val="center"/>
          </w:tcPr>
          <w:p w:rsidR="00072F21" w:rsidRPr="001C608D" w:rsidRDefault="00072F21" w:rsidP="007D6A73">
            <w:pPr>
              <w:pBdr>
                <w:bottom w:val="single" w:sz="4" w:space="1" w:color="auto"/>
              </w:pBdr>
              <w:tabs>
                <w:tab w:val="decimal" w:pos="882"/>
              </w:tabs>
              <w:spacing w:line="380" w:lineRule="exact"/>
              <w:ind w:right="61"/>
              <w:rPr>
                <w:rFonts w:ascii="Arial" w:hAnsi="Arial" w:cs="Arial"/>
                <w:color w:val="000000"/>
                <w:sz w:val="22"/>
                <w:szCs w:val="22"/>
                <w:cs/>
                <w:lang w:val="en-US"/>
              </w:rPr>
            </w:pPr>
          </w:p>
          <w:p w:rsidR="00072F21" w:rsidRPr="001C608D" w:rsidRDefault="00072F21" w:rsidP="007D6A73">
            <w:pPr>
              <w:pBdr>
                <w:bottom w:val="single" w:sz="4" w:space="1" w:color="auto"/>
              </w:pBdr>
              <w:tabs>
                <w:tab w:val="decimal" w:pos="882"/>
              </w:tabs>
              <w:spacing w:line="380" w:lineRule="exact"/>
              <w:ind w:right="61"/>
              <w:rPr>
                <w:rFonts w:ascii="Arial" w:hAnsi="Arial" w:cs="Arial"/>
                <w:color w:val="000000"/>
                <w:sz w:val="22"/>
                <w:szCs w:val="22"/>
                <w:cs/>
                <w:lang w:val="en-US"/>
              </w:rPr>
            </w:pPr>
            <w:r w:rsidRPr="001C608D">
              <w:rPr>
                <w:rFonts w:ascii="Arial" w:hAnsi="Arial" w:cs="Arial"/>
                <w:color w:val="000000"/>
                <w:sz w:val="22"/>
                <w:szCs w:val="22"/>
                <w:cs/>
                <w:lang w:val="en-US"/>
              </w:rPr>
              <w:t>-</w:t>
            </w:r>
          </w:p>
        </w:tc>
      </w:tr>
      <w:tr w:rsidR="00072F21" w:rsidRPr="001C608D" w:rsidTr="0015492F">
        <w:trPr>
          <w:trHeight w:val="198"/>
        </w:trPr>
        <w:tc>
          <w:tcPr>
            <w:tcW w:w="3960" w:type="dxa"/>
            <w:shd w:val="clear" w:color="auto" w:fill="auto"/>
          </w:tcPr>
          <w:p w:rsidR="00072F21" w:rsidRPr="001C608D" w:rsidRDefault="00072F21" w:rsidP="007D6A73">
            <w:pPr>
              <w:spacing w:line="380" w:lineRule="exact"/>
              <w:ind w:left="162" w:hanging="162"/>
              <w:rPr>
                <w:rFonts w:ascii="Arial" w:hAnsi="Arial" w:cs="Arial"/>
                <w:color w:val="000000"/>
                <w:sz w:val="22"/>
                <w:szCs w:val="22"/>
                <w:cs/>
              </w:rPr>
            </w:pPr>
          </w:p>
        </w:tc>
        <w:tc>
          <w:tcPr>
            <w:tcW w:w="1260" w:type="dxa"/>
            <w:shd w:val="clear" w:color="auto" w:fill="auto"/>
            <w:vAlign w:val="center"/>
          </w:tcPr>
          <w:p w:rsidR="00072F21" w:rsidRPr="001C608D" w:rsidRDefault="006E53DB" w:rsidP="007D6A73">
            <w:pPr>
              <w:tabs>
                <w:tab w:val="decimal" w:pos="882"/>
              </w:tabs>
              <w:spacing w:line="380" w:lineRule="exact"/>
              <w:ind w:right="61"/>
              <w:rPr>
                <w:rFonts w:ascii="Arial" w:hAnsi="Arial" w:cs="Arial"/>
                <w:color w:val="000000"/>
                <w:sz w:val="22"/>
                <w:szCs w:val="22"/>
                <w:cs/>
                <w:lang w:val="en-US"/>
              </w:rPr>
            </w:pPr>
            <w:r w:rsidRPr="001C608D">
              <w:rPr>
                <w:rFonts w:ascii="Arial" w:hAnsi="Arial" w:cs="Arial"/>
                <w:color w:val="000000"/>
                <w:sz w:val="22"/>
                <w:szCs w:val="22"/>
                <w:cs/>
                <w:lang w:val="en-US"/>
              </w:rPr>
              <w:t>591</w:t>
            </w:r>
          </w:p>
        </w:tc>
        <w:tc>
          <w:tcPr>
            <w:tcW w:w="1260" w:type="dxa"/>
            <w:shd w:val="clear" w:color="auto" w:fill="auto"/>
            <w:vAlign w:val="center"/>
          </w:tcPr>
          <w:p w:rsidR="00072F21" w:rsidRPr="001C608D" w:rsidRDefault="00072F21" w:rsidP="007D6A73">
            <w:pPr>
              <w:tabs>
                <w:tab w:val="decimal" w:pos="882"/>
              </w:tabs>
              <w:spacing w:line="380" w:lineRule="exact"/>
              <w:ind w:right="61"/>
              <w:rPr>
                <w:rFonts w:ascii="Arial" w:hAnsi="Arial" w:cs="Arial"/>
                <w:color w:val="000000"/>
                <w:sz w:val="22"/>
                <w:szCs w:val="22"/>
                <w:lang w:val="en-US"/>
              </w:rPr>
            </w:pPr>
            <w:r w:rsidRPr="001C608D">
              <w:rPr>
                <w:rFonts w:ascii="Arial" w:hAnsi="Arial" w:cs="Arial"/>
                <w:color w:val="000000"/>
                <w:sz w:val="22"/>
                <w:szCs w:val="22"/>
                <w:cs/>
                <w:lang w:val="en-US"/>
              </w:rPr>
              <w:t>1,81</w:t>
            </w:r>
            <w:r w:rsidR="006E53DB" w:rsidRPr="001C608D">
              <w:rPr>
                <w:rFonts w:ascii="Arial" w:hAnsi="Arial" w:cs="Arial"/>
                <w:color w:val="000000"/>
                <w:sz w:val="22"/>
                <w:szCs w:val="22"/>
                <w:cs/>
                <w:lang w:val="en-US"/>
              </w:rPr>
              <w:t>6</w:t>
            </w:r>
          </w:p>
        </w:tc>
        <w:tc>
          <w:tcPr>
            <w:tcW w:w="1260" w:type="dxa"/>
            <w:vAlign w:val="center"/>
          </w:tcPr>
          <w:p w:rsidR="00072F21" w:rsidRPr="001C608D" w:rsidRDefault="00072F21" w:rsidP="007D6A73">
            <w:pPr>
              <w:tabs>
                <w:tab w:val="decimal" w:pos="882"/>
              </w:tabs>
              <w:spacing w:line="380" w:lineRule="exact"/>
              <w:ind w:right="61"/>
              <w:rPr>
                <w:rFonts w:ascii="Arial" w:hAnsi="Arial" w:cs="Arial"/>
                <w:color w:val="000000"/>
                <w:sz w:val="22"/>
                <w:szCs w:val="22"/>
                <w:cs/>
                <w:lang w:val="en-US"/>
              </w:rPr>
            </w:pPr>
            <w:r w:rsidRPr="001C608D">
              <w:rPr>
                <w:rFonts w:ascii="Arial" w:hAnsi="Arial" w:cs="Arial"/>
                <w:color w:val="000000"/>
                <w:sz w:val="22"/>
                <w:szCs w:val="22"/>
                <w:cs/>
                <w:lang w:val="en-US"/>
              </w:rPr>
              <w:t>1,15</w:t>
            </w:r>
            <w:r w:rsidR="006E53DB" w:rsidRPr="001C608D">
              <w:rPr>
                <w:rFonts w:ascii="Arial" w:hAnsi="Arial" w:cs="Arial"/>
                <w:color w:val="000000"/>
                <w:sz w:val="22"/>
                <w:szCs w:val="22"/>
                <w:cs/>
                <w:lang w:val="en-US"/>
              </w:rPr>
              <w:t>8</w:t>
            </w:r>
          </w:p>
        </w:tc>
      </w:tr>
      <w:tr w:rsidR="00072F21" w:rsidRPr="001C608D" w:rsidTr="0015492F">
        <w:trPr>
          <w:trHeight w:val="444"/>
        </w:trPr>
        <w:tc>
          <w:tcPr>
            <w:tcW w:w="3960" w:type="dxa"/>
            <w:shd w:val="clear" w:color="auto" w:fill="auto"/>
          </w:tcPr>
          <w:p w:rsidR="00072F21" w:rsidRPr="001C608D" w:rsidRDefault="00072F21" w:rsidP="007D6A73">
            <w:pPr>
              <w:spacing w:line="380" w:lineRule="exact"/>
              <w:ind w:left="162" w:hanging="162"/>
              <w:rPr>
                <w:rFonts w:ascii="Arial" w:hAnsi="Arial" w:cstheme="minorBidi"/>
                <w:color w:val="000000"/>
                <w:sz w:val="22"/>
                <w:szCs w:val="22"/>
                <w:lang w:val="en-US"/>
              </w:rPr>
            </w:pPr>
            <w:r w:rsidRPr="001C608D">
              <w:rPr>
                <w:rFonts w:ascii="Arial" w:hAnsi="Arial" w:cs="Arial"/>
                <w:color w:val="000000"/>
                <w:sz w:val="22"/>
                <w:szCs w:val="22"/>
                <w:cs/>
              </w:rPr>
              <w:t>Provision for loss</w:t>
            </w:r>
            <w:r w:rsidR="00367BCC" w:rsidRPr="001C608D">
              <w:rPr>
                <w:rFonts w:ascii="Arial" w:hAnsi="Arial" w:cstheme="minorBidi" w:hint="cs"/>
                <w:color w:val="000000"/>
                <w:sz w:val="22"/>
                <w:szCs w:val="22"/>
                <w:cs/>
              </w:rPr>
              <w:t xml:space="preserve"> </w:t>
            </w:r>
            <w:r w:rsidR="00367BCC" w:rsidRPr="001C608D">
              <w:rPr>
                <w:rFonts w:ascii="Arial" w:hAnsi="Arial" w:cstheme="minorBidi"/>
                <w:color w:val="000000"/>
                <w:sz w:val="22"/>
                <w:szCs w:val="22"/>
                <w:lang w:val="en-US"/>
              </w:rPr>
              <w:t>as restated</w:t>
            </w:r>
          </w:p>
        </w:tc>
        <w:tc>
          <w:tcPr>
            <w:tcW w:w="1260" w:type="dxa"/>
            <w:shd w:val="clear" w:color="auto" w:fill="auto"/>
            <w:vAlign w:val="center"/>
          </w:tcPr>
          <w:p w:rsidR="00072F21" w:rsidRPr="001C608D" w:rsidRDefault="00072F21" w:rsidP="007D6A73">
            <w:pPr>
              <w:pBdr>
                <w:bottom w:val="single" w:sz="4" w:space="1" w:color="auto"/>
              </w:pBdr>
              <w:tabs>
                <w:tab w:val="decimal" w:pos="882"/>
              </w:tabs>
              <w:spacing w:line="380" w:lineRule="exact"/>
              <w:ind w:right="61"/>
              <w:rPr>
                <w:rFonts w:ascii="Arial" w:hAnsi="Arial" w:cs="Arial"/>
                <w:color w:val="000000"/>
                <w:sz w:val="22"/>
                <w:szCs w:val="22"/>
                <w:cs/>
                <w:lang w:val="en-US"/>
              </w:rPr>
            </w:pPr>
            <w:r w:rsidRPr="001C608D">
              <w:rPr>
                <w:rFonts w:ascii="Arial" w:hAnsi="Arial" w:cs="Arial"/>
                <w:color w:val="000000"/>
                <w:sz w:val="22"/>
                <w:szCs w:val="22"/>
                <w:cs/>
                <w:lang w:val="en-US"/>
              </w:rPr>
              <w:t>(</w:t>
            </w:r>
            <w:r w:rsidR="006E53DB" w:rsidRPr="001C608D">
              <w:rPr>
                <w:rFonts w:ascii="Arial" w:hAnsi="Arial" w:cs="Arial"/>
                <w:color w:val="000000"/>
                <w:sz w:val="22"/>
                <w:szCs w:val="22"/>
                <w:cs/>
                <w:lang w:val="en-US"/>
              </w:rPr>
              <w:t>591</w:t>
            </w:r>
            <w:r w:rsidRPr="001C608D">
              <w:rPr>
                <w:rFonts w:ascii="Arial" w:hAnsi="Arial" w:cs="Arial"/>
                <w:color w:val="000000"/>
                <w:sz w:val="22"/>
                <w:szCs w:val="22"/>
                <w:cs/>
                <w:lang w:val="en-US"/>
              </w:rPr>
              <w:t>)</w:t>
            </w:r>
          </w:p>
        </w:tc>
        <w:tc>
          <w:tcPr>
            <w:tcW w:w="1260" w:type="dxa"/>
            <w:shd w:val="clear" w:color="auto" w:fill="auto"/>
            <w:vAlign w:val="center"/>
          </w:tcPr>
          <w:p w:rsidR="00072F21" w:rsidRPr="001C608D" w:rsidRDefault="00072F21" w:rsidP="007D6A73">
            <w:pPr>
              <w:pBdr>
                <w:bottom w:val="single" w:sz="4" w:space="1" w:color="auto"/>
              </w:pBdr>
              <w:tabs>
                <w:tab w:val="decimal" w:pos="882"/>
              </w:tabs>
              <w:spacing w:line="380" w:lineRule="exact"/>
              <w:ind w:right="61"/>
              <w:rPr>
                <w:rFonts w:ascii="Arial" w:hAnsi="Arial" w:cs="Arial"/>
                <w:color w:val="000000"/>
                <w:sz w:val="22"/>
                <w:szCs w:val="22"/>
                <w:cs/>
                <w:lang w:val="en-US"/>
              </w:rPr>
            </w:pPr>
            <w:r w:rsidRPr="001C608D">
              <w:rPr>
                <w:rFonts w:ascii="Arial" w:hAnsi="Arial" w:cs="Arial"/>
                <w:color w:val="000000"/>
                <w:sz w:val="22"/>
                <w:szCs w:val="22"/>
                <w:cs/>
                <w:lang w:val="en-US"/>
              </w:rPr>
              <w:t>-</w:t>
            </w:r>
          </w:p>
        </w:tc>
        <w:tc>
          <w:tcPr>
            <w:tcW w:w="1260" w:type="dxa"/>
            <w:vAlign w:val="center"/>
          </w:tcPr>
          <w:p w:rsidR="00072F21" w:rsidRPr="001C608D" w:rsidRDefault="00072F21" w:rsidP="007D6A73">
            <w:pPr>
              <w:pBdr>
                <w:bottom w:val="single" w:sz="4" w:space="1" w:color="auto"/>
              </w:pBdr>
              <w:tabs>
                <w:tab w:val="decimal" w:pos="882"/>
              </w:tabs>
              <w:spacing w:line="380" w:lineRule="exact"/>
              <w:ind w:right="61"/>
              <w:rPr>
                <w:rFonts w:ascii="Arial" w:hAnsi="Arial" w:cs="Arial"/>
                <w:color w:val="000000"/>
                <w:sz w:val="22"/>
                <w:szCs w:val="22"/>
                <w:cs/>
                <w:lang w:val="en-US"/>
              </w:rPr>
            </w:pPr>
            <w:r w:rsidRPr="001C608D">
              <w:rPr>
                <w:rFonts w:ascii="Arial" w:hAnsi="Arial" w:cs="Arial"/>
                <w:color w:val="000000"/>
                <w:sz w:val="22"/>
                <w:szCs w:val="22"/>
                <w:cs/>
                <w:lang w:val="en-US"/>
              </w:rPr>
              <w:t>-</w:t>
            </w:r>
          </w:p>
        </w:tc>
      </w:tr>
      <w:tr w:rsidR="00072F21" w:rsidRPr="001C608D" w:rsidTr="0015492F">
        <w:trPr>
          <w:trHeight w:val="639"/>
        </w:trPr>
        <w:tc>
          <w:tcPr>
            <w:tcW w:w="3960" w:type="dxa"/>
            <w:shd w:val="clear" w:color="auto" w:fill="auto"/>
          </w:tcPr>
          <w:p w:rsidR="00072F21" w:rsidRPr="001C608D" w:rsidRDefault="006F0076" w:rsidP="006D1135">
            <w:pPr>
              <w:spacing w:line="380" w:lineRule="exact"/>
              <w:ind w:left="162" w:hanging="162"/>
              <w:rPr>
                <w:rFonts w:ascii="Arial" w:hAnsi="Arial" w:cs="Arial"/>
                <w:color w:val="000000"/>
                <w:sz w:val="22"/>
                <w:szCs w:val="22"/>
                <w:cs/>
              </w:rPr>
            </w:pPr>
            <w:r w:rsidRPr="001C608D">
              <w:rPr>
                <w:rFonts w:ascii="Arial" w:hAnsi="Arial" w:cs="Arial"/>
                <w:color w:val="000000"/>
                <w:sz w:val="22"/>
                <w:szCs w:val="22"/>
                <w:cs/>
              </w:rPr>
              <w:t>Disputed</w:t>
            </w:r>
            <w:r w:rsidRPr="001C608D">
              <w:rPr>
                <w:rFonts w:ascii="Arial" w:hAnsi="Arial" w:cs="Arial"/>
                <w:color w:val="000000"/>
                <w:sz w:val="22"/>
                <w:szCs w:val="22"/>
                <w:lang w:val="en-US"/>
              </w:rPr>
              <w:t xml:space="preserve"> loans </w:t>
            </w:r>
            <w:r w:rsidR="009B4FB7" w:rsidRPr="001C608D">
              <w:rPr>
                <w:rFonts w:ascii="Arial" w:hAnsi="Arial" w:cs="Arial"/>
                <w:color w:val="000000"/>
                <w:sz w:val="22"/>
                <w:szCs w:val="22"/>
                <w:lang w:val="en-US"/>
              </w:rPr>
              <w:t>(as alleged by the SEC)</w:t>
            </w:r>
            <w:r w:rsidR="009B4FB7" w:rsidRPr="001C608D">
              <w:rPr>
                <w:rFonts w:ascii="Arial" w:hAnsi="Arial" w:cs="Arial"/>
                <w:color w:val="000000"/>
                <w:sz w:val="22"/>
                <w:szCs w:val="22"/>
                <w:cs/>
              </w:rPr>
              <w:t xml:space="preserve"> </w:t>
            </w:r>
            <w:r w:rsidR="006E53DB" w:rsidRPr="001C608D">
              <w:rPr>
                <w:rFonts w:ascii="Arial" w:hAnsi="Arial" w:cs="Arial"/>
                <w:color w:val="000000"/>
                <w:sz w:val="22"/>
                <w:szCs w:val="22"/>
                <w:cs/>
              </w:rPr>
              <w:t>as restated</w:t>
            </w:r>
          </w:p>
        </w:tc>
        <w:tc>
          <w:tcPr>
            <w:tcW w:w="1260" w:type="dxa"/>
            <w:shd w:val="clear" w:color="auto" w:fill="auto"/>
            <w:vAlign w:val="bottom"/>
          </w:tcPr>
          <w:p w:rsidR="006E53DB" w:rsidRPr="001C608D" w:rsidRDefault="006E53DB" w:rsidP="007D6A73">
            <w:pPr>
              <w:pBdr>
                <w:bottom w:val="double" w:sz="4" w:space="1" w:color="auto"/>
              </w:pBdr>
              <w:tabs>
                <w:tab w:val="decimal" w:pos="882"/>
              </w:tabs>
              <w:spacing w:line="380" w:lineRule="exact"/>
              <w:ind w:right="61"/>
              <w:rPr>
                <w:rFonts w:ascii="Arial" w:hAnsi="Arial" w:cs="Arial"/>
                <w:color w:val="000000"/>
                <w:sz w:val="22"/>
                <w:szCs w:val="22"/>
                <w:lang w:val="en-US"/>
              </w:rPr>
            </w:pPr>
          </w:p>
          <w:p w:rsidR="00072F21" w:rsidRPr="001C608D" w:rsidRDefault="00072F21" w:rsidP="007D6A73">
            <w:pPr>
              <w:pBdr>
                <w:bottom w:val="double" w:sz="4" w:space="1" w:color="auto"/>
              </w:pBdr>
              <w:tabs>
                <w:tab w:val="decimal" w:pos="882"/>
              </w:tabs>
              <w:spacing w:line="380" w:lineRule="exact"/>
              <w:ind w:right="61"/>
              <w:rPr>
                <w:rFonts w:ascii="Arial" w:hAnsi="Arial" w:cs="Arial"/>
                <w:color w:val="000000"/>
                <w:sz w:val="22"/>
                <w:szCs w:val="22"/>
                <w:cs/>
                <w:lang w:val="en-US"/>
              </w:rPr>
            </w:pPr>
            <w:r w:rsidRPr="001C608D">
              <w:rPr>
                <w:rFonts w:ascii="Arial" w:hAnsi="Arial" w:cs="Arial"/>
                <w:color w:val="000000"/>
                <w:sz w:val="22"/>
                <w:szCs w:val="22"/>
                <w:cs/>
                <w:lang w:val="en-US"/>
              </w:rPr>
              <w:t>-</w:t>
            </w:r>
          </w:p>
        </w:tc>
        <w:tc>
          <w:tcPr>
            <w:tcW w:w="1260" w:type="dxa"/>
            <w:shd w:val="clear" w:color="auto" w:fill="auto"/>
            <w:vAlign w:val="bottom"/>
          </w:tcPr>
          <w:p w:rsidR="006E53DB" w:rsidRPr="001C608D" w:rsidRDefault="006E53DB" w:rsidP="007D6A73">
            <w:pPr>
              <w:pBdr>
                <w:bottom w:val="double" w:sz="4" w:space="1" w:color="auto"/>
              </w:pBdr>
              <w:tabs>
                <w:tab w:val="decimal" w:pos="882"/>
              </w:tabs>
              <w:spacing w:line="380" w:lineRule="exact"/>
              <w:ind w:right="61"/>
              <w:rPr>
                <w:rFonts w:ascii="Arial" w:hAnsi="Arial" w:cs="Arial"/>
                <w:color w:val="000000"/>
                <w:sz w:val="22"/>
                <w:szCs w:val="22"/>
                <w:cs/>
                <w:lang w:val="en-US"/>
              </w:rPr>
            </w:pPr>
          </w:p>
          <w:p w:rsidR="00072F21" w:rsidRPr="001C608D" w:rsidRDefault="00072F21" w:rsidP="007D6A73">
            <w:pPr>
              <w:pBdr>
                <w:bottom w:val="double" w:sz="4" w:space="1" w:color="auto"/>
              </w:pBdr>
              <w:tabs>
                <w:tab w:val="decimal" w:pos="882"/>
              </w:tabs>
              <w:spacing w:line="380" w:lineRule="exact"/>
              <w:ind w:right="61"/>
              <w:rPr>
                <w:rFonts w:ascii="Arial" w:hAnsi="Arial" w:cs="Arial"/>
                <w:color w:val="000000"/>
                <w:sz w:val="22"/>
                <w:szCs w:val="22"/>
                <w:cs/>
                <w:lang w:val="en-US"/>
              </w:rPr>
            </w:pPr>
            <w:r w:rsidRPr="001C608D">
              <w:rPr>
                <w:rFonts w:ascii="Arial" w:hAnsi="Arial" w:cs="Arial"/>
                <w:color w:val="000000"/>
                <w:sz w:val="22"/>
                <w:szCs w:val="22"/>
                <w:cs/>
                <w:lang w:val="en-US"/>
              </w:rPr>
              <w:t>1,81</w:t>
            </w:r>
            <w:r w:rsidR="006E53DB" w:rsidRPr="001C608D">
              <w:rPr>
                <w:rFonts w:ascii="Arial" w:hAnsi="Arial" w:cs="Arial"/>
                <w:color w:val="000000"/>
                <w:sz w:val="22"/>
                <w:szCs w:val="22"/>
                <w:cs/>
                <w:lang w:val="en-US"/>
              </w:rPr>
              <w:t>6</w:t>
            </w:r>
          </w:p>
        </w:tc>
        <w:tc>
          <w:tcPr>
            <w:tcW w:w="1260" w:type="dxa"/>
            <w:vAlign w:val="bottom"/>
          </w:tcPr>
          <w:p w:rsidR="006E53DB" w:rsidRPr="001C608D" w:rsidRDefault="006E53DB" w:rsidP="007D6A73">
            <w:pPr>
              <w:pBdr>
                <w:bottom w:val="double" w:sz="4" w:space="1" w:color="auto"/>
              </w:pBdr>
              <w:tabs>
                <w:tab w:val="decimal" w:pos="882"/>
              </w:tabs>
              <w:spacing w:line="380" w:lineRule="exact"/>
              <w:ind w:right="61"/>
              <w:rPr>
                <w:rFonts w:ascii="Arial" w:hAnsi="Arial" w:cs="Arial"/>
                <w:color w:val="000000"/>
                <w:sz w:val="22"/>
                <w:szCs w:val="22"/>
                <w:cs/>
                <w:lang w:val="en-US"/>
              </w:rPr>
            </w:pPr>
          </w:p>
          <w:p w:rsidR="00072F21" w:rsidRPr="001C608D" w:rsidRDefault="00072F21" w:rsidP="007D6A73">
            <w:pPr>
              <w:pBdr>
                <w:bottom w:val="double" w:sz="4" w:space="1" w:color="auto"/>
              </w:pBdr>
              <w:tabs>
                <w:tab w:val="decimal" w:pos="882"/>
              </w:tabs>
              <w:spacing w:line="380" w:lineRule="exact"/>
              <w:ind w:right="61"/>
              <w:rPr>
                <w:rFonts w:ascii="Arial" w:hAnsi="Arial" w:cs="Arial"/>
                <w:color w:val="000000"/>
                <w:sz w:val="22"/>
                <w:szCs w:val="22"/>
                <w:cs/>
                <w:lang w:val="en-US"/>
              </w:rPr>
            </w:pPr>
            <w:r w:rsidRPr="001C608D">
              <w:rPr>
                <w:rFonts w:ascii="Arial" w:hAnsi="Arial" w:cs="Arial"/>
                <w:color w:val="000000"/>
                <w:sz w:val="22"/>
                <w:szCs w:val="22"/>
                <w:cs/>
                <w:lang w:val="en-US"/>
              </w:rPr>
              <w:t>1,15</w:t>
            </w:r>
            <w:r w:rsidR="006E53DB" w:rsidRPr="001C608D">
              <w:rPr>
                <w:rFonts w:ascii="Arial" w:hAnsi="Arial" w:cs="Arial"/>
                <w:color w:val="000000"/>
                <w:sz w:val="22"/>
                <w:szCs w:val="22"/>
                <w:cs/>
                <w:lang w:val="en-US"/>
              </w:rPr>
              <w:t>8</w:t>
            </w:r>
          </w:p>
        </w:tc>
      </w:tr>
    </w:tbl>
    <w:p w:rsidR="006D1135" w:rsidRPr="001C608D" w:rsidRDefault="006D1135" w:rsidP="006D1135">
      <w:pPr>
        <w:spacing w:before="240" w:after="120" w:line="380" w:lineRule="exact"/>
        <w:ind w:left="1620"/>
        <w:rPr>
          <w:rFonts w:ascii="Arial" w:hAnsi="Arial" w:cs="Arial"/>
          <w:sz w:val="22"/>
          <w:szCs w:val="22"/>
          <w:lang w:val="en-US"/>
        </w:rPr>
      </w:pPr>
      <w:r w:rsidRPr="001C608D">
        <w:rPr>
          <w:rFonts w:ascii="Arial" w:hAnsi="Arial" w:cs="Arial"/>
          <w:sz w:val="22"/>
          <w:szCs w:val="22"/>
          <w:lang w:val="en-US"/>
        </w:rPr>
        <w:t>The revision o</w:t>
      </w:r>
      <w:r w:rsidR="00F52F4E" w:rsidRPr="001C608D">
        <w:rPr>
          <w:rFonts w:ascii="Arial" w:hAnsi="Arial" w:cs="Arial"/>
          <w:sz w:val="22"/>
          <w:szCs w:val="22"/>
          <w:lang w:val="en-US"/>
        </w:rPr>
        <w:t>f these financial statements ha</w:t>
      </w:r>
      <w:r w:rsidR="00D672BF" w:rsidRPr="001C608D">
        <w:rPr>
          <w:rFonts w:ascii="Arial" w:hAnsi="Arial" w:cs="Arial"/>
          <w:sz w:val="22"/>
          <w:szCs w:val="22"/>
          <w:lang w:val="en-US"/>
        </w:rPr>
        <w:t>s</w:t>
      </w:r>
      <w:r w:rsidRPr="001C608D">
        <w:rPr>
          <w:rFonts w:ascii="Arial" w:hAnsi="Arial" w:cs="Arial"/>
          <w:sz w:val="22"/>
          <w:szCs w:val="22"/>
          <w:lang w:val="en-US"/>
        </w:rPr>
        <w:t xml:space="preserve"> been made only on the issue as raised by the SEC i.e. by reclassification of loans as alleged by the SEC and reversal of related interest income. There is no other revision and there is no update of any subsequent events previously disclosed or adjusted in the financial statements.</w:t>
      </w:r>
    </w:p>
    <w:p w:rsidR="006D1135" w:rsidRPr="001C608D" w:rsidRDefault="006D1135">
      <w:pPr>
        <w:overflowPunct/>
        <w:autoSpaceDE/>
        <w:autoSpaceDN/>
        <w:adjustRightInd/>
        <w:spacing w:before="100" w:after="100" w:line="380" w:lineRule="exact"/>
        <w:ind w:right="-43"/>
        <w:jc w:val="both"/>
        <w:textAlignment w:val="auto"/>
        <w:rPr>
          <w:rFonts w:ascii="Arial" w:hAnsi="Arial" w:cs="Arial"/>
          <w:sz w:val="22"/>
          <w:szCs w:val="22"/>
          <w:lang w:val="en-US"/>
        </w:rPr>
      </w:pPr>
      <w:r w:rsidRPr="001C608D">
        <w:rPr>
          <w:rFonts w:ascii="Arial" w:hAnsi="Arial" w:cs="Arial"/>
          <w:sz w:val="22"/>
          <w:szCs w:val="22"/>
          <w:lang w:val="en-US"/>
        </w:rPr>
        <w:br w:type="page"/>
      </w:r>
    </w:p>
    <w:p w:rsidR="00072F21" w:rsidRPr="001C608D" w:rsidRDefault="00072F21" w:rsidP="007D6A73">
      <w:pPr>
        <w:spacing w:before="240" w:after="120" w:line="380" w:lineRule="exact"/>
        <w:ind w:left="1627" w:hanging="547"/>
        <w:rPr>
          <w:rFonts w:ascii="Arial" w:hAnsi="Arial" w:cs="Arial"/>
          <w:sz w:val="22"/>
          <w:szCs w:val="22"/>
          <w:u w:val="single"/>
          <w:lang w:val="en-US"/>
        </w:rPr>
      </w:pPr>
      <w:r w:rsidRPr="001C608D">
        <w:rPr>
          <w:rFonts w:ascii="Arial" w:hAnsi="Arial" w:cs="Arial"/>
          <w:sz w:val="22"/>
          <w:szCs w:val="22"/>
          <w:lang w:val="en-US"/>
        </w:rPr>
        <w:lastRenderedPageBreak/>
        <w:t>2)</w:t>
      </w:r>
      <w:r w:rsidRPr="001C608D">
        <w:rPr>
          <w:rFonts w:ascii="Arial" w:hAnsi="Arial" w:cs="Arial"/>
          <w:sz w:val="22"/>
          <w:szCs w:val="22"/>
          <w:lang w:val="en-US"/>
        </w:rPr>
        <w:tab/>
      </w:r>
      <w:r w:rsidRPr="001C608D">
        <w:rPr>
          <w:rFonts w:ascii="Arial" w:hAnsi="Arial" w:cs="Arial"/>
          <w:sz w:val="22"/>
          <w:szCs w:val="22"/>
          <w:u w:val="single"/>
          <w:lang w:val="en-US"/>
        </w:rPr>
        <w:t xml:space="preserve">Portion of loans granted to the same borrowers </w:t>
      </w:r>
      <w:r w:rsidR="00DD20A7" w:rsidRPr="001C608D">
        <w:rPr>
          <w:rFonts w:ascii="Arial" w:hAnsi="Arial" w:cs="Browallia New"/>
          <w:sz w:val="22"/>
          <w:szCs w:val="28"/>
          <w:u w:val="single"/>
          <w:lang w:val="en-US"/>
        </w:rPr>
        <w:t>which is</w:t>
      </w:r>
      <w:r w:rsidRPr="001C608D">
        <w:rPr>
          <w:rFonts w:ascii="Arial" w:hAnsi="Arial" w:cs="Arial"/>
          <w:sz w:val="22"/>
          <w:szCs w:val="22"/>
          <w:u w:val="single"/>
          <w:lang w:val="en-US"/>
        </w:rPr>
        <w:t xml:space="preserve"> not </w:t>
      </w:r>
      <w:r w:rsidR="00DD20A7" w:rsidRPr="001C608D">
        <w:rPr>
          <w:rFonts w:ascii="Arial" w:hAnsi="Arial" w:cs="Arial"/>
          <w:sz w:val="22"/>
          <w:szCs w:val="22"/>
          <w:u w:val="single"/>
          <w:lang w:val="en-US"/>
        </w:rPr>
        <w:t>alleged by</w:t>
      </w:r>
      <w:r w:rsidRPr="001C608D">
        <w:rPr>
          <w:rFonts w:ascii="Arial" w:hAnsi="Arial" w:cs="Arial"/>
          <w:sz w:val="22"/>
          <w:szCs w:val="22"/>
          <w:u w:val="single"/>
          <w:lang w:val="en-US"/>
        </w:rPr>
        <w:t xml:space="preserve"> SEC of USD 44 million - No amendment of past financial statements retroactively</w:t>
      </w:r>
    </w:p>
    <w:p w:rsidR="00072F21" w:rsidRPr="001C608D" w:rsidRDefault="007D6A73" w:rsidP="007D6A73">
      <w:pPr>
        <w:spacing w:before="120" w:after="120" w:line="380" w:lineRule="exact"/>
        <w:ind w:left="1627" w:hanging="547"/>
        <w:rPr>
          <w:rFonts w:ascii="Arial" w:hAnsi="Arial" w:cstheme="minorBidi"/>
          <w:sz w:val="22"/>
          <w:szCs w:val="22"/>
          <w:lang w:val="en-US"/>
        </w:rPr>
      </w:pPr>
      <w:r w:rsidRPr="001C608D">
        <w:rPr>
          <w:rFonts w:ascii="Arial" w:hAnsi="Arial" w:cstheme="minorBidi"/>
          <w:sz w:val="22"/>
          <w:szCs w:val="22"/>
          <w:cs/>
          <w:lang w:val="en-US"/>
        </w:rPr>
        <w:tab/>
      </w:r>
      <w:r w:rsidR="00072F21" w:rsidRPr="001C608D">
        <w:rPr>
          <w:rFonts w:ascii="Arial" w:hAnsi="Arial" w:cs="Arial"/>
          <w:sz w:val="22"/>
          <w:szCs w:val="22"/>
          <w:lang w:val="en-US"/>
        </w:rPr>
        <w:t>The Company has still included this portion as</w:t>
      </w:r>
      <w:r w:rsidR="00DD20A7" w:rsidRPr="001C608D">
        <w:rPr>
          <w:rFonts w:ascii="Arial" w:hAnsi="Arial" w:cs="Arial"/>
          <w:sz w:val="22"/>
          <w:szCs w:val="22"/>
          <w:lang w:val="en-US"/>
        </w:rPr>
        <w:t xml:space="preserve"> normal</w:t>
      </w:r>
      <w:r w:rsidR="00072F21" w:rsidRPr="001C608D">
        <w:rPr>
          <w:rFonts w:ascii="Arial" w:hAnsi="Arial" w:cs="Arial"/>
          <w:sz w:val="22"/>
          <w:szCs w:val="22"/>
          <w:lang w:val="en-US"/>
        </w:rPr>
        <w:t xml:space="preserve"> loans in the statement of financial position and recognised interest income in the past financial</w:t>
      </w:r>
      <w:r w:rsidR="00DD20A7" w:rsidRPr="001C608D">
        <w:rPr>
          <w:rFonts w:ascii="Arial" w:hAnsi="Arial" w:cs="Arial"/>
          <w:sz w:val="22"/>
          <w:szCs w:val="22"/>
          <w:lang w:val="en-US"/>
        </w:rPr>
        <w:t xml:space="preserve"> statements as usual and there was</w:t>
      </w:r>
      <w:r w:rsidR="00072F21" w:rsidRPr="001C608D">
        <w:rPr>
          <w:rFonts w:ascii="Arial" w:hAnsi="Arial" w:cs="Arial"/>
          <w:sz w:val="22"/>
          <w:szCs w:val="22"/>
          <w:lang w:val="en-US"/>
        </w:rPr>
        <w:t xml:space="preserve"> no amendment of past financial statements. This is because the Company has no information to confirm that this portion is</w:t>
      </w:r>
      <w:r w:rsidR="006D1135" w:rsidRPr="001C608D">
        <w:rPr>
          <w:rFonts w:ascii="Arial" w:hAnsi="Arial" w:cs="Arial"/>
          <w:sz w:val="22"/>
          <w:szCs w:val="22"/>
          <w:lang w:val="en-US"/>
        </w:rPr>
        <w:t xml:space="preserve"> of</w:t>
      </w:r>
      <w:r w:rsidR="00072F21" w:rsidRPr="001C608D">
        <w:rPr>
          <w:rFonts w:ascii="Arial" w:hAnsi="Arial" w:cs="Arial"/>
          <w:sz w:val="22"/>
          <w:szCs w:val="22"/>
          <w:lang w:val="en-US"/>
        </w:rPr>
        <w:t xml:space="preserve"> the same type as that </w:t>
      </w:r>
      <w:r w:rsidR="00DD20A7" w:rsidRPr="001C608D">
        <w:rPr>
          <w:rFonts w:ascii="Arial" w:hAnsi="Arial" w:cs="Arial"/>
          <w:sz w:val="22"/>
          <w:szCs w:val="22"/>
          <w:lang w:val="en-US"/>
        </w:rPr>
        <w:t>alleg</w:t>
      </w:r>
      <w:r w:rsidR="00072F21" w:rsidRPr="001C608D">
        <w:rPr>
          <w:rFonts w:ascii="Arial" w:hAnsi="Arial" w:cs="Arial"/>
          <w:sz w:val="22"/>
          <w:szCs w:val="22"/>
          <w:lang w:val="en-US"/>
        </w:rPr>
        <w:t>ed by the SEC. However, the Company has set up full provision against these loans in 2017. The Company has stopped recognising interest income on these loans since the fourth quarter of 2017.</w:t>
      </w:r>
    </w:p>
    <w:p w:rsidR="00072F21" w:rsidRPr="001C608D" w:rsidRDefault="007D6A73" w:rsidP="001239D8">
      <w:pPr>
        <w:spacing w:before="120" w:line="380" w:lineRule="exact"/>
        <w:ind w:left="1627" w:hanging="547"/>
        <w:rPr>
          <w:rFonts w:ascii="Arial" w:hAnsi="Arial" w:cs="Arial"/>
          <w:sz w:val="22"/>
          <w:szCs w:val="22"/>
          <w:cs/>
          <w:lang w:val="en-US"/>
        </w:rPr>
      </w:pPr>
      <w:r w:rsidRPr="001C608D">
        <w:rPr>
          <w:cs/>
          <w:lang w:val="en-US"/>
        </w:rPr>
        <w:tab/>
      </w:r>
      <w:r w:rsidR="00072F21" w:rsidRPr="001C608D">
        <w:rPr>
          <w:rFonts w:ascii="Arial" w:hAnsi="Arial" w:cs="Arial"/>
          <w:sz w:val="22"/>
          <w:szCs w:val="22"/>
          <w:lang w:val="en-US"/>
        </w:rPr>
        <w:t xml:space="preserve">In the future, if there is information confirming that </w:t>
      </w:r>
      <w:r w:rsidR="00DD20A7" w:rsidRPr="001C608D">
        <w:rPr>
          <w:rFonts w:ascii="Arial" w:hAnsi="Arial" w:cs="Arial"/>
          <w:sz w:val="22"/>
          <w:szCs w:val="22"/>
          <w:lang w:val="en-US"/>
        </w:rPr>
        <w:t>this</w:t>
      </w:r>
      <w:r w:rsidR="006D1135" w:rsidRPr="001C608D">
        <w:rPr>
          <w:rFonts w:ascii="Arial" w:hAnsi="Arial" w:cs="Arial"/>
          <w:sz w:val="22"/>
          <w:szCs w:val="22"/>
          <w:lang w:val="en-US"/>
        </w:rPr>
        <w:t xml:space="preserve"> portion</w:t>
      </w:r>
      <w:r w:rsidR="00DD20A7" w:rsidRPr="001C608D">
        <w:rPr>
          <w:rFonts w:ascii="Arial" w:hAnsi="Arial" w:cs="Arial"/>
          <w:sz w:val="22"/>
          <w:szCs w:val="22"/>
          <w:lang w:val="en-US"/>
        </w:rPr>
        <w:t xml:space="preserve"> is</w:t>
      </w:r>
      <w:r w:rsidR="006D1135" w:rsidRPr="001C608D">
        <w:rPr>
          <w:rFonts w:ascii="Arial" w:hAnsi="Arial" w:cs="Arial"/>
          <w:sz w:val="22"/>
          <w:szCs w:val="22"/>
          <w:lang w:val="en-US"/>
        </w:rPr>
        <w:t xml:space="preserve"> of</w:t>
      </w:r>
      <w:r w:rsidR="00072F21" w:rsidRPr="001C608D">
        <w:rPr>
          <w:rFonts w:ascii="Arial" w:hAnsi="Arial" w:cs="Arial"/>
          <w:sz w:val="22"/>
          <w:szCs w:val="22"/>
          <w:lang w:val="en-US"/>
        </w:rPr>
        <w:t xml:space="preserve"> the same type of </w:t>
      </w:r>
      <w:r w:rsidR="00DD20A7" w:rsidRPr="001C608D">
        <w:rPr>
          <w:rFonts w:ascii="Arial" w:hAnsi="Arial" w:cs="Arial"/>
          <w:sz w:val="22"/>
          <w:szCs w:val="22"/>
          <w:lang w:val="en-US"/>
        </w:rPr>
        <w:t>that alleged by the SEC</w:t>
      </w:r>
      <w:r w:rsidR="00072F21" w:rsidRPr="001C608D">
        <w:rPr>
          <w:rFonts w:ascii="Arial" w:hAnsi="Arial" w:cs="Arial"/>
          <w:sz w:val="22"/>
          <w:szCs w:val="22"/>
          <w:lang w:val="en-US"/>
        </w:rPr>
        <w:t>, the past financial statements</w:t>
      </w:r>
      <w:r w:rsidR="00DD20A7" w:rsidRPr="001C608D">
        <w:rPr>
          <w:rFonts w:ascii="Arial" w:hAnsi="Arial" w:cs="Arial"/>
          <w:sz w:val="22"/>
          <w:szCs w:val="22"/>
          <w:lang w:val="en-US"/>
        </w:rPr>
        <w:t xml:space="preserve"> would</w:t>
      </w:r>
      <w:r w:rsidR="00072F21" w:rsidRPr="001C608D">
        <w:rPr>
          <w:rFonts w:ascii="Arial" w:hAnsi="Arial" w:cs="Arial"/>
          <w:sz w:val="22"/>
          <w:szCs w:val="22"/>
          <w:lang w:val="en-US"/>
        </w:rPr>
        <w:t xml:space="preserve"> have to be amended accordingly, as follow:</w:t>
      </w:r>
    </w:p>
    <w:tbl>
      <w:tblPr>
        <w:tblW w:w="7830" w:type="dxa"/>
        <w:tblInd w:w="1440" w:type="dxa"/>
        <w:tblLayout w:type="fixed"/>
        <w:tblLook w:val="00A0" w:firstRow="1" w:lastRow="0" w:firstColumn="1" w:lastColumn="0" w:noHBand="0" w:noVBand="0"/>
      </w:tblPr>
      <w:tblGrid>
        <w:gridCol w:w="4050"/>
        <w:gridCol w:w="1260"/>
        <w:gridCol w:w="1260"/>
        <w:gridCol w:w="1260"/>
      </w:tblGrid>
      <w:tr w:rsidR="00072F21" w:rsidRPr="001C608D" w:rsidTr="007D6A73">
        <w:trPr>
          <w:trHeight w:val="360"/>
        </w:trPr>
        <w:tc>
          <w:tcPr>
            <w:tcW w:w="4050" w:type="dxa"/>
            <w:shd w:val="clear" w:color="auto" w:fill="auto"/>
          </w:tcPr>
          <w:p w:rsidR="00072F21" w:rsidRPr="001C608D" w:rsidRDefault="00072F21" w:rsidP="001239D8">
            <w:pPr>
              <w:spacing w:line="340" w:lineRule="exact"/>
              <w:ind w:left="162" w:hanging="162"/>
              <w:rPr>
                <w:rFonts w:ascii="Arial" w:hAnsi="Arial" w:cs="Arial"/>
                <w:color w:val="000000"/>
                <w:sz w:val="22"/>
                <w:szCs w:val="22"/>
                <w:cs/>
              </w:rPr>
            </w:pPr>
          </w:p>
        </w:tc>
        <w:tc>
          <w:tcPr>
            <w:tcW w:w="1260" w:type="dxa"/>
            <w:shd w:val="clear" w:color="auto" w:fill="auto"/>
            <w:vAlign w:val="center"/>
          </w:tcPr>
          <w:p w:rsidR="00072F21" w:rsidRPr="001C608D" w:rsidRDefault="00072F21" w:rsidP="001239D8">
            <w:pPr>
              <w:spacing w:line="340" w:lineRule="exact"/>
              <w:ind w:right="61"/>
              <w:jc w:val="center"/>
              <w:rPr>
                <w:rFonts w:ascii="Arial" w:hAnsi="Arial" w:cs="Arial"/>
                <w:color w:val="000000"/>
                <w:sz w:val="22"/>
                <w:szCs w:val="22"/>
                <w:u w:val="single"/>
                <w:cs/>
              </w:rPr>
            </w:pPr>
            <w:r w:rsidRPr="001C608D">
              <w:rPr>
                <w:rFonts w:ascii="Arial" w:hAnsi="Arial" w:cs="Arial"/>
                <w:color w:val="000000"/>
                <w:sz w:val="22"/>
                <w:szCs w:val="22"/>
                <w:u w:val="single"/>
                <w:cs/>
              </w:rPr>
              <w:t>2017</w:t>
            </w:r>
          </w:p>
        </w:tc>
        <w:tc>
          <w:tcPr>
            <w:tcW w:w="1260" w:type="dxa"/>
            <w:shd w:val="clear" w:color="auto" w:fill="auto"/>
            <w:vAlign w:val="center"/>
          </w:tcPr>
          <w:p w:rsidR="00072F21" w:rsidRPr="001C608D" w:rsidRDefault="00072F21" w:rsidP="001239D8">
            <w:pPr>
              <w:spacing w:line="340" w:lineRule="exact"/>
              <w:ind w:right="61"/>
              <w:jc w:val="center"/>
              <w:rPr>
                <w:rFonts w:ascii="Arial" w:hAnsi="Arial" w:cs="Arial"/>
                <w:color w:val="000000"/>
                <w:sz w:val="22"/>
                <w:szCs w:val="22"/>
                <w:u w:val="single"/>
                <w:cs/>
              </w:rPr>
            </w:pPr>
            <w:r w:rsidRPr="001C608D">
              <w:rPr>
                <w:rFonts w:ascii="Arial" w:hAnsi="Arial" w:cs="Arial"/>
                <w:color w:val="000000"/>
                <w:sz w:val="22"/>
                <w:szCs w:val="22"/>
                <w:u w:val="single"/>
                <w:cs/>
              </w:rPr>
              <w:t>2016</w:t>
            </w:r>
          </w:p>
        </w:tc>
        <w:tc>
          <w:tcPr>
            <w:tcW w:w="1260" w:type="dxa"/>
            <w:vAlign w:val="center"/>
          </w:tcPr>
          <w:p w:rsidR="00072F21" w:rsidRPr="001C608D" w:rsidRDefault="00072F21" w:rsidP="001239D8">
            <w:pPr>
              <w:spacing w:line="340" w:lineRule="exact"/>
              <w:ind w:right="61"/>
              <w:jc w:val="center"/>
              <w:rPr>
                <w:rFonts w:ascii="Arial" w:hAnsi="Arial" w:cs="Arial"/>
                <w:color w:val="000000"/>
                <w:sz w:val="22"/>
                <w:szCs w:val="22"/>
                <w:u w:val="single"/>
                <w:cs/>
              </w:rPr>
            </w:pPr>
            <w:r w:rsidRPr="001C608D">
              <w:rPr>
                <w:rFonts w:ascii="Arial" w:hAnsi="Arial" w:cs="Arial"/>
                <w:color w:val="000000"/>
                <w:sz w:val="22"/>
                <w:szCs w:val="22"/>
                <w:u w:val="single"/>
                <w:cs/>
              </w:rPr>
              <w:t>2015</w:t>
            </w:r>
          </w:p>
        </w:tc>
      </w:tr>
      <w:tr w:rsidR="00072F21" w:rsidRPr="001C608D" w:rsidTr="007D6A73">
        <w:trPr>
          <w:trHeight w:val="333"/>
        </w:trPr>
        <w:tc>
          <w:tcPr>
            <w:tcW w:w="4050" w:type="dxa"/>
            <w:shd w:val="clear" w:color="auto" w:fill="auto"/>
          </w:tcPr>
          <w:p w:rsidR="00072F21" w:rsidRPr="001C608D" w:rsidRDefault="00072F21" w:rsidP="001239D8">
            <w:pPr>
              <w:spacing w:line="340" w:lineRule="exact"/>
              <w:ind w:left="162" w:hanging="162"/>
              <w:rPr>
                <w:rFonts w:ascii="Arial" w:hAnsi="Arial" w:cs="Arial"/>
                <w:color w:val="000000"/>
                <w:sz w:val="22"/>
                <w:szCs w:val="22"/>
                <w:cs/>
              </w:rPr>
            </w:pPr>
          </w:p>
        </w:tc>
        <w:tc>
          <w:tcPr>
            <w:tcW w:w="1260" w:type="dxa"/>
            <w:shd w:val="clear" w:color="auto" w:fill="auto"/>
            <w:vAlign w:val="center"/>
          </w:tcPr>
          <w:p w:rsidR="00072F21" w:rsidRPr="001C608D" w:rsidRDefault="00072F21" w:rsidP="001239D8">
            <w:pPr>
              <w:spacing w:line="340" w:lineRule="exact"/>
              <w:ind w:right="61"/>
              <w:jc w:val="center"/>
              <w:rPr>
                <w:rFonts w:ascii="Arial" w:hAnsi="Arial" w:cs="Arial"/>
                <w:color w:val="000000"/>
                <w:sz w:val="22"/>
                <w:szCs w:val="22"/>
                <w:cs/>
              </w:rPr>
            </w:pPr>
            <w:r w:rsidRPr="001C608D">
              <w:rPr>
                <w:rFonts w:ascii="Arial" w:hAnsi="Arial" w:cs="Arial"/>
                <w:color w:val="000000"/>
                <w:sz w:val="22"/>
                <w:szCs w:val="22"/>
                <w:cs/>
              </w:rPr>
              <w:t>Million Baht</w:t>
            </w:r>
          </w:p>
        </w:tc>
        <w:tc>
          <w:tcPr>
            <w:tcW w:w="1260" w:type="dxa"/>
            <w:shd w:val="clear" w:color="auto" w:fill="auto"/>
            <w:vAlign w:val="center"/>
          </w:tcPr>
          <w:p w:rsidR="00072F21" w:rsidRPr="001C608D" w:rsidRDefault="00072F21" w:rsidP="001239D8">
            <w:pPr>
              <w:spacing w:line="340" w:lineRule="exact"/>
              <w:ind w:right="61"/>
              <w:jc w:val="center"/>
              <w:rPr>
                <w:rFonts w:ascii="Arial" w:hAnsi="Arial" w:cs="Arial"/>
                <w:color w:val="000000"/>
                <w:sz w:val="22"/>
                <w:szCs w:val="22"/>
                <w:cs/>
              </w:rPr>
            </w:pPr>
            <w:r w:rsidRPr="001C608D">
              <w:rPr>
                <w:rFonts w:ascii="Arial" w:hAnsi="Arial" w:cs="Arial"/>
                <w:color w:val="000000"/>
                <w:sz w:val="22"/>
                <w:szCs w:val="22"/>
                <w:cs/>
              </w:rPr>
              <w:t>Million Baht</w:t>
            </w:r>
          </w:p>
        </w:tc>
        <w:tc>
          <w:tcPr>
            <w:tcW w:w="1260" w:type="dxa"/>
            <w:vAlign w:val="center"/>
          </w:tcPr>
          <w:p w:rsidR="00072F21" w:rsidRPr="001C608D" w:rsidRDefault="00072F21" w:rsidP="001239D8">
            <w:pPr>
              <w:spacing w:line="340" w:lineRule="exact"/>
              <w:ind w:right="61"/>
              <w:jc w:val="center"/>
              <w:rPr>
                <w:rFonts w:ascii="Arial" w:hAnsi="Arial" w:cs="Arial"/>
                <w:color w:val="000000"/>
                <w:sz w:val="22"/>
                <w:szCs w:val="22"/>
                <w:cs/>
              </w:rPr>
            </w:pPr>
            <w:r w:rsidRPr="001C608D">
              <w:rPr>
                <w:rFonts w:ascii="Arial" w:hAnsi="Arial" w:cs="Arial"/>
                <w:color w:val="000000"/>
                <w:sz w:val="22"/>
                <w:szCs w:val="22"/>
                <w:cs/>
              </w:rPr>
              <w:t>Million Baht</w:t>
            </w:r>
          </w:p>
        </w:tc>
      </w:tr>
      <w:tr w:rsidR="00072F21" w:rsidRPr="001C608D" w:rsidTr="007D6A73">
        <w:trPr>
          <w:trHeight w:val="315"/>
        </w:trPr>
        <w:tc>
          <w:tcPr>
            <w:tcW w:w="4050" w:type="dxa"/>
            <w:shd w:val="clear" w:color="auto" w:fill="auto"/>
          </w:tcPr>
          <w:p w:rsidR="00072F21" w:rsidRPr="001C608D" w:rsidRDefault="00987B99" w:rsidP="001239D8">
            <w:pPr>
              <w:spacing w:line="340" w:lineRule="exact"/>
              <w:ind w:left="162" w:hanging="162"/>
              <w:rPr>
                <w:rFonts w:ascii="Arial" w:hAnsi="Arial" w:cs="Arial"/>
                <w:color w:val="000000"/>
                <w:sz w:val="22"/>
                <w:szCs w:val="22"/>
                <w:u w:val="single"/>
                <w:cs/>
              </w:rPr>
            </w:pPr>
            <w:r w:rsidRPr="001C608D">
              <w:rPr>
                <w:rFonts w:ascii="Arial" w:hAnsi="Arial" w:cs="Arial"/>
                <w:color w:val="000000"/>
                <w:sz w:val="22"/>
                <w:szCs w:val="22"/>
                <w:u w:val="single"/>
                <w:cs/>
              </w:rPr>
              <w:t xml:space="preserve">Consolidated </w:t>
            </w:r>
            <w:r w:rsidR="00072F21" w:rsidRPr="001C608D">
              <w:rPr>
                <w:rFonts w:ascii="Arial" w:hAnsi="Arial" w:cs="Arial"/>
                <w:color w:val="000000"/>
                <w:sz w:val="22"/>
                <w:szCs w:val="22"/>
                <w:u w:val="single"/>
                <w:cs/>
              </w:rPr>
              <w:t>Income Statement:</w:t>
            </w:r>
          </w:p>
        </w:tc>
        <w:tc>
          <w:tcPr>
            <w:tcW w:w="1260" w:type="dxa"/>
            <w:shd w:val="clear" w:color="auto" w:fill="auto"/>
            <w:vAlign w:val="center"/>
          </w:tcPr>
          <w:p w:rsidR="00072F21" w:rsidRPr="001C608D" w:rsidRDefault="00072F21" w:rsidP="001239D8">
            <w:pPr>
              <w:tabs>
                <w:tab w:val="decimal" w:pos="1163"/>
              </w:tabs>
              <w:spacing w:line="340" w:lineRule="exact"/>
              <w:ind w:right="61"/>
              <w:rPr>
                <w:rFonts w:ascii="Arial" w:hAnsi="Arial" w:cs="Arial"/>
                <w:color w:val="000000"/>
                <w:sz w:val="22"/>
                <w:szCs w:val="22"/>
                <w:lang w:val="en-US"/>
              </w:rPr>
            </w:pPr>
          </w:p>
        </w:tc>
        <w:tc>
          <w:tcPr>
            <w:tcW w:w="1260" w:type="dxa"/>
            <w:shd w:val="clear" w:color="auto" w:fill="auto"/>
            <w:vAlign w:val="center"/>
          </w:tcPr>
          <w:p w:rsidR="00072F21" w:rsidRPr="001C608D" w:rsidRDefault="00072F21" w:rsidP="001239D8">
            <w:pPr>
              <w:tabs>
                <w:tab w:val="decimal" w:pos="1163"/>
              </w:tabs>
              <w:spacing w:line="340" w:lineRule="exact"/>
              <w:ind w:right="61"/>
              <w:rPr>
                <w:rFonts w:ascii="Arial" w:hAnsi="Arial" w:cs="Arial"/>
                <w:color w:val="000000"/>
                <w:sz w:val="22"/>
                <w:szCs w:val="22"/>
                <w:lang w:val="en-US"/>
              </w:rPr>
            </w:pPr>
          </w:p>
        </w:tc>
        <w:tc>
          <w:tcPr>
            <w:tcW w:w="1260" w:type="dxa"/>
            <w:vAlign w:val="center"/>
          </w:tcPr>
          <w:p w:rsidR="00072F21" w:rsidRPr="001C608D" w:rsidRDefault="00072F21" w:rsidP="001239D8">
            <w:pPr>
              <w:tabs>
                <w:tab w:val="decimal" w:pos="1163"/>
              </w:tabs>
              <w:spacing w:line="340" w:lineRule="exact"/>
              <w:ind w:right="61"/>
              <w:rPr>
                <w:rFonts w:ascii="Arial" w:hAnsi="Arial" w:cs="Arial"/>
                <w:color w:val="000000"/>
                <w:sz w:val="22"/>
                <w:szCs w:val="22"/>
                <w:lang w:val="en-US"/>
              </w:rPr>
            </w:pPr>
          </w:p>
        </w:tc>
      </w:tr>
      <w:tr w:rsidR="001B2D1E" w:rsidRPr="001C608D" w:rsidTr="001B2D1E">
        <w:trPr>
          <w:trHeight w:val="444"/>
        </w:trPr>
        <w:tc>
          <w:tcPr>
            <w:tcW w:w="4050" w:type="dxa"/>
            <w:shd w:val="clear" w:color="auto" w:fill="auto"/>
            <w:vAlign w:val="bottom"/>
          </w:tcPr>
          <w:p w:rsidR="001B2D1E" w:rsidRPr="001C608D" w:rsidRDefault="001B2D1E" w:rsidP="001239D8">
            <w:pPr>
              <w:spacing w:line="340" w:lineRule="exact"/>
              <w:ind w:left="207" w:hanging="207"/>
              <w:rPr>
                <w:rFonts w:ascii="Arial" w:hAnsi="Arial" w:cs="Arial"/>
                <w:color w:val="000000"/>
                <w:sz w:val="22"/>
                <w:szCs w:val="22"/>
                <w:cs/>
              </w:rPr>
            </w:pPr>
            <w:r w:rsidRPr="001C608D">
              <w:rPr>
                <w:rFonts w:ascii="Arial" w:hAnsi="Arial" w:cs="Arial"/>
                <w:color w:val="000000"/>
                <w:sz w:val="22"/>
                <w:szCs w:val="22"/>
                <w:lang w:val="en-US"/>
              </w:rPr>
              <w:t>Interest income recognised as usual which would have to be reversed, resulting in decrease in profits</w:t>
            </w:r>
          </w:p>
        </w:tc>
        <w:tc>
          <w:tcPr>
            <w:tcW w:w="1260" w:type="dxa"/>
            <w:shd w:val="clear" w:color="auto" w:fill="auto"/>
            <w:vAlign w:val="bottom"/>
          </w:tcPr>
          <w:p w:rsidR="001B2D1E" w:rsidRPr="001C608D" w:rsidRDefault="001B2D1E" w:rsidP="001239D8">
            <w:pPr>
              <w:tabs>
                <w:tab w:val="decimal" w:pos="882"/>
              </w:tabs>
              <w:spacing w:line="340" w:lineRule="exact"/>
              <w:ind w:right="61"/>
              <w:rPr>
                <w:rFonts w:ascii="Arial" w:hAnsi="Arial" w:cs="Arial"/>
                <w:color w:val="000000"/>
                <w:sz w:val="22"/>
                <w:szCs w:val="22"/>
                <w:lang w:val="en-US"/>
              </w:rPr>
            </w:pPr>
          </w:p>
          <w:p w:rsidR="001B2D1E" w:rsidRPr="001C608D" w:rsidRDefault="001B2D1E" w:rsidP="001239D8">
            <w:pPr>
              <w:tabs>
                <w:tab w:val="decimal" w:pos="882"/>
              </w:tabs>
              <w:spacing w:line="340" w:lineRule="exact"/>
              <w:ind w:right="61"/>
              <w:rPr>
                <w:rFonts w:ascii="Arial" w:hAnsi="Arial" w:cs="Arial"/>
                <w:color w:val="000000"/>
                <w:sz w:val="22"/>
                <w:szCs w:val="22"/>
                <w:lang w:val="en-US"/>
              </w:rPr>
            </w:pPr>
            <w:r w:rsidRPr="001C608D">
              <w:rPr>
                <w:rFonts w:ascii="Arial" w:hAnsi="Arial" w:cs="Arial"/>
                <w:color w:val="000000"/>
                <w:sz w:val="22"/>
                <w:szCs w:val="22"/>
                <w:lang w:val="en-US"/>
              </w:rPr>
              <w:t>(200)</w:t>
            </w:r>
          </w:p>
        </w:tc>
        <w:tc>
          <w:tcPr>
            <w:tcW w:w="1260" w:type="dxa"/>
            <w:shd w:val="clear" w:color="auto" w:fill="auto"/>
            <w:vAlign w:val="bottom"/>
          </w:tcPr>
          <w:p w:rsidR="001B2D1E" w:rsidRPr="001C608D" w:rsidRDefault="001B2D1E" w:rsidP="001239D8">
            <w:pPr>
              <w:tabs>
                <w:tab w:val="decimal" w:pos="882"/>
              </w:tabs>
              <w:spacing w:line="340" w:lineRule="exact"/>
              <w:ind w:right="61"/>
              <w:rPr>
                <w:rFonts w:ascii="Arial" w:hAnsi="Arial" w:cs="Arial"/>
                <w:color w:val="000000"/>
                <w:sz w:val="22"/>
                <w:szCs w:val="22"/>
                <w:lang w:val="en-US"/>
              </w:rPr>
            </w:pPr>
          </w:p>
          <w:p w:rsidR="001B2D1E" w:rsidRPr="001C608D" w:rsidRDefault="001B2D1E" w:rsidP="001239D8">
            <w:pPr>
              <w:tabs>
                <w:tab w:val="decimal" w:pos="882"/>
              </w:tabs>
              <w:spacing w:line="340" w:lineRule="exact"/>
              <w:ind w:right="61"/>
              <w:rPr>
                <w:rFonts w:ascii="Arial" w:hAnsi="Arial" w:cs="Arial"/>
                <w:color w:val="000000"/>
                <w:sz w:val="22"/>
                <w:szCs w:val="22"/>
                <w:lang w:val="en-US"/>
              </w:rPr>
            </w:pPr>
            <w:r w:rsidRPr="001C608D">
              <w:rPr>
                <w:rFonts w:ascii="Arial" w:hAnsi="Arial" w:cs="Arial"/>
                <w:color w:val="000000"/>
                <w:sz w:val="22"/>
                <w:szCs w:val="22"/>
                <w:lang w:val="en-US"/>
              </w:rPr>
              <w:t>(283)</w:t>
            </w:r>
          </w:p>
        </w:tc>
        <w:tc>
          <w:tcPr>
            <w:tcW w:w="1260" w:type="dxa"/>
            <w:vAlign w:val="bottom"/>
          </w:tcPr>
          <w:p w:rsidR="001B2D1E" w:rsidRPr="001C608D" w:rsidRDefault="001B2D1E" w:rsidP="001239D8">
            <w:pPr>
              <w:tabs>
                <w:tab w:val="decimal" w:pos="882"/>
              </w:tabs>
              <w:spacing w:line="340" w:lineRule="exact"/>
              <w:ind w:right="61"/>
              <w:rPr>
                <w:rFonts w:ascii="Arial" w:hAnsi="Arial" w:cs="Arial"/>
                <w:color w:val="000000"/>
                <w:sz w:val="22"/>
                <w:szCs w:val="22"/>
                <w:lang w:val="en-US"/>
              </w:rPr>
            </w:pPr>
          </w:p>
          <w:p w:rsidR="001B2D1E" w:rsidRPr="001C608D" w:rsidRDefault="001B2D1E" w:rsidP="001239D8">
            <w:pPr>
              <w:tabs>
                <w:tab w:val="decimal" w:pos="882"/>
              </w:tabs>
              <w:spacing w:line="340" w:lineRule="exact"/>
              <w:ind w:right="61"/>
              <w:rPr>
                <w:rFonts w:ascii="Arial" w:hAnsi="Arial" w:cs="Arial"/>
                <w:color w:val="000000"/>
                <w:sz w:val="22"/>
                <w:szCs w:val="22"/>
                <w:cs/>
                <w:lang w:val="en-US"/>
              </w:rPr>
            </w:pPr>
            <w:r w:rsidRPr="001C608D">
              <w:rPr>
                <w:rFonts w:ascii="Arial" w:hAnsi="Arial" w:cs="Arial"/>
                <w:color w:val="000000"/>
                <w:sz w:val="22"/>
                <w:szCs w:val="22"/>
                <w:lang w:val="en-US"/>
              </w:rPr>
              <w:t>(1</w:t>
            </w:r>
            <w:r w:rsidRPr="001C608D">
              <w:rPr>
                <w:rFonts w:ascii="Arial" w:hAnsi="Arial" w:cs="Arial"/>
                <w:color w:val="000000"/>
                <w:sz w:val="22"/>
                <w:szCs w:val="22"/>
                <w:cs/>
                <w:lang w:val="en-US"/>
              </w:rPr>
              <w:t>39</w:t>
            </w:r>
            <w:r w:rsidRPr="001C608D">
              <w:rPr>
                <w:rFonts w:ascii="Arial" w:hAnsi="Arial" w:cs="Arial"/>
                <w:color w:val="000000"/>
                <w:sz w:val="22"/>
                <w:szCs w:val="22"/>
                <w:lang w:val="en-US"/>
              </w:rPr>
              <w:t>)</w:t>
            </w:r>
          </w:p>
        </w:tc>
      </w:tr>
      <w:tr w:rsidR="006D1135" w:rsidRPr="001C608D" w:rsidTr="001B2D1E">
        <w:trPr>
          <w:trHeight w:val="444"/>
        </w:trPr>
        <w:tc>
          <w:tcPr>
            <w:tcW w:w="4050" w:type="dxa"/>
            <w:shd w:val="clear" w:color="auto" w:fill="auto"/>
          </w:tcPr>
          <w:p w:rsidR="006D1135" w:rsidRPr="001C608D" w:rsidRDefault="001B2D1E" w:rsidP="001239D8">
            <w:pPr>
              <w:spacing w:line="340" w:lineRule="exact"/>
              <w:ind w:left="162" w:hanging="162"/>
              <w:rPr>
                <w:rFonts w:ascii="Arial" w:hAnsi="Arial" w:cs="Arial"/>
                <w:color w:val="000000"/>
                <w:sz w:val="22"/>
                <w:szCs w:val="22"/>
                <w:lang w:val="en-US"/>
              </w:rPr>
            </w:pPr>
            <w:r w:rsidRPr="001C608D">
              <w:rPr>
                <w:rFonts w:ascii="Arial" w:hAnsi="Arial" w:cs="Arial"/>
                <w:color w:val="000000"/>
                <w:sz w:val="22"/>
                <w:szCs w:val="22"/>
                <w:lang w:val="en-US"/>
              </w:rPr>
              <w:t xml:space="preserve">Reversal of a part of provision for loss as recorded in the year 2017 (because the outstanding balance of loans was reduced as a result of deducting </w:t>
            </w:r>
            <w:r w:rsidRPr="001C608D">
              <w:rPr>
                <w:rFonts w:ascii="Arial" w:hAnsi="Arial" w:cs="Arial"/>
                <w:color w:val="000000"/>
                <w:sz w:val="22"/>
                <w:szCs w:val="22"/>
                <w:cs/>
                <w:lang w:val="en-US"/>
              </w:rPr>
              <w:t>interest received)</w:t>
            </w:r>
          </w:p>
        </w:tc>
        <w:tc>
          <w:tcPr>
            <w:tcW w:w="1260" w:type="dxa"/>
            <w:shd w:val="clear" w:color="auto" w:fill="auto"/>
            <w:vAlign w:val="bottom"/>
          </w:tcPr>
          <w:p w:rsidR="006D1135" w:rsidRPr="001C608D" w:rsidRDefault="001B2D1E" w:rsidP="00D672BF">
            <w:pPr>
              <w:pBdr>
                <w:bottom w:val="single" w:sz="4" w:space="1" w:color="auto"/>
              </w:pBdr>
              <w:tabs>
                <w:tab w:val="decimal" w:pos="882"/>
              </w:tabs>
              <w:spacing w:line="340" w:lineRule="exact"/>
              <w:ind w:right="61"/>
              <w:rPr>
                <w:rFonts w:ascii="Arial" w:hAnsi="Arial" w:cs="Arial"/>
                <w:color w:val="000000"/>
                <w:sz w:val="22"/>
                <w:szCs w:val="22"/>
                <w:lang w:val="en-US"/>
              </w:rPr>
            </w:pPr>
            <w:r w:rsidRPr="001C608D">
              <w:rPr>
                <w:rFonts w:ascii="Arial" w:hAnsi="Arial" w:cs="Arial"/>
                <w:color w:val="000000"/>
                <w:sz w:val="22"/>
                <w:szCs w:val="22"/>
                <w:lang w:val="en-US"/>
              </w:rPr>
              <w:t>593</w:t>
            </w:r>
          </w:p>
        </w:tc>
        <w:tc>
          <w:tcPr>
            <w:tcW w:w="1260" w:type="dxa"/>
            <w:shd w:val="clear" w:color="auto" w:fill="auto"/>
            <w:vAlign w:val="bottom"/>
          </w:tcPr>
          <w:p w:rsidR="006D1135" w:rsidRPr="001C608D" w:rsidRDefault="001B2D1E" w:rsidP="00D672BF">
            <w:pPr>
              <w:pBdr>
                <w:bottom w:val="single" w:sz="4" w:space="1" w:color="auto"/>
              </w:pBdr>
              <w:tabs>
                <w:tab w:val="decimal" w:pos="882"/>
              </w:tabs>
              <w:spacing w:line="340" w:lineRule="exact"/>
              <w:ind w:right="61"/>
              <w:rPr>
                <w:rFonts w:ascii="Arial" w:hAnsi="Arial" w:cs="Arial"/>
                <w:color w:val="000000"/>
                <w:sz w:val="22"/>
                <w:szCs w:val="22"/>
                <w:lang w:val="en-US"/>
              </w:rPr>
            </w:pPr>
            <w:r w:rsidRPr="001C608D">
              <w:rPr>
                <w:rFonts w:ascii="Arial" w:hAnsi="Arial" w:cs="Arial"/>
                <w:color w:val="000000"/>
                <w:sz w:val="22"/>
                <w:szCs w:val="22"/>
                <w:lang w:val="en-US"/>
              </w:rPr>
              <w:t>-</w:t>
            </w:r>
          </w:p>
        </w:tc>
        <w:tc>
          <w:tcPr>
            <w:tcW w:w="1260" w:type="dxa"/>
            <w:vAlign w:val="bottom"/>
          </w:tcPr>
          <w:p w:rsidR="006D1135" w:rsidRPr="001C608D" w:rsidRDefault="001B2D1E" w:rsidP="00D672BF">
            <w:pPr>
              <w:pBdr>
                <w:bottom w:val="single" w:sz="4" w:space="1" w:color="auto"/>
              </w:pBdr>
              <w:tabs>
                <w:tab w:val="decimal" w:pos="882"/>
              </w:tabs>
              <w:spacing w:line="340" w:lineRule="exact"/>
              <w:ind w:right="61"/>
              <w:rPr>
                <w:rFonts w:ascii="Arial" w:hAnsi="Arial" w:cs="Arial"/>
                <w:color w:val="000000"/>
                <w:sz w:val="22"/>
                <w:szCs w:val="22"/>
                <w:lang w:val="en-US"/>
              </w:rPr>
            </w:pPr>
            <w:r w:rsidRPr="001C608D">
              <w:rPr>
                <w:rFonts w:ascii="Arial" w:hAnsi="Arial" w:cs="Arial"/>
                <w:color w:val="000000"/>
                <w:sz w:val="22"/>
                <w:szCs w:val="22"/>
                <w:lang w:val="en-US"/>
              </w:rPr>
              <w:t>-</w:t>
            </w:r>
          </w:p>
        </w:tc>
      </w:tr>
      <w:tr w:rsidR="00D672BF" w:rsidRPr="001C608D" w:rsidTr="001B2D1E">
        <w:trPr>
          <w:trHeight w:val="444"/>
        </w:trPr>
        <w:tc>
          <w:tcPr>
            <w:tcW w:w="4050" w:type="dxa"/>
            <w:shd w:val="clear" w:color="auto" w:fill="auto"/>
          </w:tcPr>
          <w:p w:rsidR="00D672BF" w:rsidRPr="001C608D" w:rsidRDefault="00D672BF" w:rsidP="001239D8">
            <w:pPr>
              <w:spacing w:line="340" w:lineRule="exact"/>
              <w:ind w:left="162" w:hanging="162"/>
              <w:rPr>
                <w:rFonts w:ascii="Arial" w:hAnsi="Arial" w:cs="Arial"/>
                <w:color w:val="000000"/>
                <w:sz w:val="22"/>
                <w:szCs w:val="22"/>
                <w:lang w:val="en-US"/>
              </w:rPr>
            </w:pPr>
            <w:r w:rsidRPr="001C608D">
              <w:rPr>
                <w:rFonts w:ascii="Arial" w:hAnsi="Arial" w:cs="Arial"/>
                <w:color w:val="000000"/>
                <w:sz w:val="22"/>
                <w:szCs w:val="22"/>
                <w:lang w:val="en-US"/>
              </w:rPr>
              <w:t>Net</w:t>
            </w:r>
          </w:p>
        </w:tc>
        <w:tc>
          <w:tcPr>
            <w:tcW w:w="1260" w:type="dxa"/>
            <w:shd w:val="clear" w:color="auto" w:fill="auto"/>
            <w:vAlign w:val="bottom"/>
          </w:tcPr>
          <w:p w:rsidR="00D672BF" w:rsidRPr="001C608D" w:rsidRDefault="00D672BF" w:rsidP="00D672BF">
            <w:pPr>
              <w:pBdr>
                <w:bottom w:val="double" w:sz="4" w:space="1" w:color="auto"/>
              </w:pBdr>
              <w:tabs>
                <w:tab w:val="decimal" w:pos="882"/>
              </w:tabs>
              <w:spacing w:line="340" w:lineRule="exact"/>
              <w:ind w:right="61"/>
              <w:rPr>
                <w:rFonts w:ascii="Arial" w:hAnsi="Arial" w:cs="Arial"/>
                <w:color w:val="000000"/>
                <w:sz w:val="22"/>
                <w:szCs w:val="22"/>
                <w:lang w:val="en-US"/>
              </w:rPr>
            </w:pPr>
            <w:r w:rsidRPr="001C608D">
              <w:rPr>
                <w:rFonts w:ascii="Arial" w:hAnsi="Arial" w:cs="Arial"/>
                <w:color w:val="000000"/>
                <w:sz w:val="22"/>
                <w:szCs w:val="22"/>
                <w:lang w:val="en-US"/>
              </w:rPr>
              <w:t>393</w:t>
            </w:r>
          </w:p>
        </w:tc>
        <w:tc>
          <w:tcPr>
            <w:tcW w:w="1260" w:type="dxa"/>
            <w:shd w:val="clear" w:color="auto" w:fill="auto"/>
            <w:vAlign w:val="bottom"/>
          </w:tcPr>
          <w:p w:rsidR="00D672BF" w:rsidRPr="001C608D" w:rsidRDefault="00D672BF" w:rsidP="00D672BF">
            <w:pPr>
              <w:pBdr>
                <w:bottom w:val="double" w:sz="4" w:space="1" w:color="auto"/>
              </w:pBdr>
              <w:tabs>
                <w:tab w:val="decimal" w:pos="882"/>
              </w:tabs>
              <w:spacing w:line="340" w:lineRule="exact"/>
              <w:ind w:right="61"/>
              <w:rPr>
                <w:rFonts w:ascii="Arial" w:hAnsi="Arial" w:cs="Arial"/>
                <w:color w:val="000000"/>
                <w:sz w:val="22"/>
                <w:szCs w:val="22"/>
                <w:lang w:val="en-US"/>
              </w:rPr>
            </w:pPr>
            <w:r w:rsidRPr="001C608D">
              <w:rPr>
                <w:rFonts w:ascii="Arial" w:hAnsi="Arial" w:cs="Arial"/>
                <w:color w:val="000000"/>
                <w:sz w:val="22"/>
                <w:szCs w:val="22"/>
                <w:lang w:val="en-US"/>
              </w:rPr>
              <w:t>(283)</w:t>
            </w:r>
          </w:p>
        </w:tc>
        <w:tc>
          <w:tcPr>
            <w:tcW w:w="1260" w:type="dxa"/>
            <w:vAlign w:val="bottom"/>
          </w:tcPr>
          <w:p w:rsidR="00D672BF" w:rsidRPr="001C608D" w:rsidRDefault="00D672BF" w:rsidP="00D672BF">
            <w:pPr>
              <w:pBdr>
                <w:bottom w:val="double" w:sz="4" w:space="1" w:color="auto"/>
              </w:pBdr>
              <w:tabs>
                <w:tab w:val="decimal" w:pos="882"/>
              </w:tabs>
              <w:spacing w:line="340" w:lineRule="exact"/>
              <w:ind w:right="61"/>
              <w:rPr>
                <w:rFonts w:ascii="Arial" w:hAnsi="Arial" w:cs="Arial"/>
                <w:color w:val="000000"/>
                <w:sz w:val="22"/>
                <w:szCs w:val="22"/>
                <w:lang w:val="en-US"/>
              </w:rPr>
            </w:pPr>
            <w:r w:rsidRPr="001C608D">
              <w:rPr>
                <w:rFonts w:ascii="Arial" w:hAnsi="Arial" w:cs="Arial"/>
                <w:color w:val="000000"/>
                <w:sz w:val="22"/>
                <w:szCs w:val="22"/>
                <w:lang w:val="en-US"/>
              </w:rPr>
              <w:t>(139)</w:t>
            </w:r>
          </w:p>
        </w:tc>
      </w:tr>
      <w:tr w:rsidR="00D672BF" w:rsidRPr="001C608D" w:rsidTr="002855EC">
        <w:trPr>
          <w:trHeight w:val="315"/>
        </w:trPr>
        <w:tc>
          <w:tcPr>
            <w:tcW w:w="5310" w:type="dxa"/>
            <w:gridSpan w:val="2"/>
            <w:shd w:val="clear" w:color="auto" w:fill="auto"/>
          </w:tcPr>
          <w:p w:rsidR="00D672BF" w:rsidRPr="001C608D" w:rsidRDefault="00D672BF" w:rsidP="005D2BC7">
            <w:pPr>
              <w:tabs>
                <w:tab w:val="decimal" w:pos="1163"/>
              </w:tabs>
              <w:spacing w:line="340" w:lineRule="exact"/>
              <w:ind w:right="61"/>
              <w:rPr>
                <w:rFonts w:ascii="Arial" w:hAnsi="Arial" w:cs="Arial"/>
                <w:color w:val="000000"/>
                <w:sz w:val="22"/>
                <w:szCs w:val="22"/>
                <w:lang w:val="en-US"/>
              </w:rPr>
            </w:pPr>
            <w:r w:rsidRPr="001C608D">
              <w:rPr>
                <w:rFonts w:ascii="Arial" w:hAnsi="Arial" w:cs="Arial"/>
                <w:color w:val="000000"/>
                <w:sz w:val="22"/>
                <w:szCs w:val="22"/>
                <w:u w:val="single"/>
                <w:cs/>
              </w:rPr>
              <w:t>Consolidated Statement of financial position:</w:t>
            </w:r>
          </w:p>
        </w:tc>
        <w:tc>
          <w:tcPr>
            <w:tcW w:w="1260" w:type="dxa"/>
            <w:shd w:val="clear" w:color="auto" w:fill="auto"/>
            <w:vAlign w:val="center"/>
          </w:tcPr>
          <w:p w:rsidR="00D672BF" w:rsidRPr="001C608D" w:rsidRDefault="00D672BF" w:rsidP="005D2BC7">
            <w:pPr>
              <w:tabs>
                <w:tab w:val="decimal" w:pos="1163"/>
              </w:tabs>
              <w:spacing w:line="340" w:lineRule="exact"/>
              <w:ind w:right="61"/>
              <w:rPr>
                <w:rFonts w:ascii="Arial" w:hAnsi="Arial" w:cs="Arial"/>
                <w:color w:val="000000"/>
                <w:sz w:val="22"/>
                <w:szCs w:val="22"/>
                <w:lang w:val="en-US"/>
              </w:rPr>
            </w:pPr>
          </w:p>
        </w:tc>
        <w:tc>
          <w:tcPr>
            <w:tcW w:w="1260" w:type="dxa"/>
            <w:vAlign w:val="center"/>
          </w:tcPr>
          <w:p w:rsidR="00D672BF" w:rsidRPr="001C608D" w:rsidRDefault="00D672BF" w:rsidP="005D2BC7">
            <w:pPr>
              <w:tabs>
                <w:tab w:val="decimal" w:pos="1163"/>
              </w:tabs>
              <w:spacing w:line="340" w:lineRule="exact"/>
              <w:ind w:right="61"/>
              <w:rPr>
                <w:rFonts w:ascii="Arial" w:hAnsi="Arial" w:cs="Arial"/>
                <w:color w:val="000000"/>
                <w:sz w:val="22"/>
                <w:szCs w:val="22"/>
                <w:lang w:val="en-US"/>
              </w:rPr>
            </w:pPr>
          </w:p>
        </w:tc>
      </w:tr>
      <w:tr w:rsidR="006D1135" w:rsidRPr="001C608D" w:rsidTr="001B2D1E">
        <w:trPr>
          <w:trHeight w:val="288"/>
        </w:trPr>
        <w:tc>
          <w:tcPr>
            <w:tcW w:w="4050" w:type="dxa"/>
            <w:shd w:val="clear" w:color="auto" w:fill="auto"/>
          </w:tcPr>
          <w:p w:rsidR="006D1135" w:rsidRPr="001C608D" w:rsidRDefault="006D1135" w:rsidP="001239D8">
            <w:pPr>
              <w:spacing w:line="340" w:lineRule="exact"/>
              <w:ind w:left="207" w:hanging="207"/>
              <w:rPr>
                <w:rFonts w:ascii="Arial" w:hAnsi="Arial" w:cs="Arial"/>
                <w:color w:val="000000"/>
                <w:sz w:val="22"/>
                <w:szCs w:val="22"/>
                <w:lang w:val="en-US"/>
              </w:rPr>
            </w:pPr>
            <w:r w:rsidRPr="001C608D">
              <w:rPr>
                <w:rFonts w:ascii="Arial" w:hAnsi="Arial" w:cs="Arial"/>
                <w:color w:val="000000"/>
                <w:sz w:val="22"/>
                <w:szCs w:val="22"/>
                <w:lang w:val="en-US"/>
              </w:rPr>
              <w:t>This portion of loans</w:t>
            </w:r>
            <w:r w:rsidR="001B2D1E" w:rsidRPr="001C608D">
              <w:rPr>
                <w:rFonts w:ascii="Arial" w:hAnsi="Arial" w:cs="Arial"/>
                <w:color w:val="000000"/>
                <w:sz w:val="22"/>
                <w:szCs w:val="22"/>
                <w:lang w:val="en-US"/>
              </w:rPr>
              <w:t xml:space="preserve"> and interest receivables</w:t>
            </w:r>
            <w:r w:rsidRPr="001C608D">
              <w:rPr>
                <w:rFonts w:ascii="Arial" w:hAnsi="Arial" w:cs="Arial"/>
                <w:color w:val="000000"/>
                <w:sz w:val="22"/>
                <w:szCs w:val="22"/>
                <w:lang w:val="en-US"/>
              </w:rPr>
              <w:t xml:space="preserve"> included in the normal loans balance</w:t>
            </w:r>
            <w:r w:rsidR="001B2D1E" w:rsidRPr="001C608D">
              <w:rPr>
                <w:rFonts w:ascii="Arial" w:hAnsi="Arial" w:cs="Arial"/>
                <w:color w:val="000000"/>
                <w:sz w:val="22"/>
                <w:szCs w:val="22"/>
                <w:lang w:val="en-US"/>
              </w:rPr>
              <w:t xml:space="preserve"> as previously reported</w:t>
            </w:r>
          </w:p>
        </w:tc>
        <w:tc>
          <w:tcPr>
            <w:tcW w:w="1260" w:type="dxa"/>
            <w:shd w:val="clear" w:color="auto" w:fill="auto"/>
            <w:vAlign w:val="bottom"/>
          </w:tcPr>
          <w:p w:rsidR="006D1135" w:rsidRPr="001C608D" w:rsidRDefault="001B2D1E" w:rsidP="001239D8">
            <w:pPr>
              <w:tabs>
                <w:tab w:val="decimal" w:pos="882"/>
              </w:tabs>
              <w:spacing w:line="340" w:lineRule="exact"/>
              <w:ind w:right="61"/>
              <w:rPr>
                <w:rFonts w:ascii="Arial" w:hAnsi="Arial" w:cs="Arial"/>
                <w:color w:val="000000"/>
                <w:sz w:val="22"/>
                <w:szCs w:val="22"/>
                <w:lang w:val="en-US"/>
              </w:rPr>
            </w:pPr>
            <w:r w:rsidRPr="001C608D">
              <w:rPr>
                <w:rFonts w:ascii="Arial" w:hAnsi="Arial" w:cs="Arial"/>
                <w:color w:val="000000"/>
                <w:sz w:val="22"/>
                <w:szCs w:val="22"/>
                <w:lang w:val="en-US"/>
              </w:rPr>
              <w:t>937</w:t>
            </w:r>
          </w:p>
        </w:tc>
        <w:tc>
          <w:tcPr>
            <w:tcW w:w="1260" w:type="dxa"/>
            <w:shd w:val="clear" w:color="auto" w:fill="auto"/>
            <w:vAlign w:val="bottom"/>
          </w:tcPr>
          <w:p w:rsidR="006D1135" w:rsidRPr="001C608D" w:rsidRDefault="001B2D1E" w:rsidP="001239D8">
            <w:pPr>
              <w:tabs>
                <w:tab w:val="decimal" w:pos="882"/>
              </w:tabs>
              <w:spacing w:line="340" w:lineRule="exact"/>
              <w:ind w:right="61"/>
              <w:rPr>
                <w:rFonts w:ascii="Arial" w:hAnsi="Arial" w:cs="Arial"/>
                <w:color w:val="000000"/>
                <w:sz w:val="22"/>
                <w:szCs w:val="22"/>
                <w:lang w:val="en-US"/>
              </w:rPr>
            </w:pPr>
            <w:r w:rsidRPr="001C608D">
              <w:rPr>
                <w:rFonts w:ascii="Arial" w:hAnsi="Arial" w:cs="Arial"/>
                <w:color w:val="000000"/>
                <w:sz w:val="22"/>
                <w:szCs w:val="22"/>
                <w:lang w:val="en-US"/>
              </w:rPr>
              <w:t>1,663</w:t>
            </w:r>
          </w:p>
        </w:tc>
        <w:tc>
          <w:tcPr>
            <w:tcW w:w="1260" w:type="dxa"/>
            <w:vAlign w:val="bottom"/>
          </w:tcPr>
          <w:p w:rsidR="006D1135" w:rsidRPr="001C608D" w:rsidRDefault="001B2D1E" w:rsidP="001239D8">
            <w:pPr>
              <w:tabs>
                <w:tab w:val="decimal" w:pos="882"/>
              </w:tabs>
              <w:spacing w:line="340" w:lineRule="exact"/>
              <w:ind w:right="61"/>
              <w:rPr>
                <w:rFonts w:ascii="Arial" w:hAnsi="Arial" w:cs="Arial"/>
                <w:color w:val="000000"/>
                <w:sz w:val="22"/>
                <w:szCs w:val="22"/>
                <w:lang w:val="en-US"/>
              </w:rPr>
            </w:pPr>
            <w:r w:rsidRPr="001C608D">
              <w:rPr>
                <w:rFonts w:ascii="Arial" w:hAnsi="Arial" w:cs="Arial"/>
                <w:color w:val="000000"/>
                <w:sz w:val="22"/>
                <w:szCs w:val="22"/>
                <w:lang w:val="en-US"/>
              </w:rPr>
              <w:t>1,579</w:t>
            </w:r>
          </w:p>
        </w:tc>
      </w:tr>
      <w:tr w:rsidR="006D1135" w:rsidRPr="001C608D" w:rsidTr="001B2D1E">
        <w:trPr>
          <w:trHeight w:val="288"/>
        </w:trPr>
        <w:tc>
          <w:tcPr>
            <w:tcW w:w="4050" w:type="dxa"/>
            <w:shd w:val="clear" w:color="auto" w:fill="auto"/>
          </w:tcPr>
          <w:p w:rsidR="001B2D1E" w:rsidRPr="001C608D" w:rsidRDefault="001B2D1E" w:rsidP="001239D8">
            <w:pPr>
              <w:spacing w:line="340" w:lineRule="exact"/>
              <w:ind w:left="792" w:hanging="792"/>
              <w:rPr>
                <w:rFonts w:ascii="Arial" w:hAnsi="Arial" w:cs="Arial"/>
                <w:color w:val="000000"/>
                <w:sz w:val="22"/>
                <w:szCs w:val="22"/>
                <w:lang w:val="en-US"/>
              </w:rPr>
            </w:pPr>
            <w:r w:rsidRPr="001C608D">
              <w:rPr>
                <w:rFonts w:ascii="Arial" w:hAnsi="Arial" w:cs="Arial"/>
                <w:color w:val="000000"/>
                <w:sz w:val="22"/>
                <w:szCs w:val="22"/>
                <w:lang w:val="en-US"/>
              </w:rPr>
              <w:t>Less: Interest receivable as previously</w:t>
            </w:r>
          </w:p>
          <w:p w:rsidR="006D1135" w:rsidRPr="001C608D" w:rsidRDefault="001B2D1E" w:rsidP="001239D8">
            <w:pPr>
              <w:spacing w:line="340" w:lineRule="exact"/>
              <w:ind w:left="207" w:hanging="207"/>
              <w:rPr>
                <w:rFonts w:ascii="Arial" w:hAnsi="Arial" w:cs="Arial"/>
                <w:color w:val="000000"/>
                <w:sz w:val="22"/>
                <w:szCs w:val="22"/>
                <w:cs/>
              </w:rPr>
            </w:pPr>
            <w:r w:rsidRPr="001C608D">
              <w:rPr>
                <w:rFonts w:ascii="Arial" w:hAnsi="Arial" w:cs="Arial"/>
                <w:color w:val="000000"/>
                <w:sz w:val="22"/>
                <w:szCs w:val="22"/>
                <w:lang w:val="en-US"/>
              </w:rPr>
              <w:t xml:space="preserve">  </w:t>
            </w:r>
            <w:r w:rsidRPr="001C608D">
              <w:rPr>
                <w:rFonts w:ascii="Arial" w:hAnsi="Arial" w:cstheme="minorBidi"/>
                <w:color w:val="000000"/>
                <w:sz w:val="22"/>
                <w:szCs w:val="22"/>
                <w:cs/>
              </w:rPr>
              <w:tab/>
            </w:r>
            <w:r w:rsidRPr="001C608D">
              <w:rPr>
                <w:rFonts w:ascii="Arial" w:hAnsi="Arial" w:cs="Arial"/>
                <w:color w:val="000000"/>
                <w:sz w:val="22"/>
                <w:szCs w:val="22"/>
                <w:lang w:val="en-US"/>
              </w:rPr>
              <w:t xml:space="preserve">included in </w:t>
            </w:r>
            <w:r w:rsidRPr="001C608D">
              <w:rPr>
                <w:rFonts w:ascii="Arial" w:hAnsi="Arial" w:cs="Arial"/>
                <w:color w:val="000000"/>
                <w:sz w:val="22"/>
                <w:szCs w:val="22"/>
                <w:cs/>
              </w:rPr>
              <w:t>normal interest</w:t>
            </w:r>
            <w:r w:rsidRPr="001C608D">
              <w:rPr>
                <w:rFonts w:ascii="Arial" w:hAnsi="Arial" w:cstheme="minorBidi" w:hint="cs"/>
                <w:color w:val="000000"/>
                <w:sz w:val="22"/>
                <w:szCs w:val="22"/>
                <w:cs/>
              </w:rPr>
              <w:t xml:space="preserve"> </w:t>
            </w:r>
            <w:r w:rsidRPr="001C608D">
              <w:rPr>
                <w:rFonts w:ascii="Arial" w:hAnsi="Arial" w:cs="Arial"/>
                <w:color w:val="000000"/>
                <w:sz w:val="22"/>
                <w:szCs w:val="22"/>
                <w:cs/>
              </w:rPr>
              <w:t>receivable</w:t>
            </w:r>
          </w:p>
        </w:tc>
        <w:tc>
          <w:tcPr>
            <w:tcW w:w="1260" w:type="dxa"/>
            <w:shd w:val="clear" w:color="auto" w:fill="auto"/>
            <w:vAlign w:val="bottom"/>
          </w:tcPr>
          <w:p w:rsidR="006D1135" w:rsidRPr="001C608D" w:rsidRDefault="001B2D1E" w:rsidP="001239D8">
            <w:pPr>
              <w:tabs>
                <w:tab w:val="decimal" w:pos="882"/>
              </w:tabs>
              <w:spacing w:line="340" w:lineRule="exact"/>
              <w:ind w:right="61"/>
              <w:rPr>
                <w:rFonts w:ascii="Arial" w:hAnsi="Arial" w:cstheme="minorBidi"/>
                <w:color w:val="000000"/>
                <w:sz w:val="22"/>
                <w:szCs w:val="22"/>
                <w:lang w:val="en-US"/>
              </w:rPr>
            </w:pPr>
            <w:r w:rsidRPr="001C608D">
              <w:rPr>
                <w:rFonts w:ascii="Arial" w:hAnsi="Arial" w:cstheme="minorBidi"/>
                <w:color w:val="000000"/>
                <w:sz w:val="22"/>
                <w:szCs w:val="22"/>
                <w:lang w:val="en-US"/>
              </w:rPr>
              <w:t>(46)</w:t>
            </w:r>
          </w:p>
        </w:tc>
        <w:tc>
          <w:tcPr>
            <w:tcW w:w="1260" w:type="dxa"/>
            <w:shd w:val="clear" w:color="auto" w:fill="auto"/>
            <w:vAlign w:val="bottom"/>
          </w:tcPr>
          <w:p w:rsidR="006D1135" w:rsidRPr="001C608D" w:rsidRDefault="001B2D1E" w:rsidP="001239D8">
            <w:pPr>
              <w:tabs>
                <w:tab w:val="decimal" w:pos="882"/>
              </w:tabs>
              <w:spacing w:line="340" w:lineRule="exact"/>
              <w:ind w:right="61"/>
              <w:rPr>
                <w:rFonts w:ascii="Arial" w:hAnsi="Arial" w:cs="Arial"/>
                <w:color w:val="000000"/>
                <w:sz w:val="22"/>
                <w:szCs w:val="22"/>
                <w:lang w:val="en-US"/>
              </w:rPr>
            </w:pPr>
            <w:r w:rsidRPr="001C608D">
              <w:rPr>
                <w:rFonts w:ascii="Arial" w:hAnsi="Arial" w:cs="Arial"/>
                <w:color w:val="000000"/>
                <w:sz w:val="22"/>
                <w:szCs w:val="22"/>
                <w:lang w:val="en-US"/>
              </w:rPr>
              <w:t>(165)</w:t>
            </w:r>
          </w:p>
        </w:tc>
        <w:tc>
          <w:tcPr>
            <w:tcW w:w="1260" w:type="dxa"/>
            <w:vAlign w:val="bottom"/>
          </w:tcPr>
          <w:p w:rsidR="006D1135" w:rsidRPr="001C608D" w:rsidRDefault="001B2D1E" w:rsidP="001239D8">
            <w:pPr>
              <w:tabs>
                <w:tab w:val="decimal" w:pos="882"/>
              </w:tabs>
              <w:spacing w:line="340" w:lineRule="exact"/>
              <w:ind w:right="61"/>
              <w:rPr>
                <w:rFonts w:ascii="Arial" w:hAnsi="Arial" w:cs="Arial"/>
                <w:color w:val="000000"/>
                <w:sz w:val="22"/>
                <w:szCs w:val="22"/>
                <w:lang w:val="en-US"/>
              </w:rPr>
            </w:pPr>
            <w:r w:rsidRPr="001C608D">
              <w:rPr>
                <w:rFonts w:ascii="Arial" w:hAnsi="Arial" w:cs="Arial"/>
                <w:color w:val="000000"/>
                <w:sz w:val="22"/>
                <w:szCs w:val="22"/>
                <w:lang w:val="en-US"/>
              </w:rPr>
              <w:t>(74)</w:t>
            </w:r>
          </w:p>
        </w:tc>
      </w:tr>
      <w:tr w:rsidR="006D1135" w:rsidRPr="001C608D" w:rsidTr="001B2D1E">
        <w:trPr>
          <w:trHeight w:val="288"/>
        </w:trPr>
        <w:tc>
          <w:tcPr>
            <w:tcW w:w="4050" w:type="dxa"/>
            <w:shd w:val="clear" w:color="auto" w:fill="auto"/>
          </w:tcPr>
          <w:p w:rsidR="006D1135" w:rsidRPr="001C608D" w:rsidRDefault="001B2D1E" w:rsidP="001239D8">
            <w:pPr>
              <w:spacing w:line="340" w:lineRule="exact"/>
              <w:ind w:left="207" w:hanging="207"/>
              <w:rPr>
                <w:rFonts w:ascii="Arial" w:hAnsi="Arial" w:cs="Arial"/>
                <w:color w:val="000000"/>
                <w:sz w:val="22"/>
                <w:szCs w:val="22"/>
                <w:cs/>
              </w:rPr>
            </w:pPr>
            <w:r w:rsidRPr="001C608D">
              <w:rPr>
                <w:rFonts w:ascii="Arial" w:hAnsi="Arial" w:cs="Arial"/>
                <w:color w:val="000000"/>
                <w:sz w:val="22"/>
                <w:szCs w:val="22"/>
                <w:cs/>
              </w:rPr>
              <w:t>Less: Interest received which is regarded as loan</w:t>
            </w:r>
            <w:r w:rsidRPr="001C608D">
              <w:rPr>
                <w:rFonts w:ascii="Arial" w:hAnsi="Arial" w:cs="Arial" w:hint="cs"/>
                <w:color w:val="000000"/>
                <w:sz w:val="22"/>
                <w:szCs w:val="22"/>
                <w:cs/>
              </w:rPr>
              <w:t xml:space="preserve"> </w:t>
            </w:r>
            <w:r w:rsidRPr="001C608D">
              <w:rPr>
                <w:rFonts w:ascii="Arial" w:hAnsi="Arial" w:cs="Arial"/>
                <w:color w:val="000000"/>
                <w:sz w:val="22"/>
                <w:szCs w:val="22"/>
                <w:cs/>
              </w:rPr>
              <w:t>repayment</w:t>
            </w:r>
          </w:p>
        </w:tc>
        <w:tc>
          <w:tcPr>
            <w:tcW w:w="1260" w:type="dxa"/>
            <w:shd w:val="clear" w:color="auto" w:fill="auto"/>
            <w:vAlign w:val="bottom"/>
          </w:tcPr>
          <w:p w:rsidR="006D1135" w:rsidRPr="001C608D" w:rsidRDefault="001B2D1E" w:rsidP="001239D8">
            <w:pPr>
              <w:pBdr>
                <w:bottom w:val="single" w:sz="4" w:space="1" w:color="auto"/>
              </w:pBdr>
              <w:tabs>
                <w:tab w:val="decimal" w:pos="882"/>
              </w:tabs>
              <w:spacing w:line="340" w:lineRule="exact"/>
              <w:ind w:right="61"/>
              <w:rPr>
                <w:rFonts w:ascii="Arial" w:hAnsi="Arial" w:cs="Arial"/>
                <w:color w:val="000000"/>
                <w:sz w:val="22"/>
                <w:szCs w:val="22"/>
                <w:lang w:val="en-US"/>
              </w:rPr>
            </w:pPr>
            <w:r w:rsidRPr="001C608D">
              <w:rPr>
                <w:rFonts w:ascii="Arial" w:hAnsi="Arial" w:cs="Arial"/>
                <w:color w:val="000000"/>
                <w:sz w:val="22"/>
                <w:szCs w:val="22"/>
                <w:lang w:val="en-US"/>
              </w:rPr>
              <w:t>(535)</w:t>
            </w:r>
          </w:p>
        </w:tc>
        <w:tc>
          <w:tcPr>
            <w:tcW w:w="1260" w:type="dxa"/>
            <w:shd w:val="clear" w:color="auto" w:fill="auto"/>
            <w:vAlign w:val="bottom"/>
          </w:tcPr>
          <w:p w:rsidR="006D1135" w:rsidRPr="001C608D" w:rsidRDefault="001B2D1E" w:rsidP="001239D8">
            <w:pPr>
              <w:pBdr>
                <w:bottom w:val="single" w:sz="4" w:space="1" w:color="auto"/>
              </w:pBdr>
              <w:tabs>
                <w:tab w:val="decimal" w:pos="882"/>
              </w:tabs>
              <w:spacing w:line="340" w:lineRule="exact"/>
              <w:ind w:right="61"/>
              <w:rPr>
                <w:rFonts w:ascii="Arial" w:hAnsi="Arial" w:cs="Arial"/>
                <w:color w:val="000000"/>
                <w:sz w:val="22"/>
                <w:szCs w:val="22"/>
                <w:lang w:val="en-US"/>
              </w:rPr>
            </w:pPr>
            <w:r w:rsidRPr="001C608D">
              <w:rPr>
                <w:rFonts w:ascii="Arial" w:hAnsi="Arial" w:cs="Arial"/>
                <w:color w:val="000000"/>
                <w:sz w:val="22"/>
                <w:szCs w:val="22"/>
                <w:lang w:val="en-US"/>
              </w:rPr>
              <w:t>(263)</w:t>
            </w:r>
          </w:p>
        </w:tc>
        <w:tc>
          <w:tcPr>
            <w:tcW w:w="1260" w:type="dxa"/>
            <w:vAlign w:val="bottom"/>
          </w:tcPr>
          <w:p w:rsidR="006D1135" w:rsidRPr="001C608D" w:rsidRDefault="001B2D1E" w:rsidP="001239D8">
            <w:pPr>
              <w:pBdr>
                <w:bottom w:val="single" w:sz="4" w:space="1" w:color="auto"/>
              </w:pBdr>
              <w:tabs>
                <w:tab w:val="decimal" w:pos="882"/>
              </w:tabs>
              <w:spacing w:line="340" w:lineRule="exact"/>
              <w:ind w:right="61"/>
              <w:rPr>
                <w:rFonts w:ascii="Arial" w:hAnsi="Arial" w:cs="Arial"/>
                <w:color w:val="000000"/>
                <w:sz w:val="22"/>
                <w:szCs w:val="22"/>
                <w:lang w:val="en-US"/>
              </w:rPr>
            </w:pPr>
            <w:r w:rsidRPr="001C608D">
              <w:rPr>
                <w:rFonts w:ascii="Arial" w:hAnsi="Arial" w:cs="Arial"/>
                <w:color w:val="000000"/>
                <w:sz w:val="22"/>
                <w:szCs w:val="22"/>
                <w:lang w:val="en-US"/>
              </w:rPr>
              <w:t>(67)</w:t>
            </w:r>
          </w:p>
        </w:tc>
      </w:tr>
      <w:tr w:rsidR="001B2D1E" w:rsidRPr="001C608D" w:rsidTr="001B2D1E">
        <w:trPr>
          <w:trHeight w:val="288"/>
        </w:trPr>
        <w:tc>
          <w:tcPr>
            <w:tcW w:w="4050" w:type="dxa"/>
            <w:shd w:val="clear" w:color="auto" w:fill="auto"/>
          </w:tcPr>
          <w:p w:rsidR="001B2D1E" w:rsidRPr="001C608D" w:rsidRDefault="001B2D1E" w:rsidP="001239D8">
            <w:pPr>
              <w:spacing w:line="340" w:lineRule="exact"/>
              <w:ind w:left="207" w:hanging="207"/>
              <w:rPr>
                <w:rFonts w:ascii="Arial" w:hAnsi="Arial" w:cstheme="minorBidi"/>
                <w:color w:val="000000"/>
                <w:sz w:val="22"/>
                <w:szCs w:val="22"/>
                <w:cs/>
              </w:rPr>
            </w:pPr>
          </w:p>
        </w:tc>
        <w:tc>
          <w:tcPr>
            <w:tcW w:w="1260" w:type="dxa"/>
            <w:shd w:val="clear" w:color="auto" w:fill="auto"/>
            <w:vAlign w:val="bottom"/>
          </w:tcPr>
          <w:p w:rsidR="001B2D1E" w:rsidRPr="001C608D" w:rsidRDefault="001B2D1E" w:rsidP="001239D8">
            <w:pPr>
              <w:tabs>
                <w:tab w:val="decimal" w:pos="882"/>
              </w:tabs>
              <w:spacing w:line="340" w:lineRule="exact"/>
              <w:ind w:right="61"/>
              <w:rPr>
                <w:rFonts w:ascii="Arial" w:hAnsi="Arial" w:cstheme="minorBidi"/>
                <w:color w:val="000000"/>
                <w:sz w:val="22"/>
                <w:szCs w:val="22"/>
                <w:lang w:val="en-US"/>
              </w:rPr>
            </w:pPr>
            <w:r w:rsidRPr="001C608D">
              <w:rPr>
                <w:rFonts w:ascii="Arial" w:hAnsi="Arial" w:cstheme="minorBidi"/>
                <w:color w:val="000000"/>
                <w:sz w:val="22"/>
                <w:szCs w:val="22"/>
                <w:lang w:val="en-US"/>
              </w:rPr>
              <w:t>356</w:t>
            </w:r>
          </w:p>
        </w:tc>
        <w:tc>
          <w:tcPr>
            <w:tcW w:w="1260" w:type="dxa"/>
            <w:shd w:val="clear" w:color="auto" w:fill="auto"/>
            <w:vAlign w:val="bottom"/>
          </w:tcPr>
          <w:p w:rsidR="001B2D1E" w:rsidRPr="001C608D" w:rsidRDefault="001B2D1E" w:rsidP="001239D8">
            <w:pPr>
              <w:tabs>
                <w:tab w:val="decimal" w:pos="882"/>
              </w:tabs>
              <w:spacing w:line="340" w:lineRule="exact"/>
              <w:ind w:right="61"/>
              <w:rPr>
                <w:rFonts w:ascii="Arial" w:hAnsi="Arial" w:cs="Arial"/>
                <w:color w:val="000000"/>
                <w:sz w:val="22"/>
                <w:szCs w:val="22"/>
                <w:lang w:val="en-US"/>
              </w:rPr>
            </w:pPr>
            <w:r w:rsidRPr="001C608D">
              <w:rPr>
                <w:rFonts w:ascii="Arial" w:hAnsi="Arial" w:cs="Arial"/>
                <w:color w:val="000000"/>
                <w:sz w:val="22"/>
                <w:szCs w:val="22"/>
                <w:lang w:val="en-US"/>
              </w:rPr>
              <w:t>1,235</w:t>
            </w:r>
          </w:p>
        </w:tc>
        <w:tc>
          <w:tcPr>
            <w:tcW w:w="1260" w:type="dxa"/>
            <w:vAlign w:val="bottom"/>
          </w:tcPr>
          <w:p w:rsidR="001B2D1E" w:rsidRPr="001C608D" w:rsidRDefault="001B2D1E" w:rsidP="001239D8">
            <w:pPr>
              <w:tabs>
                <w:tab w:val="decimal" w:pos="882"/>
              </w:tabs>
              <w:spacing w:line="340" w:lineRule="exact"/>
              <w:ind w:right="61"/>
              <w:rPr>
                <w:rFonts w:ascii="Arial" w:hAnsi="Arial" w:cs="Arial"/>
                <w:color w:val="000000"/>
                <w:sz w:val="22"/>
                <w:szCs w:val="22"/>
                <w:lang w:val="en-US"/>
              </w:rPr>
            </w:pPr>
            <w:r w:rsidRPr="001C608D">
              <w:rPr>
                <w:rFonts w:ascii="Arial" w:hAnsi="Arial" w:cs="Arial"/>
                <w:color w:val="000000"/>
                <w:sz w:val="22"/>
                <w:szCs w:val="22"/>
                <w:lang w:val="en-US"/>
              </w:rPr>
              <w:t>1,438</w:t>
            </w:r>
          </w:p>
        </w:tc>
      </w:tr>
      <w:tr w:rsidR="006D1135" w:rsidRPr="001C608D" w:rsidTr="007D6A73">
        <w:trPr>
          <w:trHeight w:val="444"/>
        </w:trPr>
        <w:tc>
          <w:tcPr>
            <w:tcW w:w="4050" w:type="dxa"/>
            <w:shd w:val="clear" w:color="auto" w:fill="auto"/>
          </w:tcPr>
          <w:p w:rsidR="006D1135" w:rsidRPr="001C608D" w:rsidRDefault="006D1135" w:rsidP="001239D8">
            <w:pPr>
              <w:spacing w:line="340" w:lineRule="exact"/>
              <w:ind w:left="162" w:hanging="162"/>
              <w:rPr>
                <w:rFonts w:ascii="Arial" w:hAnsi="Arial" w:cs="Arial"/>
                <w:color w:val="000000"/>
                <w:sz w:val="22"/>
                <w:szCs w:val="22"/>
                <w:cs/>
              </w:rPr>
            </w:pPr>
            <w:r w:rsidRPr="001C608D">
              <w:rPr>
                <w:rFonts w:ascii="Arial" w:hAnsi="Arial" w:cs="Arial"/>
                <w:color w:val="000000"/>
                <w:sz w:val="22"/>
                <w:szCs w:val="22"/>
                <w:cs/>
              </w:rPr>
              <w:t xml:space="preserve">Provision for loss as recorded </w:t>
            </w:r>
          </w:p>
          <w:p w:rsidR="006D1135" w:rsidRPr="001C608D" w:rsidRDefault="006D1135" w:rsidP="001239D8">
            <w:pPr>
              <w:spacing w:line="340" w:lineRule="exact"/>
              <w:ind w:left="162" w:hanging="162"/>
              <w:rPr>
                <w:rFonts w:ascii="Arial" w:hAnsi="Arial" w:cs="Arial"/>
                <w:color w:val="000000"/>
                <w:sz w:val="22"/>
                <w:szCs w:val="22"/>
                <w:cs/>
              </w:rPr>
            </w:pPr>
            <w:r w:rsidRPr="001C608D">
              <w:rPr>
                <w:rFonts w:ascii="Arial" w:hAnsi="Arial" w:cs="Arial"/>
                <w:color w:val="000000"/>
                <w:sz w:val="22"/>
                <w:szCs w:val="22"/>
                <w:cs/>
              </w:rPr>
              <w:t xml:space="preserve">   in the year 2017</w:t>
            </w:r>
          </w:p>
        </w:tc>
        <w:tc>
          <w:tcPr>
            <w:tcW w:w="1260" w:type="dxa"/>
            <w:shd w:val="clear" w:color="auto" w:fill="auto"/>
            <w:vAlign w:val="center"/>
          </w:tcPr>
          <w:p w:rsidR="006D1135" w:rsidRPr="001C608D" w:rsidRDefault="006D1135" w:rsidP="001239D8">
            <w:pPr>
              <w:pBdr>
                <w:bottom w:val="single" w:sz="4" w:space="1" w:color="auto"/>
              </w:pBdr>
              <w:tabs>
                <w:tab w:val="decimal" w:pos="882"/>
              </w:tabs>
              <w:spacing w:line="340" w:lineRule="exact"/>
              <w:ind w:right="61"/>
              <w:rPr>
                <w:rFonts w:ascii="Arial" w:hAnsi="Arial" w:cs="Arial"/>
                <w:color w:val="000000"/>
                <w:sz w:val="22"/>
                <w:szCs w:val="22"/>
                <w:lang w:val="en-US"/>
              </w:rPr>
            </w:pPr>
          </w:p>
          <w:p w:rsidR="006D1135" w:rsidRPr="001C608D" w:rsidRDefault="006D1135" w:rsidP="001239D8">
            <w:pPr>
              <w:pBdr>
                <w:bottom w:val="single" w:sz="4" w:space="1" w:color="auto"/>
              </w:pBdr>
              <w:tabs>
                <w:tab w:val="decimal" w:pos="882"/>
              </w:tabs>
              <w:spacing w:line="340" w:lineRule="exact"/>
              <w:ind w:right="61"/>
              <w:rPr>
                <w:rFonts w:ascii="Arial" w:hAnsi="Arial" w:cs="Arial"/>
                <w:color w:val="000000"/>
                <w:sz w:val="22"/>
                <w:szCs w:val="22"/>
                <w:cs/>
                <w:lang w:val="en-US"/>
              </w:rPr>
            </w:pPr>
            <w:r w:rsidRPr="001C608D">
              <w:rPr>
                <w:rFonts w:ascii="Arial" w:hAnsi="Arial" w:cs="Arial"/>
                <w:color w:val="000000"/>
                <w:sz w:val="22"/>
                <w:szCs w:val="22"/>
                <w:cs/>
                <w:lang w:val="en-US"/>
              </w:rPr>
              <w:t>(</w:t>
            </w:r>
            <w:r w:rsidR="001B2D1E" w:rsidRPr="001C608D">
              <w:rPr>
                <w:rFonts w:ascii="Arial" w:hAnsi="Arial" w:cs="Arial"/>
                <w:color w:val="000000"/>
                <w:sz w:val="22"/>
                <w:szCs w:val="22"/>
                <w:lang w:val="en-US"/>
              </w:rPr>
              <w:t>356</w:t>
            </w:r>
            <w:r w:rsidRPr="001C608D">
              <w:rPr>
                <w:rFonts w:ascii="Arial" w:hAnsi="Arial" w:cs="Arial"/>
                <w:color w:val="000000"/>
                <w:sz w:val="22"/>
                <w:szCs w:val="22"/>
                <w:cs/>
                <w:lang w:val="en-US"/>
              </w:rPr>
              <w:t>)</w:t>
            </w:r>
          </w:p>
        </w:tc>
        <w:tc>
          <w:tcPr>
            <w:tcW w:w="1260" w:type="dxa"/>
            <w:shd w:val="clear" w:color="auto" w:fill="auto"/>
            <w:vAlign w:val="center"/>
          </w:tcPr>
          <w:p w:rsidR="006D1135" w:rsidRPr="001C608D" w:rsidRDefault="006D1135" w:rsidP="001239D8">
            <w:pPr>
              <w:pBdr>
                <w:bottom w:val="single" w:sz="4" w:space="1" w:color="auto"/>
              </w:pBdr>
              <w:tabs>
                <w:tab w:val="decimal" w:pos="882"/>
              </w:tabs>
              <w:spacing w:line="340" w:lineRule="exact"/>
              <w:ind w:right="61"/>
              <w:rPr>
                <w:rFonts w:ascii="Arial" w:hAnsi="Arial" w:cs="Arial"/>
                <w:color w:val="000000"/>
                <w:sz w:val="22"/>
                <w:szCs w:val="22"/>
                <w:cs/>
                <w:lang w:val="en-US"/>
              </w:rPr>
            </w:pPr>
          </w:p>
          <w:p w:rsidR="006D1135" w:rsidRPr="001C608D" w:rsidRDefault="006D1135" w:rsidP="001239D8">
            <w:pPr>
              <w:pBdr>
                <w:bottom w:val="single" w:sz="4" w:space="1" w:color="auto"/>
              </w:pBdr>
              <w:tabs>
                <w:tab w:val="decimal" w:pos="882"/>
              </w:tabs>
              <w:spacing w:line="340" w:lineRule="exact"/>
              <w:ind w:right="61"/>
              <w:rPr>
                <w:rFonts w:ascii="Arial" w:hAnsi="Arial" w:cs="Arial"/>
                <w:color w:val="000000"/>
                <w:sz w:val="22"/>
                <w:szCs w:val="22"/>
                <w:cs/>
                <w:lang w:val="en-US"/>
              </w:rPr>
            </w:pPr>
            <w:r w:rsidRPr="001C608D">
              <w:rPr>
                <w:rFonts w:ascii="Arial" w:hAnsi="Arial" w:cs="Arial"/>
                <w:color w:val="000000"/>
                <w:sz w:val="22"/>
                <w:szCs w:val="22"/>
                <w:cs/>
                <w:lang w:val="en-US"/>
              </w:rPr>
              <w:t>-</w:t>
            </w:r>
          </w:p>
        </w:tc>
        <w:tc>
          <w:tcPr>
            <w:tcW w:w="1260" w:type="dxa"/>
            <w:vAlign w:val="center"/>
          </w:tcPr>
          <w:p w:rsidR="006D1135" w:rsidRPr="001C608D" w:rsidRDefault="006D1135" w:rsidP="001239D8">
            <w:pPr>
              <w:pBdr>
                <w:bottom w:val="single" w:sz="4" w:space="1" w:color="auto"/>
              </w:pBdr>
              <w:tabs>
                <w:tab w:val="decimal" w:pos="882"/>
              </w:tabs>
              <w:spacing w:line="340" w:lineRule="exact"/>
              <w:ind w:right="61"/>
              <w:rPr>
                <w:rFonts w:ascii="Arial" w:hAnsi="Arial" w:cs="Arial"/>
                <w:color w:val="000000"/>
                <w:sz w:val="22"/>
                <w:szCs w:val="22"/>
                <w:cs/>
                <w:lang w:val="en-US"/>
              </w:rPr>
            </w:pPr>
          </w:p>
          <w:p w:rsidR="006D1135" w:rsidRPr="001C608D" w:rsidRDefault="006D1135" w:rsidP="001239D8">
            <w:pPr>
              <w:pBdr>
                <w:bottom w:val="single" w:sz="4" w:space="1" w:color="auto"/>
              </w:pBdr>
              <w:tabs>
                <w:tab w:val="decimal" w:pos="882"/>
              </w:tabs>
              <w:spacing w:line="340" w:lineRule="exact"/>
              <w:ind w:right="61"/>
              <w:rPr>
                <w:rFonts w:ascii="Arial" w:hAnsi="Arial" w:cs="Arial"/>
                <w:color w:val="000000"/>
                <w:sz w:val="22"/>
                <w:szCs w:val="22"/>
                <w:cs/>
                <w:lang w:val="en-US"/>
              </w:rPr>
            </w:pPr>
            <w:r w:rsidRPr="001C608D">
              <w:rPr>
                <w:rFonts w:ascii="Arial" w:hAnsi="Arial" w:cs="Arial"/>
                <w:color w:val="000000"/>
                <w:sz w:val="22"/>
                <w:szCs w:val="22"/>
                <w:cs/>
                <w:lang w:val="en-US"/>
              </w:rPr>
              <w:t>-</w:t>
            </w:r>
          </w:p>
        </w:tc>
      </w:tr>
      <w:tr w:rsidR="006D1135" w:rsidRPr="001C608D" w:rsidTr="007D6A73">
        <w:trPr>
          <w:trHeight w:val="444"/>
        </w:trPr>
        <w:tc>
          <w:tcPr>
            <w:tcW w:w="4050" w:type="dxa"/>
            <w:shd w:val="clear" w:color="auto" w:fill="auto"/>
          </w:tcPr>
          <w:p w:rsidR="006D1135" w:rsidRPr="001C608D" w:rsidRDefault="006D1135" w:rsidP="001239D8">
            <w:pPr>
              <w:spacing w:line="340" w:lineRule="exact"/>
              <w:ind w:left="162" w:hanging="162"/>
              <w:rPr>
                <w:rFonts w:ascii="Arial" w:hAnsi="Arial" w:cs="Arial"/>
                <w:color w:val="000000"/>
                <w:sz w:val="22"/>
                <w:szCs w:val="22"/>
                <w:cs/>
              </w:rPr>
            </w:pPr>
            <w:r w:rsidRPr="001C608D">
              <w:rPr>
                <w:rFonts w:ascii="Arial" w:hAnsi="Arial" w:cs="Arial"/>
                <w:color w:val="000000"/>
                <w:sz w:val="22"/>
                <w:szCs w:val="22"/>
                <w:cs/>
              </w:rPr>
              <w:t>Net</w:t>
            </w:r>
          </w:p>
        </w:tc>
        <w:tc>
          <w:tcPr>
            <w:tcW w:w="1260" w:type="dxa"/>
            <w:shd w:val="clear" w:color="auto" w:fill="auto"/>
            <w:vAlign w:val="center"/>
          </w:tcPr>
          <w:p w:rsidR="006D1135" w:rsidRPr="001C608D" w:rsidRDefault="006D1135" w:rsidP="001239D8">
            <w:pPr>
              <w:pBdr>
                <w:bottom w:val="double" w:sz="4" w:space="1" w:color="auto"/>
              </w:pBdr>
              <w:tabs>
                <w:tab w:val="decimal" w:pos="882"/>
              </w:tabs>
              <w:spacing w:line="340" w:lineRule="exact"/>
              <w:ind w:right="61"/>
              <w:rPr>
                <w:rFonts w:ascii="Arial" w:hAnsi="Arial" w:cs="Arial"/>
                <w:color w:val="000000"/>
                <w:sz w:val="22"/>
                <w:szCs w:val="22"/>
                <w:cs/>
                <w:lang w:val="en-US"/>
              </w:rPr>
            </w:pPr>
            <w:r w:rsidRPr="001C608D">
              <w:rPr>
                <w:rFonts w:ascii="Arial" w:hAnsi="Arial" w:cs="Arial"/>
                <w:color w:val="000000"/>
                <w:sz w:val="22"/>
                <w:szCs w:val="22"/>
                <w:cs/>
                <w:lang w:val="en-US"/>
              </w:rPr>
              <w:t>-</w:t>
            </w:r>
          </w:p>
        </w:tc>
        <w:tc>
          <w:tcPr>
            <w:tcW w:w="1260" w:type="dxa"/>
            <w:shd w:val="clear" w:color="auto" w:fill="auto"/>
            <w:vAlign w:val="center"/>
          </w:tcPr>
          <w:p w:rsidR="006D1135" w:rsidRPr="001C608D" w:rsidRDefault="006D1135" w:rsidP="001239D8">
            <w:pPr>
              <w:pBdr>
                <w:bottom w:val="double" w:sz="4" w:space="1" w:color="auto"/>
              </w:pBdr>
              <w:tabs>
                <w:tab w:val="decimal" w:pos="882"/>
              </w:tabs>
              <w:spacing w:line="340" w:lineRule="exact"/>
              <w:ind w:right="61"/>
              <w:rPr>
                <w:rFonts w:ascii="Arial" w:hAnsi="Arial" w:cs="Arial"/>
                <w:color w:val="000000"/>
                <w:sz w:val="22"/>
                <w:szCs w:val="22"/>
                <w:cs/>
                <w:lang w:val="en-US"/>
              </w:rPr>
            </w:pPr>
            <w:r w:rsidRPr="001C608D">
              <w:rPr>
                <w:rFonts w:ascii="Arial" w:hAnsi="Arial" w:cs="Arial"/>
                <w:color w:val="000000"/>
                <w:sz w:val="22"/>
                <w:szCs w:val="22"/>
                <w:cs/>
                <w:lang w:val="en-US"/>
              </w:rPr>
              <w:t>1,</w:t>
            </w:r>
            <w:r w:rsidR="001B2D1E" w:rsidRPr="001C608D">
              <w:rPr>
                <w:rFonts w:ascii="Arial" w:hAnsi="Arial" w:cs="Arial"/>
                <w:color w:val="000000"/>
                <w:sz w:val="22"/>
                <w:szCs w:val="22"/>
                <w:lang w:val="en-US"/>
              </w:rPr>
              <w:t>235</w:t>
            </w:r>
          </w:p>
        </w:tc>
        <w:tc>
          <w:tcPr>
            <w:tcW w:w="1260" w:type="dxa"/>
            <w:vAlign w:val="center"/>
          </w:tcPr>
          <w:p w:rsidR="006D1135" w:rsidRPr="001C608D" w:rsidRDefault="006D1135" w:rsidP="001239D8">
            <w:pPr>
              <w:pBdr>
                <w:bottom w:val="double" w:sz="4" w:space="1" w:color="auto"/>
              </w:pBdr>
              <w:tabs>
                <w:tab w:val="decimal" w:pos="882"/>
              </w:tabs>
              <w:spacing w:line="340" w:lineRule="exact"/>
              <w:ind w:right="61"/>
              <w:rPr>
                <w:rFonts w:ascii="Arial" w:hAnsi="Arial" w:cs="Arial"/>
                <w:color w:val="000000"/>
                <w:sz w:val="22"/>
                <w:szCs w:val="22"/>
                <w:lang w:val="en-US"/>
              </w:rPr>
            </w:pPr>
            <w:r w:rsidRPr="001C608D">
              <w:rPr>
                <w:rFonts w:ascii="Arial" w:hAnsi="Arial" w:cs="Arial"/>
                <w:color w:val="000000"/>
                <w:sz w:val="22"/>
                <w:szCs w:val="22"/>
                <w:cs/>
                <w:lang w:val="en-US"/>
              </w:rPr>
              <w:t>1,</w:t>
            </w:r>
            <w:r w:rsidR="001B2D1E" w:rsidRPr="001C608D">
              <w:rPr>
                <w:rFonts w:ascii="Arial" w:hAnsi="Arial" w:cs="Arial"/>
                <w:color w:val="000000"/>
                <w:sz w:val="22"/>
                <w:szCs w:val="22"/>
                <w:lang w:val="en-US"/>
              </w:rPr>
              <w:t>438</w:t>
            </w:r>
          </w:p>
        </w:tc>
      </w:tr>
    </w:tbl>
    <w:p w:rsidR="00737ABF" w:rsidRPr="001C608D" w:rsidRDefault="00355B7A" w:rsidP="0015492F">
      <w:pPr>
        <w:pStyle w:val="ListParagraph"/>
        <w:numPr>
          <w:ilvl w:val="0"/>
          <w:numId w:val="7"/>
        </w:numPr>
        <w:spacing w:before="240" w:after="120" w:line="380" w:lineRule="exact"/>
        <w:ind w:left="547" w:hanging="547"/>
        <w:contextualSpacing w:val="0"/>
        <w:rPr>
          <w:rFonts w:ascii="Arial" w:hAnsi="Arial" w:cs="Arial"/>
          <w:b/>
          <w:bCs/>
          <w:sz w:val="22"/>
          <w:szCs w:val="22"/>
          <w:cs/>
        </w:rPr>
      </w:pPr>
      <w:r w:rsidRPr="001C608D">
        <w:rPr>
          <w:rFonts w:ascii="Arial" w:hAnsi="Arial" w:cs="Arial"/>
          <w:b/>
          <w:bCs/>
          <w:sz w:val="22"/>
          <w:szCs w:val="22"/>
          <w:cs/>
        </w:rPr>
        <w:lastRenderedPageBreak/>
        <w:t>Qualified Opinion</w:t>
      </w:r>
    </w:p>
    <w:p w:rsidR="00355B7A" w:rsidRPr="001C608D" w:rsidRDefault="00355B7A" w:rsidP="0015492F">
      <w:pPr>
        <w:pStyle w:val="BodyText"/>
        <w:spacing w:before="120" w:after="120" w:line="380" w:lineRule="exact"/>
        <w:ind w:left="547" w:right="-43"/>
        <w:jc w:val="left"/>
        <w:rPr>
          <w:rFonts w:ascii="Arial" w:hAnsi="Arial" w:cstheme="minorBidi"/>
          <w:sz w:val="22"/>
          <w:szCs w:val="22"/>
        </w:rPr>
      </w:pPr>
      <w:r w:rsidRPr="001C608D">
        <w:rPr>
          <w:rFonts w:ascii="Arial" w:hAnsi="Arial" w:cs="Arial"/>
          <w:sz w:val="22"/>
          <w:szCs w:val="22"/>
        </w:rPr>
        <w:t xml:space="preserve">I have audited the accompanying consolidated financial statements of Group Lease Public Company Limited and its subsidiaries </w:t>
      </w:r>
      <w:r w:rsidRPr="001C608D">
        <w:rPr>
          <w:rFonts w:ascii="Arial" w:hAnsi="Arial" w:cs="Arial"/>
          <w:spacing w:val="-3"/>
          <w:sz w:val="22"/>
          <w:szCs w:val="22"/>
        </w:rPr>
        <w:t>(the Group)</w:t>
      </w:r>
      <w:r w:rsidRPr="001C608D">
        <w:rPr>
          <w:rFonts w:ascii="Arial" w:hAnsi="Arial" w:cs="Arial"/>
          <w:sz w:val="22"/>
          <w:szCs w:val="22"/>
        </w:rPr>
        <w:t xml:space="preserve">, which comprise the </w:t>
      </w:r>
      <w:r w:rsidRPr="001C608D">
        <w:rPr>
          <w:rFonts w:ascii="Arial" w:hAnsi="Arial" w:cs="Arial"/>
          <w:spacing w:val="-3"/>
          <w:sz w:val="22"/>
          <w:szCs w:val="22"/>
        </w:rPr>
        <w:t>consolidated statements of financial position</w:t>
      </w:r>
      <w:r w:rsidRPr="001C608D">
        <w:rPr>
          <w:rFonts w:ascii="Arial" w:hAnsi="Arial" w:cs="Arial"/>
          <w:sz w:val="22"/>
          <w:szCs w:val="22"/>
        </w:rPr>
        <w:t xml:space="preserve"> as at 31 December 2017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Group Lease Public Company Limited for the same period.</w:t>
      </w:r>
      <w:r w:rsidRPr="001C608D">
        <w:rPr>
          <w:rFonts w:ascii="Arial" w:hAnsi="Arial" w:cs="Arial"/>
          <w:sz w:val="22"/>
          <w:szCs w:val="22"/>
          <w:cs/>
        </w:rPr>
        <w:t xml:space="preserve"> </w:t>
      </w:r>
    </w:p>
    <w:p w:rsidR="00355B7A" w:rsidRPr="001C608D" w:rsidRDefault="00355B7A" w:rsidP="0015492F">
      <w:pPr>
        <w:pStyle w:val="Ps-000-normal0"/>
        <w:spacing w:before="120" w:line="380" w:lineRule="exact"/>
        <w:ind w:left="540"/>
        <w:rPr>
          <w:rFonts w:ascii="Arial" w:hAnsi="Arial" w:cs="Arial"/>
          <w:color w:val="auto"/>
          <w:sz w:val="22"/>
          <w:szCs w:val="22"/>
        </w:rPr>
      </w:pPr>
      <w:r w:rsidRPr="001C608D">
        <w:rPr>
          <w:rFonts w:ascii="Arial" w:hAnsi="Arial" w:cs="Arial"/>
          <w:color w:val="auto"/>
          <w:sz w:val="22"/>
          <w:szCs w:val="22"/>
        </w:rPr>
        <w:t xml:space="preserve">I conducted my audit in accordance with Thai Standards on Auditing. My responsibilities under those standards are further described in the </w:t>
      </w:r>
      <w:r w:rsidRPr="001C608D">
        <w:rPr>
          <w:rFonts w:ascii="Arial" w:hAnsi="Arial" w:cs="Arial"/>
          <w:i/>
          <w:iCs/>
          <w:color w:val="auto"/>
          <w:sz w:val="22"/>
          <w:szCs w:val="22"/>
        </w:rPr>
        <w:t>Auditor’s Responsibilities for the Audit of the Financial Statements</w:t>
      </w:r>
      <w:r w:rsidRPr="001C608D">
        <w:rPr>
          <w:rFonts w:ascii="Arial" w:hAnsi="Arial" w:cs="Arial"/>
          <w:color w:val="auto"/>
          <w:sz w:val="22"/>
          <w:szCs w:val="22"/>
        </w:rPr>
        <w:t xml:space="preserve"> section of my report. I am independent of the Group in accordance with the</w:t>
      </w:r>
      <w:r w:rsidRPr="001C608D">
        <w:rPr>
          <w:rFonts w:ascii="Arial" w:hAnsi="Arial" w:cs="Arial"/>
          <w:i/>
          <w:iCs/>
          <w:color w:val="auto"/>
          <w:sz w:val="22"/>
          <w:szCs w:val="22"/>
        </w:rPr>
        <w:t xml:space="preserve"> </w:t>
      </w:r>
      <w:r w:rsidRPr="001C608D">
        <w:rPr>
          <w:rFonts w:ascii="Arial" w:hAnsi="Arial" w:cs="Arial"/>
          <w:color w:val="auto"/>
          <w:sz w:val="22"/>
          <w:szCs w:val="22"/>
        </w:rPr>
        <w:t>Code of Ethics for Professional Accountants</w:t>
      </w:r>
      <w:r w:rsidRPr="001C608D">
        <w:rPr>
          <w:rFonts w:ascii="Arial" w:hAnsi="Arial" w:cs="Arial"/>
          <w:i/>
          <w:iCs/>
          <w:color w:val="auto"/>
          <w:sz w:val="22"/>
          <w:szCs w:val="22"/>
          <w:cs/>
        </w:rPr>
        <w:t xml:space="preserve"> </w:t>
      </w:r>
      <w:r w:rsidRPr="001C608D">
        <w:rPr>
          <w:rFonts w:ascii="Arial" w:hAnsi="Arial" w:cs="Arial"/>
          <w:color w:val="auto"/>
          <w:sz w:val="22"/>
          <w:szCs w:val="22"/>
        </w:rPr>
        <w:t>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qualified opinion</w:t>
      </w:r>
      <w:r w:rsidRPr="001C608D">
        <w:rPr>
          <w:rFonts w:ascii="Arial" w:hAnsi="Arial" w:cs="Arial"/>
          <w:color w:val="auto"/>
          <w:sz w:val="22"/>
          <w:szCs w:val="22"/>
          <w:cs/>
        </w:rPr>
        <w:t xml:space="preserve"> </w:t>
      </w:r>
      <w:r w:rsidRPr="001C608D">
        <w:rPr>
          <w:rFonts w:ascii="Arial" w:hAnsi="Arial" w:cs="Arial"/>
          <w:color w:val="auto"/>
          <w:sz w:val="22"/>
          <w:szCs w:val="22"/>
        </w:rPr>
        <w:t>on the financial statements.</w:t>
      </w:r>
    </w:p>
    <w:p w:rsidR="0015492F" w:rsidRPr="001C608D" w:rsidRDefault="00355B7A" w:rsidP="0015492F">
      <w:pPr>
        <w:pStyle w:val="Ps-000-normal0"/>
        <w:spacing w:before="120" w:line="380" w:lineRule="exact"/>
        <w:ind w:left="540"/>
        <w:rPr>
          <w:rFonts w:ascii="Arial" w:hAnsi="Arial" w:cs="Arial"/>
          <w:color w:val="auto"/>
          <w:sz w:val="22"/>
          <w:szCs w:val="22"/>
        </w:rPr>
      </w:pPr>
      <w:r w:rsidRPr="001C608D">
        <w:rPr>
          <w:rFonts w:ascii="Arial" w:hAnsi="Arial" w:cs="Arial"/>
          <w:color w:val="auto"/>
          <w:sz w:val="22"/>
          <w:szCs w:val="22"/>
        </w:rPr>
        <w:t xml:space="preserve">In my opinion, except for the possible effects on the matters described and detailed in the </w:t>
      </w:r>
      <w:r w:rsidRPr="001C608D">
        <w:rPr>
          <w:rFonts w:ascii="Arial" w:hAnsi="Arial" w:cs="Arial"/>
          <w:i/>
          <w:iCs/>
          <w:color w:val="auto"/>
          <w:sz w:val="22"/>
          <w:szCs w:val="22"/>
        </w:rPr>
        <w:t xml:space="preserve">Basis for Qualified Opinion </w:t>
      </w:r>
      <w:r w:rsidRPr="001C608D">
        <w:rPr>
          <w:rFonts w:ascii="Arial" w:hAnsi="Arial" w:cs="Arial"/>
          <w:color w:val="auto"/>
          <w:sz w:val="22"/>
          <w:szCs w:val="22"/>
        </w:rPr>
        <w:t xml:space="preserve">section of my report, which are </w:t>
      </w:r>
      <w:r w:rsidR="00C676C0" w:rsidRPr="001C608D">
        <w:rPr>
          <w:rFonts w:ascii="Arial" w:hAnsi="Arial" w:cs="Browallia New"/>
          <w:color w:val="auto"/>
          <w:sz w:val="22"/>
          <w:szCs w:val="28"/>
        </w:rPr>
        <w:t>limitations</w:t>
      </w:r>
      <w:r w:rsidRPr="001C608D">
        <w:rPr>
          <w:rFonts w:ascii="Arial" w:hAnsi="Arial" w:cs="Arial"/>
          <w:color w:val="auto"/>
          <w:sz w:val="22"/>
          <w:szCs w:val="22"/>
        </w:rPr>
        <w:t xml:space="preserve"> by circumstances</w:t>
      </w:r>
      <w:r w:rsidR="00C676C0" w:rsidRPr="001C608D">
        <w:rPr>
          <w:rFonts w:ascii="Arial" w:hAnsi="Arial" w:cs="Arial"/>
          <w:color w:val="auto"/>
          <w:sz w:val="22"/>
          <w:szCs w:val="22"/>
        </w:rPr>
        <w:t>,</w:t>
      </w:r>
      <w:r w:rsidRPr="001C608D">
        <w:rPr>
          <w:rFonts w:ascii="Arial" w:hAnsi="Arial" w:cs="Arial"/>
          <w:color w:val="auto"/>
          <w:sz w:val="22"/>
          <w:szCs w:val="22"/>
        </w:rPr>
        <w:t xml:space="preserve"> </w:t>
      </w:r>
      <w:r w:rsidRPr="001C608D">
        <w:rPr>
          <w:rFonts w:ascii="Arial" w:hAnsi="Arial" w:cs="Browallia New"/>
          <w:color w:val="auto"/>
          <w:sz w:val="22"/>
          <w:szCs w:val="22"/>
        </w:rPr>
        <w:t xml:space="preserve">pending </w:t>
      </w:r>
      <w:r w:rsidR="00C676C0" w:rsidRPr="001C608D">
        <w:rPr>
          <w:rFonts w:ascii="Arial" w:hAnsi="Arial" w:cs="Browallia New"/>
          <w:color w:val="auto"/>
          <w:sz w:val="22"/>
          <w:szCs w:val="22"/>
        </w:rPr>
        <w:t>investigation of</w:t>
      </w:r>
      <w:r w:rsidRPr="001C608D">
        <w:rPr>
          <w:rFonts w:ascii="Arial" w:hAnsi="Arial" w:cs="Browallia New"/>
          <w:color w:val="auto"/>
          <w:sz w:val="22"/>
          <w:szCs w:val="22"/>
        </w:rPr>
        <w:t xml:space="preserve"> the Department of Special Investigation (“DSI”)</w:t>
      </w:r>
      <w:r w:rsidR="000A3DDD" w:rsidRPr="001C608D">
        <w:rPr>
          <w:rFonts w:ascii="Arial" w:hAnsi="Arial" w:cs="Browallia New" w:hint="cs"/>
          <w:color w:val="auto"/>
          <w:sz w:val="22"/>
          <w:szCs w:val="22"/>
          <w:cs/>
        </w:rPr>
        <w:t xml:space="preserve"> </w:t>
      </w:r>
      <w:r w:rsidR="000A3DDD" w:rsidRPr="001C608D">
        <w:rPr>
          <w:rFonts w:ascii="Arial" w:hAnsi="Arial" w:cs="Browallia New"/>
          <w:color w:val="auto"/>
          <w:sz w:val="22"/>
          <w:szCs w:val="22"/>
        </w:rPr>
        <w:t>and legal process</w:t>
      </w:r>
      <w:r w:rsidRPr="001C608D">
        <w:rPr>
          <w:rFonts w:ascii="Arial" w:hAnsi="Arial" w:cs="Browallia New"/>
          <w:color w:val="auto"/>
          <w:sz w:val="22"/>
          <w:szCs w:val="22"/>
        </w:rPr>
        <w:t xml:space="preserve"> </w:t>
      </w:r>
      <w:r w:rsidRPr="001C608D">
        <w:rPr>
          <w:rFonts w:ascii="Arial" w:hAnsi="Arial" w:cs="Arial"/>
          <w:color w:val="auto"/>
          <w:sz w:val="22"/>
          <w:szCs w:val="22"/>
        </w:rPr>
        <w:t xml:space="preserve">and subject to the outcome on the degree of recovery of </w:t>
      </w:r>
      <w:r w:rsidR="0077321A" w:rsidRPr="001C608D">
        <w:rPr>
          <w:rFonts w:ascii="Arial" w:hAnsi="Arial" w:cs="Arial"/>
          <w:color w:val="auto"/>
          <w:sz w:val="22"/>
          <w:szCs w:val="22"/>
        </w:rPr>
        <w:t xml:space="preserve">the Group’s assets </w:t>
      </w:r>
      <w:r w:rsidRPr="001C608D">
        <w:rPr>
          <w:rFonts w:ascii="Arial" w:hAnsi="Arial" w:cs="Arial"/>
          <w:color w:val="auto"/>
          <w:sz w:val="22"/>
          <w:szCs w:val="22"/>
        </w:rPr>
        <w:t>alleged by the</w:t>
      </w:r>
      <w:r w:rsidR="00C676C0" w:rsidRPr="001C608D">
        <w:rPr>
          <w:rFonts w:ascii="Arial" w:hAnsi="Arial" w:cs="Arial"/>
          <w:color w:val="auto"/>
          <w:sz w:val="22"/>
          <w:szCs w:val="22"/>
        </w:rPr>
        <w:t xml:space="preserve"> SEC</w:t>
      </w:r>
      <w:r w:rsidR="00C676C0" w:rsidRPr="001C608D">
        <w:rPr>
          <w:rFonts w:ascii="Arial" w:hAnsi="Arial" w:cstheme="minorBidi"/>
          <w:color w:val="auto"/>
          <w:sz w:val="22"/>
          <w:szCs w:val="22"/>
        </w:rPr>
        <w:t xml:space="preserve">, resulting </w:t>
      </w:r>
      <w:r w:rsidR="009978AD" w:rsidRPr="001C608D">
        <w:rPr>
          <w:rFonts w:ascii="Arial" w:hAnsi="Arial" w:cstheme="minorBidi"/>
          <w:color w:val="auto"/>
          <w:sz w:val="22"/>
          <w:szCs w:val="22"/>
        </w:rPr>
        <w:t>me</w:t>
      </w:r>
      <w:r w:rsidR="00C676C0" w:rsidRPr="001C608D">
        <w:rPr>
          <w:rFonts w:ascii="Arial" w:hAnsi="Arial" w:cstheme="minorBidi"/>
          <w:color w:val="auto"/>
          <w:sz w:val="22"/>
          <w:szCs w:val="22"/>
        </w:rPr>
        <w:t xml:space="preserve"> </w:t>
      </w:r>
      <w:r w:rsidR="00DD20A7" w:rsidRPr="001C608D">
        <w:rPr>
          <w:rFonts w:ascii="Arial" w:hAnsi="Arial" w:cstheme="minorBidi"/>
          <w:color w:val="auto"/>
          <w:sz w:val="22"/>
          <w:szCs w:val="22"/>
        </w:rPr>
        <w:t>in</w:t>
      </w:r>
      <w:r w:rsidR="00C676C0" w:rsidRPr="001C608D">
        <w:rPr>
          <w:rFonts w:ascii="Arial" w:hAnsi="Arial" w:cstheme="minorBidi"/>
          <w:color w:val="auto"/>
          <w:sz w:val="22"/>
          <w:szCs w:val="22"/>
        </w:rPr>
        <w:t xml:space="preserve"> being unable to determine the appropriateness of the loans, interest income and provision for losses and unable to conclude whether there should be more adjustment on the past financial stateme</w:t>
      </w:r>
      <w:r w:rsidR="009978AD" w:rsidRPr="001C608D">
        <w:rPr>
          <w:rFonts w:ascii="Arial" w:hAnsi="Arial" w:cstheme="minorBidi"/>
          <w:color w:val="auto"/>
          <w:sz w:val="22"/>
          <w:szCs w:val="22"/>
        </w:rPr>
        <w:t>n</w:t>
      </w:r>
      <w:r w:rsidR="00C676C0" w:rsidRPr="001C608D">
        <w:rPr>
          <w:rFonts w:ascii="Arial" w:hAnsi="Arial" w:cstheme="minorBidi"/>
          <w:color w:val="auto"/>
          <w:sz w:val="22"/>
          <w:szCs w:val="22"/>
        </w:rPr>
        <w:t>ts,</w:t>
      </w:r>
      <w:r w:rsidRPr="001C608D">
        <w:rPr>
          <w:rFonts w:ascii="Arial" w:hAnsi="Arial" w:cs="Arial"/>
          <w:color w:val="auto"/>
          <w:sz w:val="22"/>
          <w:szCs w:val="22"/>
        </w:rPr>
        <w:t xml:space="preserve"> the financial statements referred to above present fairly, in all other material respects, the financial position of Group Lease Public Company Limited and its subsidiaries </w:t>
      </w:r>
      <w:r w:rsidRPr="001C608D">
        <w:rPr>
          <w:rFonts w:ascii="Arial" w:hAnsi="Arial" w:cs="Arial"/>
          <w:color w:val="auto"/>
          <w:spacing w:val="-3"/>
          <w:sz w:val="22"/>
          <w:szCs w:val="22"/>
        </w:rPr>
        <w:t>(the Group)</w:t>
      </w:r>
      <w:r w:rsidRPr="001C608D">
        <w:rPr>
          <w:rFonts w:ascii="Arial" w:hAnsi="Arial" w:cs="Arial"/>
          <w:color w:val="auto"/>
          <w:sz w:val="22"/>
          <w:szCs w:val="22"/>
        </w:rPr>
        <w:t xml:space="preserve"> and of Group Lease Public Company Limited as at</w:t>
      </w:r>
      <w:r w:rsidR="0077321A" w:rsidRPr="001C608D">
        <w:rPr>
          <w:rFonts w:ascii="Arial" w:hAnsi="Arial" w:cs="Arial"/>
          <w:color w:val="auto"/>
          <w:sz w:val="22"/>
          <w:szCs w:val="22"/>
        </w:rPr>
        <w:t xml:space="preserve"> </w:t>
      </w:r>
      <w:r w:rsidRPr="001C608D">
        <w:rPr>
          <w:rFonts w:ascii="Arial" w:hAnsi="Arial" w:cs="Arial"/>
          <w:color w:val="auto"/>
          <w:sz w:val="22"/>
          <w:szCs w:val="22"/>
        </w:rPr>
        <w:t>31 December 2017, their financial performance and cash flows for the year then ended in accordance with Thai Financial Reporting Standards.</w:t>
      </w:r>
    </w:p>
    <w:p w:rsidR="0077321A" w:rsidRPr="001C608D" w:rsidRDefault="0077321A" w:rsidP="0015492F">
      <w:pPr>
        <w:pStyle w:val="Ps-000-normal0"/>
        <w:spacing w:before="120" w:line="380" w:lineRule="exact"/>
        <w:ind w:left="540"/>
        <w:rPr>
          <w:rFonts w:ascii="Arial" w:hAnsi="Arial" w:cstheme="minorBidi"/>
          <w:color w:val="auto"/>
          <w:sz w:val="22"/>
          <w:szCs w:val="22"/>
        </w:rPr>
      </w:pPr>
      <w:r w:rsidRPr="001C608D">
        <w:rPr>
          <w:rFonts w:ascii="Arial" w:hAnsi="Arial" w:cs="Arial"/>
          <w:color w:val="auto"/>
          <w:sz w:val="22"/>
          <w:szCs w:val="22"/>
        </w:rPr>
        <w:t>I have changed my opinion</w:t>
      </w:r>
      <w:r w:rsidR="00D672BF" w:rsidRPr="001C608D">
        <w:rPr>
          <w:rFonts w:ascii="Arial" w:hAnsi="Arial" w:cs="Arial"/>
          <w:color w:val="auto"/>
          <w:sz w:val="22"/>
          <w:szCs w:val="22"/>
        </w:rPr>
        <w:t xml:space="preserve"> on the financial statements as at 31 December 2016 and for the year then ended</w:t>
      </w:r>
      <w:r w:rsidR="007571A2" w:rsidRPr="001C608D">
        <w:rPr>
          <w:rFonts w:ascii="Arial" w:hAnsi="Arial" w:cs="Arial"/>
          <w:color w:val="auto"/>
          <w:sz w:val="22"/>
          <w:szCs w:val="22"/>
        </w:rPr>
        <w:t xml:space="preserve"> (as presented here in for comparative purpose)</w:t>
      </w:r>
      <w:r w:rsidR="00D672BF" w:rsidRPr="001C608D">
        <w:rPr>
          <w:rFonts w:ascii="Arial" w:hAnsi="Arial" w:cs="Arial"/>
          <w:color w:val="auto"/>
          <w:sz w:val="22"/>
          <w:szCs w:val="22"/>
        </w:rPr>
        <w:t xml:space="preserve"> to Qualified Opinion o</w:t>
      </w:r>
      <w:r w:rsidRPr="001C608D">
        <w:rPr>
          <w:rFonts w:ascii="Arial" w:hAnsi="Arial" w:cs="Arial"/>
          <w:color w:val="auto"/>
          <w:sz w:val="22"/>
          <w:szCs w:val="22"/>
        </w:rPr>
        <w:t>n the same issues as my opinion on the 2017 financial statements.</w:t>
      </w:r>
    </w:p>
    <w:p w:rsidR="0077321A" w:rsidRPr="001C608D" w:rsidRDefault="0077321A">
      <w:pPr>
        <w:overflowPunct/>
        <w:autoSpaceDE/>
        <w:autoSpaceDN/>
        <w:adjustRightInd/>
        <w:spacing w:before="100" w:after="100" w:line="380" w:lineRule="exact"/>
        <w:ind w:right="-43"/>
        <w:jc w:val="both"/>
        <w:textAlignment w:val="auto"/>
        <w:rPr>
          <w:rFonts w:ascii="Arial" w:hAnsi="Arial" w:cs="Arial"/>
          <w:b/>
          <w:bCs/>
          <w:sz w:val="22"/>
          <w:szCs w:val="22"/>
          <w:lang w:val="en-US"/>
        </w:rPr>
      </w:pPr>
      <w:r w:rsidRPr="001C608D">
        <w:rPr>
          <w:rFonts w:ascii="Arial" w:hAnsi="Arial" w:cs="Arial"/>
          <w:b/>
          <w:bCs/>
          <w:sz w:val="22"/>
          <w:szCs w:val="22"/>
          <w:lang w:val="en-US"/>
        </w:rPr>
        <w:br w:type="page"/>
      </w:r>
    </w:p>
    <w:p w:rsidR="00355B7A" w:rsidRPr="001C608D" w:rsidRDefault="00355B7A" w:rsidP="0015492F">
      <w:pPr>
        <w:pStyle w:val="ListParagraph"/>
        <w:numPr>
          <w:ilvl w:val="0"/>
          <w:numId w:val="7"/>
        </w:numPr>
        <w:spacing w:before="120" w:after="120" w:line="380" w:lineRule="exact"/>
        <w:ind w:left="547" w:hanging="547"/>
        <w:contextualSpacing w:val="0"/>
        <w:rPr>
          <w:rFonts w:ascii="Arial" w:hAnsi="Arial" w:cs="Arial"/>
          <w:b/>
          <w:bCs/>
          <w:sz w:val="22"/>
          <w:szCs w:val="22"/>
          <w:lang w:val="en-US"/>
        </w:rPr>
      </w:pPr>
      <w:r w:rsidRPr="001C608D">
        <w:rPr>
          <w:rFonts w:ascii="Arial" w:hAnsi="Arial" w:cs="Arial"/>
          <w:b/>
          <w:bCs/>
          <w:sz w:val="22"/>
          <w:szCs w:val="22"/>
          <w:lang w:val="en-US"/>
        </w:rPr>
        <w:lastRenderedPageBreak/>
        <w:t>Emphasis of matters</w:t>
      </w:r>
    </w:p>
    <w:p w:rsidR="00355B7A" w:rsidRPr="001C608D" w:rsidRDefault="00355B7A"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t>I update and draw attention to the following matters:</w:t>
      </w:r>
    </w:p>
    <w:p w:rsidR="00355B7A" w:rsidRPr="001C608D" w:rsidRDefault="00371414" w:rsidP="0015492F">
      <w:pPr>
        <w:pStyle w:val="ListParagraph"/>
        <w:numPr>
          <w:ilvl w:val="1"/>
          <w:numId w:val="10"/>
        </w:numPr>
        <w:pBdr>
          <w:top w:val="none" w:sz="4" w:space="0" w:color="auto"/>
          <w:left w:val="none" w:sz="4" w:space="0" w:color="auto"/>
          <w:bottom w:val="none" w:sz="4" w:space="0" w:color="auto"/>
          <w:right w:val="none" w:sz="4" w:space="0" w:color="auto"/>
          <w:between w:val="none" w:sz="4" w:space="0" w:color="auto"/>
          <w:bar w:val="none" w:sz="4" w:color="auto"/>
        </w:pBdr>
        <w:overflowPunct/>
        <w:autoSpaceDE/>
        <w:autoSpaceDN/>
        <w:adjustRightInd/>
        <w:spacing w:before="120" w:after="120" w:line="380" w:lineRule="exact"/>
        <w:ind w:left="1080" w:hanging="533"/>
        <w:contextualSpacing w:val="0"/>
        <w:textAlignment w:val="auto"/>
        <w:rPr>
          <w:rFonts w:ascii="Arial" w:eastAsia="Calibri" w:hAnsi="Arial" w:cs="Arial"/>
          <w:sz w:val="22"/>
          <w:szCs w:val="22"/>
          <w:u w:val="single"/>
          <w:lang w:val="en-US"/>
        </w:rPr>
      </w:pPr>
      <w:r>
        <w:rPr>
          <w:rFonts w:ascii="Arial" w:eastAsia="Calibri" w:hAnsi="Arial" w:cs="Arial"/>
          <w:sz w:val="22"/>
          <w:szCs w:val="22"/>
          <w:u w:val="single"/>
          <w:lang w:val="en-US"/>
        </w:rPr>
        <w:t>Loans</w:t>
      </w:r>
      <w:r w:rsidR="00355B7A" w:rsidRPr="001C608D">
        <w:rPr>
          <w:rFonts w:ascii="Arial" w:eastAsia="Calibri" w:hAnsi="Arial" w:cs="Arial"/>
          <w:sz w:val="22"/>
          <w:szCs w:val="22"/>
          <w:u w:val="single"/>
          <w:lang w:val="en-US"/>
        </w:rPr>
        <w:t xml:space="preserve"> and </w:t>
      </w:r>
      <w:r w:rsidR="00C75A86" w:rsidRPr="001C608D">
        <w:rPr>
          <w:rFonts w:ascii="Arial" w:eastAsia="Calibri" w:hAnsi="Arial" w:cs="Arial"/>
          <w:sz w:val="22"/>
          <w:szCs w:val="22"/>
          <w:u w:val="single"/>
          <w:lang w:val="en-US"/>
        </w:rPr>
        <w:t>interest receivables</w:t>
      </w:r>
      <w:r w:rsidR="00CA3365">
        <w:rPr>
          <w:rFonts w:ascii="Arial" w:eastAsia="Calibri" w:hAnsi="Arial" w:cs="Arial"/>
          <w:sz w:val="22"/>
          <w:szCs w:val="22"/>
          <w:u w:val="single"/>
          <w:lang w:val="en-US"/>
        </w:rPr>
        <w:t xml:space="preserve"> (included disputed loans)</w:t>
      </w:r>
      <w:r>
        <w:rPr>
          <w:rFonts w:ascii="Arial" w:eastAsia="Calibri" w:hAnsi="Arial" w:cs="Arial"/>
          <w:sz w:val="22"/>
          <w:szCs w:val="22"/>
          <w:u w:val="single"/>
          <w:lang w:val="en-US"/>
        </w:rPr>
        <w:t xml:space="preserve"> - as restated</w:t>
      </w:r>
      <w:r w:rsidR="00C75A86" w:rsidRPr="001C608D">
        <w:rPr>
          <w:rFonts w:ascii="Arial" w:eastAsia="Calibri" w:hAnsi="Arial" w:cs="Arial"/>
          <w:sz w:val="22"/>
          <w:szCs w:val="22"/>
          <w:u w:val="single"/>
          <w:lang w:val="en-US"/>
        </w:rPr>
        <w:t xml:space="preserve"> - Baht 1,</w:t>
      </w:r>
      <w:r w:rsidR="007571A2" w:rsidRPr="001C608D">
        <w:rPr>
          <w:rFonts w:ascii="Arial" w:eastAsia="Calibri" w:hAnsi="Arial" w:cs="Arial"/>
          <w:sz w:val="22"/>
          <w:szCs w:val="22"/>
          <w:u w:val="single"/>
          <w:lang w:val="en-US"/>
        </w:rPr>
        <w:t>569</w:t>
      </w:r>
      <w:r w:rsidR="00775358" w:rsidRPr="001C608D">
        <w:rPr>
          <w:rFonts w:ascii="Arial" w:eastAsia="Calibri" w:hAnsi="Arial" w:cs="Arial"/>
          <w:sz w:val="22"/>
          <w:szCs w:val="22"/>
          <w:u w:val="single"/>
          <w:lang w:val="en-US"/>
        </w:rPr>
        <w:t xml:space="preserve"> million (before </w:t>
      </w:r>
      <w:r w:rsidR="00355B7A" w:rsidRPr="001C608D">
        <w:rPr>
          <w:rFonts w:ascii="Arial" w:eastAsia="Calibri" w:hAnsi="Arial" w:cs="Arial"/>
          <w:sz w:val="22"/>
          <w:szCs w:val="22"/>
          <w:u w:val="single"/>
          <w:lang w:val="en-US"/>
        </w:rPr>
        <w:t>provision</w:t>
      </w:r>
      <w:r w:rsidR="00775358" w:rsidRPr="001C608D">
        <w:rPr>
          <w:rFonts w:ascii="Arial" w:eastAsia="Calibri" w:hAnsi="Arial" w:cs="Arial"/>
          <w:sz w:val="22"/>
          <w:szCs w:val="22"/>
          <w:u w:val="single"/>
          <w:lang w:val="en-US"/>
        </w:rPr>
        <w:t xml:space="preserve"> for loss</w:t>
      </w:r>
      <w:r w:rsidR="00355B7A" w:rsidRPr="001C608D">
        <w:rPr>
          <w:rFonts w:ascii="Arial" w:eastAsia="Calibri" w:hAnsi="Arial" w:cs="Arial"/>
          <w:sz w:val="22"/>
          <w:szCs w:val="22"/>
          <w:u w:val="single"/>
          <w:lang w:val="en-US"/>
        </w:rPr>
        <w:t>) as of</w:t>
      </w:r>
      <w:r w:rsidR="00CA3365">
        <w:rPr>
          <w:rFonts w:ascii="Arial" w:eastAsia="Calibri" w:hAnsi="Arial" w:cs="Arial"/>
          <w:sz w:val="22"/>
          <w:szCs w:val="22"/>
          <w:u w:val="single"/>
          <w:lang w:val="en-US"/>
        </w:rPr>
        <w:t xml:space="preserve"> </w:t>
      </w:r>
      <w:r w:rsidR="00C75A86" w:rsidRPr="001C608D">
        <w:rPr>
          <w:rFonts w:ascii="Arial" w:eastAsia="Calibri" w:hAnsi="Arial" w:cs="Arial"/>
          <w:sz w:val="22"/>
          <w:szCs w:val="22"/>
          <w:u w:val="single"/>
          <w:lang w:val="en-US"/>
        </w:rPr>
        <w:t xml:space="preserve">31 December 2017, represents </w:t>
      </w:r>
      <w:r w:rsidR="00933539">
        <w:rPr>
          <w:rFonts w:ascii="Arial" w:eastAsia="Calibri" w:hAnsi="Arial" w:cs="Arial"/>
          <w:sz w:val="22"/>
          <w:szCs w:val="22"/>
          <w:u w:val="single"/>
          <w:lang w:val="en-US"/>
        </w:rPr>
        <w:t>22</w:t>
      </w:r>
      <w:r w:rsidR="00355B7A" w:rsidRPr="001C608D">
        <w:rPr>
          <w:rFonts w:ascii="Arial" w:eastAsia="Calibri" w:hAnsi="Arial" w:cs="Arial"/>
          <w:sz w:val="22"/>
          <w:szCs w:val="22"/>
          <w:u w:val="single"/>
          <w:lang w:val="en-US"/>
        </w:rPr>
        <w:t xml:space="preserve"> percent of the consolidated net assets</w:t>
      </w:r>
      <w:r w:rsidR="00355B7A" w:rsidRPr="001C608D">
        <w:rPr>
          <w:rFonts w:ascii="Arial" w:eastAsia="Calibri" w:hAnsi="Arial" w:cs="Arial"/>
          <w:sz w:val="22"/>
          <w:szCs w:val="22"/>
          <w:u w:val="single"/>
          <w:cs/>
        </w:rPr>
        <w:t xml:space="preserve"> </w:t>
      </w:r>
      <w:r w:rsidR="00355B7A" w:rsidRPr="001C608D">
        <w:rPr>
          <w:rFonts w:ascii="Arial" w:eastAsia="Calibri" w:hAnsi="Arial" w:cs="Arial"/>
          <w:sz w:val="22"/>
          <w:szCs w:val="22"/>
          <w:u w:val="single"/>
          <w:lang w:val="en-US"/>
        </w:rPr>
        <w:t>(As of</w:t>
      </w:r>
      <w:r w:rsidR="00CA3365">
        <w:rPr>
          <w:rFonts w:ascii="Arial" w:eastAsia="Calibri" w:hAnsi="Arial" w:cs="Arial"/>
          <w:sz w:val="22"/>
          <w:szCs w:val="22"/>
          <w:u w:val="single"/>
          <w:lang w:val="en-US"/>
        </w:rPr>
        <w:t xml:space="preserve"> </w:t>
      </w:r>
      <w:r w:rsidR="00355B7A" w:rsidRPr="001C608D">
        <w:rPr>
          <w:rFonts w:ascii="Arial" w:eastAsia="Calibri" w:hAnsi="Arial" w:cs="Arial"/>
          <w:sz w:val="22"/>
          <w:szCs w:val="22"/>
          <w:u w:val="single"/>
          <w:lang w:val="en-US"/>
        </w:rPr>
        <w:t>31 December 2016: Baht 3,</w:t>
      </w:r>
      <w:r w:rsidR="007571A2" w:rsidRPr="001C608D">
        <w:rPr>
          <w:rFonts w:ascii="Arial" w:eastAsia="Calibri" w:hAnsi="Arial" w:cs="Arial"/>
          <w:sz w:val="22"/>
          <w:szCs w:val="22"/>
          <w:u w:val="single"/>
          <w:lang w:val="en-US"/>
        </w:rPr>
        <w:t>522</w:t>
      </w:r>
      <w:r w:rsidR="00355B7A" w:rsidRPr="001C608D">
        <w:rPr>
          <w:rFonts w:ascii="Arial" w:eastAsia="Calibri" w:hAnsi="Arial" w:cs="Arial"/>
          <w:sz w:val="22"/>
          <w:szCs w:val="22"/>
          <w:u w:val="single"/>
          <w:lang w:val="en-US"/>
        </w:rPr>
        <w:t xml:space="preserve"> million </w:t>
      </w:r>
      <w:r>
        <w:rPr>
          <w:rFonts w:ascii="Arial" w:eastAsia="Calibri" w:hAnsi="Arial" w:cs="Arial"/>
          <w:sz w:val="22"/>
          <w:szCs w:val="22"/>
          <w:u w:val="single"/>
          <w:lang w:val="en-US"/>
        </w:rPr>
        <w:t xml:space="preserve">                       </w:t>
      </w:r>
      <w:r w:rsidR="00355B7A" w:rsidRPr="001C608D">
        <w:rPr>
          <w:rFonts w:ascii="Arial" w:eastAsia="Calibri" w:hAnsi="Arial" w:cs="Arial"/>
          <w:sz w:val="22"/>
          <w:szCs w:val="22"/>
          <w:u w:val="single"/>
          <w:lang w:val="en-US"/>
        </w:rPr>
        <w:t xml:space="preserve">- </w:t>
      </w:r>
      <w:r w:rsidR="00933539">
        <w:rPr>
          <w:rFonts w:ascii="Arial" w:eastAsia="Calibri" w:hAnsi="Arial" w:cs="Arial"/>
          <w:sz w:val="22"/>
          <w:szCs w:val="22"/>
          <w:u w:val="single"/>
          <w:lang w:val="en-US"/>
        </w:rPr>
        <w:t>43</w:t>
      </w:r>
      <w:r w:rsidR="00355B7A" w:rsidRPr="001C608D">
        <w:rPr>
          <w:rFonts w:ascii="Arial" w:eastAsia="Calibri" w:hAnsi="Arial" w:cs="Arial"/>
          <w:sz w:val="22"/>
          <w:szCs w:val="22"/>
          <w:u w:val="single"/>
          <w:lang w:val="en-US"/>
        </w:rPr>
        <w:t xml:space="preserve"> percent)</w:t>
      </w:r>
    </w:p>
    <w:p w:rsidR="00355B7A" w:rsidRPr="001C608D" w:rsidRDefault="0015492F" w:rsidP="0015492F">
      <w:pPr>
        <w:pStyle w:val="ListParagraph"/>
        <w:pBdr>
          <w:top w:val="none" w:sz="4" w:space="0" w:color="auto"/>
          <w:left w:val="none" w:sz="4" w:space="0" w:color="auto"/>
          <w:bottom w:val="none" w:sz="4" w:space="0" w:color="auto"/>
          <w:right w:val="none" w:sz="4" w:space="0" w:color="auto"/>
          <w:between w:val="none" w:sz="4" w:space="0" w:color="auto"/>
          <w:bar w:val="none" w:sz="4" w:color="auto"/>
        </w:pBdr>
        <w:spacing w:before="120" w:after="120" w:line="380" w:lineRule="exact"/>
        <w:ind w:left="1080" w:hanging="533"/>
        <w:contextualSpacing w:val="0"/>
        <w:rPr>
          <w:rFonts w:ascii="Arial" w:eastAsia="Calibri" w:hAnsi="Arial" w:cs="Arial"/>
          <w:sz w:val="22"/>
          <w:szCs w:val="22"/>
          <w:lang w:val="en-US"/>
        </w:rPr>
      </w:pPr>
      <w:r w:rsidRPr="001C608D">
        <w:rPr>
          <w:rFonts w:ascii="Arial" w:eastAsia="Calibri" w:hAnsi="Arial" w:cstheme="minorBidi"/>
          <w:sz w:val="22"/>
          <w:szCs w:val="22"/>
          <w:cs/>
          <w:lang w:val="en-US"/>
        </w:rPr>
        <w:tab/>
      </w:r>
      <w:r w:rsidR="00355B7A" w:rsidRPr="001C608D">
        <w:rPr>
          <w:rFonts w:ascii="Arial" w:eastAsia="Calibri" w:hAnsi="Arial" w:cs="Arial"/>
          <w:sz w:val="22"/>
          <w:szCs w:val="22"/>
          <w:lang w:val="en-US"/>
        </w:rPr>
        <w:t xml:space="preserve">I draw attention to Note </w:t>
      </w:r>
      <w:r w:rsidR="00C75A86" w:rsidRPr="001C608D">
        <w:rPr>
          <w:rFonts w:ascii="Arial" w:eastAsia="Calibri" w:hAnsi="Arial" w:cs="Arial"/>
          <w:sz w:val="22"/>
          <w:szCs w:val="22"/>
          <w:lang w:val="en-US"/>
        </w:rPr>
        <w:t>13</w:t>
      </w:r>
      <w:r w:rsidR="00355B7A" w:rsidRPr="001C608D">
        <w:rPr>
          <w:rFonts w:ascii="Arial" w:eastAsia="Calibri" w:hAnsi="Arial" w:cs="Arial"/>
          <w:sz w:val="22"/>
          <w:szCs w:val="22"/>
          <w:lang w:val="en-US"/>
        </w:rPr>
        <w:t xml:space="preserve"> of the consolidated financial statements relating to th</w:t>
      </w:r>
      <w:r w:rsidR="00B91DB5" w:rsidRPr="001C608D">
        <w:rPr>
          <w:rFonts w:ascii="Arial" w:eastAsia="Calibri" w:hAnsi="Arial" w:cs="Arial"/>
          <w:sz w:val="22"/>
          <w:szCs w:val="22"/>
          <w:lang w:val="en-US"/>
        </w:rPr>
        <w:t>e loans and interest receivables</w:t>
      </w:r>
      <w:r w:rsidR="00355B7A" w:rsidRPr="001C608D">
        <w:rPr>
          <w:rFonts w:ascii="Arial" w:eastAsia="Calibri" w:hAnsi="Arial" w:cs="Arial"/>
          <w:sz w:val="22"/>
          <w:szCs w:val="22"/>
          <w:lang w:val="en-US"/>
        </w:rPr>
        <w:t>. The main business of the Company is in the hire purchase financing for motorcycles but, separately and significantly from the main business, loans were granted to two groups of ‘borrowers’ - portrayed as one group in Cyprus and another in Sing</w:t>
      </w:r>
      <w:r w:rsidR="009A7BA2" w:rsidRPr="001C608D">
        <w:rPr>
          <w:rFonts w:ascii="Arial" w:eastAsia="Calibri" w:hAnsi="Arial" w:cs="Arial"/>
          <w:sz w:val="22"/>
          <w:szCs w:val="22"/>
          <w:lang w:val="en-US"/>
        </w:rPr>
        <w:t>apore. Parties in the groups were at that time</w:t>
      </w:r>
      <w:r w:rsidR="00355B7A" w:rsidRPr="001C608D">
        <w:rPr>
          <w:rFonts w:ascii="Arial" w:eastAsia="Calibri" w:hAnsi="Arial" w:cs="Arial"/>
          <w:sz w:val="22"/>
          <w:szCs w:val="22"/>
          <w:lang w:val="en-US"/>
        </w:rPr>
        <w:t xml:space="preserve"> also shar</w:t>
      </w:r>
      <w:r w:rsidR="009A7BA2" w:rsidRPr="001C608D">
        <w:rPr>
          <w:rFonts w:ascii="Arial" w:eastAsia="Calibri" w:hAnsi="Arial" w:cs="Arial"/>
          <w:sz w:val="22"/>
          <w:szCs w:val="22"/>
          <w:lang w:val="en-US"/>
        </w:rPr>
        <w:t>eholders of the Company and</w:t>
      </w:r>
      <w:r w:rsidR="00355B7A" w:rsidRPr="001C608D">
        <w:rPr>
          <w:rFonts w:ascii="Arial" w:eastAsia="Calibri" w:hAnsi="Arial" w:cs="Arial"/>
          <w:sz w:val="22"/>
          <w:szCs w:val="22"/>
          <w:lang w:val="en-US"/>
        </w:rPr>
        <w:t xml:space="preserve"> pledged the Company’s shares against those loans. Besides share pledging, their ownership of properties in Cyprus and Brazil, Cypriot government bonds, stocks of other overseas companies were also used as collaterals against those indebtedness.</w:t>
      </w:r>
    </w:p>
    <w:p w:rsidR="00355B7A" w:rsidRPr="001C608D" w:rsidRDefault="0015492F" w:rsidP="0015492F">
      <w:pPr>
        <w:pStyle w:val="ListParagraph"/>
        <w:pBdr>
          <w:top w:val="none" w:sz="4" w:space="0" w:color="auto"/>
          <w:left w:val="none" w:sz="4" w:space="0" w:color="auto"/>
          <w:bottom w:val="none" w:sz="4" w:space="0" w:color="auto"/>
          <w:right w:val="none" w:sz="4" w:space="0" w:color="auto"/>
          <w:between w:val="none" w:sz="4" w:space="0" w:color="auto"/>
          <w:bar w:val="none" w:sz="4" w:color="auto"/>
        </w:pBdr>
        <w:spacing w:before="120" w:after="120" w:line="380" w:lineRule="exact"/>
        <w:ind w:left="1080" w:hanging="533"/>
        <w:contextualSpacing w:val="0"/>
        <w:rPr>
          <w:rFonts w:ascii="Arial" w:eastAsia="Calibri" w:hAnsi="Arial" w:cs="Arial"/>
          <w:sz w:val="22"/>
          <w:szCs w:val="22"/>
          <w:lang w:val="en-US"/>
        </w:rPr>
      </w:pPr>
      <w:r w:rsidRPr="001C608D">
        <w:rPr>
          <w:rFonts w:ascii="Arial" w:eastAsia="Calibri" w:hAnsi="Arial" w:cstheme="minorBidi"/>
          <w:sz w:val="22"/>
          <w:szCs w:val="22"/>
          <w:cs/>
          <w:lang w:val="en-US"/>
        </w:rPr>
        <w:tab/>
      </w:r>
      <w:r w:rsidR="00355B7A" w:rsidRPr="001C608D">
        <w:rPr>
          <w:rFonts w:ascii="Arial" w:eastAsia="Calibri" w:hAnsi="Arial" w:cs="Arial"/>
          <w:sz w:val="22"/>
          <w:szCs w:val="22"/>
          <w:lang w:val="en-US"/>
        </w:rPr>
        <w:t xml:space="preserve">Originally in 2016, the periods of the loans granted were in the range of 3 months to </w:t>
      </w:r>
      <w:r w:rsidR="00A42804" w:rsidRPr="001C608D">
        <w:rPr>
          <w:rFonts w:ascii="Arial" w:eastAsia="Calibri" w:hAnsi="Arial" w:cs="Arial"/>
          <w:sz w:val="22"/>
          <w:szCs w:val="22"/>
          <w:lang w:val="en-US"/>
        </w:rPr>
        <w:t xml:space="preserve">      </w:t>
      </w:r>
      <w:r w:rsidR="00355B7A" w:rsidRPr="001C608D">
        <w:rPr>
          <w:rFonts w:ascii="Arial" w:eastAsia="Calibri" w:hAnsi="Arial" w:cs="Arial"/>
          <w:sz w:val="22"/>
          <w:szCs w:val="22"/>
          <w:lang w:val="en-US"/>
        </w:rPr>
        <w:t>3 years. The principals were all due for repayment upon maturity but were rolled over and extended to the periods of either 2 or 3 years. The loan balances which were subjected to the mentioned rollovers amounted to Baht 2,129 million (USD 59 million), 60 percent of the total loans.</w:t>
      </w:r>
    </w:p>
    <w:p w:rsidR="00355B7A" w:rsidRPr="001C608D" w:rsidRDefault="0015492F" w:rsidP="0015492F">
      <w:pPr>
        <w:pStyle w:val="ListParagraph"/>
        <w:pBdr>
          <w:top w:val="none" w:sz="4" w:space="0" w:color="auto"/>
          <w:left w:val="none" w:sz="4" w:space="1" w:color="auto"/>
          <w:bottom w:val="none" w:sz="4" w:space="0" w:color="auto"/>
          <w:right w:val="none" w:sz="4" w:space="0" w:color="auto"/>
          <w:between w:val="none" w:sz="4" w:space="0" w:color="auto"/>
          <w:bar w:val="none" w:sz="4" w:color="auto"/>
        </w:pBdr>
        <w:spacing w:before="120" w:after="120" w:line="380" w:lineRule="exact"/>
        <w:ind w:left="1080" w:hanging="533"/>
        <w:contextualSpacing w:val="0"/>
        <w:rPr>
          <w:rFonts w:ascii="Arial" w:eastAsia="Calibri" w:hAnsi="Arial" w:cs="Arial"/>
          <w:sz w:val="22"/>
          <w:szCs w:val="22"/>
          <w:lang w:val="en-US"/>
        </w:rPr>
      </w:pPr>
      <w:r w:rsidRPr="001C608D">
        <w:rPr>
          <w:rFonts w:ascii="Arial" w:eastAsia="Calibri" w:hAnsi="Arial" w:cstheme="minorBidi"/>
          <w:sz w:val="22"/>
          <w:szCs w:val="22"/>
          <w:cs/>
          <w:lang w:val="en-US"/>
        </w:rPr>
        <w:tab/>
      </w:r>
      <w:r w:rsidR="00355B7A" w:rsidRPr="001C608D">
        <w:rPr>
          <w:rFonts w:ascii="Arial" w:eastAsia="Calibri" w:hAnsi="Arial" w:cs="Arial"/>
          <w:sz w:val="22"/>
          <w:szCs w:val="22"/>
          <w:lang w:val="en-US"/>
        </w:rPr>
        <w:t>In 2017, before due date, the Cyprus ‘borrower’ repaid a sum of Baht 845 million (USD 25.3 million) and partially released the collateral of the Company’s shares</w:t>
      </w:r>
      <w:r w:rsidR="001F40AC" w:rsidRPr="001C608D">
        <w:rPr>
          <w:rFonts w:ascii="Arial" w:eastAsia="Calibri" w:hAnsi="Arial" w:cs="Arial"/>
          <w:sz w:val="22"/>
          <w:szCs w:val="22"/>
          <w:lang w:val="en-US"/>
        </w:rPr>
        <w:t xml:space="preserve"> but retained other collaterals as stipulated in agreements</w:t>
      </w:r>
      <w:r w:rsidR="00355B7A" w:rsidRPr="001C608D">
        <w:rPr>
          <w:rFonts w:ascii="Arial" w:eastAsia="Calibri" w:hAnsi="Arial" w:cs="Arial"/>
          <w:sz w:val="22"/>
          <w:szCs w:val="22"/>
          <w:lang w:val="en-US"/>
        </w:rPr>
        <w:t xml:space="preserve">. In addition, and on due date, the Singapore ‘borrower’ repaid a sum of approximately Baht 557 million (USD 16.7 million) and the remaining collateral of the Company’s shares was also released and replaced by the value of properties in Japan (The Company advised that pledging of the properties in Japan was registered with Japanese Registry Office already). As at </w:t>
      </w:r>
      <w:r w:rsidR="001F40AC" w:rsidRPr="001C608D">
        <w:rPr>
          <w:rFonts w:ascii="Arial" w:eastAsia="Calibri" w:hAnsi="Arial" w:cs="Arial"/>
          <w:sz w:val="22"/>
          <w:szCs w:val="22"/>
          <w:lang w:val="en-US"/>
        </w:rPr>
        <w:t xml:space="preserve"> </w:t>
      </w:r>
      <w:r w:rsidR="00355B7A" w:rsidRPr="001C608D">
        <w:rPr>
          <w:rFonts w:ascii="Arial" w:eastAsia="Calibri" w:hAnsi="Arial" w:cs="Arial"/>
          <w:sz w:val="22"/>
          <w:szCs w:val="22"/>
          <w:lang w:val="en-US"/>
        </w:rPr>
        <w:t>31 December 2017, no Company’s shares remained part of the collaterals against the two purported ‘loans’.</w:t>
      </w:r>
      <w:bookmarkStart w:id="0" w:name="_GoBack"/>
      <w:bookmarkEnd w:id="0"/>
    </w:p>
    <w:p w:rsidR="00355B7A" w:rsidRPr="001C608D" w:rsidRDefault="0015492F" w:rsidP="0015492F">
      <w:pPr>
        <w:pStyle w:val="ListParagraph"/>
        <w:pBdr>
          <w:top w:val="none" w:sz="4" w:space="0" w:color="auto"/>
          <w:left w:val="none" w:sz="4" w:space="1" w:color="auto"/>
          <w:bottom w:val="none" w:sz="4" w:space="0" w:color="auto"/>
          <w:right w:val="none" w:sz="4" w:space="0" w:color="auto"/>
          <w:between w:val="none" w:sz="4" w:space="0" w:color="auto"/>
          <w:bar w:val="none" w:sz="4" w:color="auto"/>
        </w:pBdr>
        <w:spacing w:before="120" w:after="120" w:line="380" w:lineRule="exact"/>
        <w:ind w:left="1080" w:hanging="533"/>
        <w:contextualSpacing w:val="0"/>
        <w:rPr>
          <w:rFonts w:ascii="Arial" w:eastAsia="Calibri" w:hAnsi="Arial" w:cs="Arial"/>
          <w:sz w:val="22"/>
          <w:szCs w:val="22"/>
          <w:lang w:val="en-US"/>
        </w:rPr>
      </w:pPr>
      <w:r w:rsidRPr="001C608D">
        <w:rPr>
          <w:rFonts w:ascii="Arial" w:eastAsia="Calibri" w:hAnsi="Arial" w:cstheme="minorBidi"/>
          <w:sz w:val="22"/>
          <w:szCs w:val="22"/>
          <w:cs/>
          <w:lang w:val="en-US"/>
        </w:rPr>
        <w:tab/>
      </w:r>
      <w:r w:rsidR="00355B7A" w:rsidRPr="001C608D">
        <w:rPr>
          <w:rFonts w:ascii="Arial" w:eastAsia="Calibri" w:hAnsi="Arial" w:cs="Arial"/>
          <w:sz w:val="22"/>
          <w:szCs w:val="22"/>
          <w:lang w:val="en-US"/>
        </w:rPr>
        <w:t xml:space="preserve">(See also Note </w:t>
      </w:r>
      <w:r w:rsidR="00C75A86" w:rsidRPr="001C608D">
        <w:rPr>
          <w:rFonts w:ascii="Arial" w:eastAsia="Calibri" w:hAnsi="Arial" w:cs="Arial"/>
          <w:sz w:val="22"/>
          <w:szCs w:val="22"/>
          <w:lang w:val="en-US"/>
        </w:rPr>
        <w:t>13</w:t>
      </w:r>
      <w:r w:rsidR="00355B7A" w:rsidRPr="001C608D">
        <w:rPr>
          <w:rFonts w:ascii="Arial" w:eastAsia="Calibri" w:hAnsi="Arial" w:cs="Arial"/>
          <w:sz w:val="22"/>
          <w:szCs w:val="22"/>
          <w:lang w:val="en-US"/>
        </w:rPr>
        <w:t xml:space="preserve"> to the financial statements and our Basis f</w:t>
      </w:r>
      <w:r w:rsidR="00C75A86" w:rsidRPr="001C608D">
        <w:rPr>
          <w:rFonts w:ascii="Arial" w:eastAsia="Calibri" w:hAnsi="Arial" w:cs="Arial"/>
          <w:sz w:val="22"/>
          <w:szCs w:val="22"/>
          <w:lang w:val="en-US"/>
        </w:rPr>
        <w:t>or Qualified Opinion paragraph</w:t>
      </w:r>
      <w:r w:rsidR="00355B7A" w:rsidRPr="001C608D">
        <w:rPr>
          <w:rFonts w:ascii="Arial" w:eastAsia="Calibri" w:hAnsi="Arial" w:cs="Arial"/>
          <w:sz w:val="22"/>
          <w:szCs w:val="22"/>
          <w:lang w:val="en-US"/>
        </w:rPr>
        <w:t>)</w:t>
      </w:r>
    </w:p>
    <w:p w:rsidR="001239D8" w:rsidRPr="001C608D" w:rsidRDefault="001239D8">
      <w:pPr>
        <w:overflowPunct/>
        <w:autoSpaceDE/>
        <w:autoSpaceDN/>
        <w:adjustRightInd/>
        <w:spacing w:before="100" w:after="100" w:line="380" w:lineRule="exact"/>
        <w:ind w:right="-43"/>
        <w:jc w:val="both"/>
        <w:textAlignment w:val="auto"/>
        <w:rPr>
          <w:rFonts w:ascii="Arial" w:eastAsia="Calibri" w:hAnsi="Arial" w:cs="Arial"/>
          <w:sz w:val="22"/>
          <w:szCs w:val="22"/>
          <w:u w:val="single"/>
          <w:lang w:val="en-US"/>
        </w:rPr>
      </w:pPr>
      <w:r w:rsidRPr="001C608D">
        <w:rPr>
          <w:rFonts w:ascii="Arial" w:eastAsia="Calibri" w:hAnsi="Arial" w:cs="Arial"/>
          <w:sz w:val="22"/>
          <w:szCs w:val="22"/>
          <w:u w:val="single"/>
          <w:lang w:val="en-US"/>
        </w:rPr>
        <w:br w:type="page"/>
      </w:r>
    </w:p>
    <w:p w:rsidR="00355B7A" w:rsidRPr="001C608D" w:rsidRDefault="00355B7A" w:rsidP="0015492F">
      <w:pPr>
        <w:pStyle w:val="ListParagraph"/>
        <w:numPr>
          <w:ilvl w:val="1"/>
          <w:numId w:val="10"/>
        </w:numPr>
        <w:pBdr>
          <w:top w:val="none" w:sz="4" w:space="0" w:color="auto"/>
          <w:left w:val="none" w:sz="4" w:space="1" w:color="auto"/>
          <w:bottom w:val="none" w:sz="4" w:space="0" w:color="auto"/>
          <w:right w:val="none" w:sz="4" w:space="0" w:color="auto"/>
          <w:between w:val="none" w:sz="4" w:space="0" w:color="auto"/>
          <w:bar w:val="none" w:sz="4" w:color="auto"/>
        </w:pBdr>
        <w:overflowPunct/>
        <w:autoSpaceDE/>
        <w:autoSpaceDN/>
        <w:adjustRightInd/>
        <w:spacing w:before="120" w:after="120" w:line="380" w:lineRule="exact"/>
        <w:ind w:left="1080" w:hanging="533"/>
        <w:contextualSpacing w:val="0"/>
        <w:textAlignment w:val="auto"/>
        <w:rPr>
          <w:rFonts w:ascii="Arial" w:eastAsia="Calibri" w:hAnsi="Arial" w:cs="Arial"/>
          <w:sz w:val="22"/>
          <w:szCs w:val="22"/>
          <w:u w:val="single"/>
          <w:lang w:val="en-US"/>
        </w:rPr>
      </w:pPr>
      <w:r w:rsidRPr="001C608D">
        <w:rPr>
          <w:rFonts w:ascii="Arial" w:eastAsia="Calibri" w:hAnsi="Arial" w:cs="Arial"/>
          <w:sz w:val="22"/>
          <w:szCs w:val="22"/>
          <w:u w:val="single"/>
          <w:lang w:val="en-US"/>
        </w:rPr>
        <w:lastRenderedPageBreak/>
        <w:t xml:space="preserve">Investment in associated company in Sri Lanka - As of 31 December 2017 </w:t>
      </w:r>
      <w:r w:rsidR="00E253E6" w:rsidRPr="001C608D">
        <w:rPr>
          <w:rFonts w:ascii="Arial" w:eastAsia="Calibri" w:hAnsi="Arial" w:cs="Arial"/>
          <w:sz w:val="22"/>
          <w:szCs w:val="22"/>
          <w:u w:val="single"/>
          <w:lang w:val="en-US"/>
        </w:rPr>
        <w:t>-</w:t>
      </w:r>
      <w:r w:rsidR="00C75A86" w:rsidRPr="001C608D">
        <w:rPr>
          <w:rFonts w:ascii="Arial" w:eastAsia="Calibri" w:hAnsi="Arial" w:cs="Arial"/>
          <w:sz w:val="22"/>
          <w:szCs w:val="22"/>
          <w:u w:val="single"/>
          <w:lang w:val="en-US"/>
        </w:rPr>
        <w:t xml:space="preserve"> Baht 2,023</w:t>
      </w:r>
      <w:r w:rsidRPr="001C608D">
        <w:rPr>
          <w:rFonts w:ascii="Arial" w:eastAsia="Calibri" w:hAnsi="Arial" w:cs="Arial"/>
          <w:sz w:val="22"/>
          <w:szCs w:val="22"/>
          <w:u w:val="single"/>
          <w:lang w:val="en-US"/>
        </w:rPr>
        <w:t xml:space="preserve"> million (investment </w:t>
      </w:r>
      <w:r w:rsidR="00C75A86" w:rsidRPr="001C608D">
        <w:rPr>
          <w:rFonts w:ascii="Arial" w:eastAsia="Calibri" w:hAnsi="Arial" w:cs="Arial"/>
          <w:sz w:val="22"/>
          <w:szCs w:val="22"/>
          <w:u w:val="single"/>
          <w:lang w:val="en-US"/>
        </w:rPr>
        <w:t>value under equity method Baht 2,605</w:t>
      </w:r>
      <w:r w:rsidRPr="001C608D">
        <w:rPr>
          <w:rFonts w:ascii="Arial" w:eastAsia="Calibri" w:hAnsi="Arial" w:cs="Arial"/>
          <w:sz w:val="22"/>
          <w:szCs w:val="22"/>
          <w:u w:val="single"/>
          <w:lang w:val="en-US"/>
        </w:rPr>
        <w:t xml:space="preserve"> million less provision for loss of Baht 582 million) (31 December 2016 - Baht 2,545 million)</w:t>
      </w:r>
    </w:p>
    <w:p w:rsidR="00355B7A" w:rsidRPr="001C608D" w:rsidRDefault="0015492F" w:rsidP="0015492F">
      <w:pPr>
        <w:pStyle w:val="ListParagraph"/>
        <w:pBdr>
          <w:top w:val="none" w:sz="4" w:space="0" w:color="auto"/>
          <w:left w:val="none" w:sz="4" w:space="1" w:color="auto"/>
          <w:bottom w:val="none" w:sz="4" w:space="0" w:color="auto"/>
          <w:right w:val="none" w:sz="4" w:space="0" w:color="auto"/>
          <w:between w:val="none" w:sz="4" w:space="0" w:color="auto"/>
          <w:bar w:val="none" w:sz="4" w:color="auto"/>
        </w:pBdr>
        <w:spacing w:before="120" w:after="120" w:line="380" w:lineRule="exact"/>
        <w:ind w:left="1080" w:hanging="533"/>
        <w:contextualSpacing w:val="0"/>
        <w:rPr>
          <w:rFonts w:ascii="Arial" w:eastAsia="Calibri" w:hAnsi="Arial" w:cs="Arial"/>
          <w:sz w:val="22"/>
          <w:szCs w:val="22"/>
          <w:lang w:val="en-US"/>
        </w:rPr>
      </w:pPr>
      <w:r w:rsidRPr="001C608D">
        <w:rPr>
          <w:rFonts w:ascii="Arial" w:eastAsia="Calibri" w:hAnsi="Arial" w:cstheme="minorBidi"/>
          <w:sz w:val="22"/>
          <w:szCs w:val="22"/>
          <w:cs/>
          <w:lang w:val="en-US"/>
        </w:rPr>
        <w:tab/>
      </w:r>
      <w:r w:rsidR="00C75A86" w:rsidRPr="001C608D">
        <w:rPr>
          <w:rFonts w:ascii="Arial" w:eastAsia="Calibri" w:hAnsi="Arial" w:cs="Arial"/>
          <w:sz w:val="22"/>
          <w:szCs w:val="22"/>
          <w:lang w:val="en-US"/>
        </w:rPr>
        <w:t>I draw attention to Note 19</w:t>
      </w:r>
      <w:r w:rsidR="00355B7A" w:rsidRPr="001C608D">
        <w:rPr>
          <w:rFonts w:ascii="Arial" w:eastAsia="Calibri" w:hAnsi="Arial" w:cs="Arial"/>
          <w:sz w:val="22"/>
          <w:szCs w:val="22"/>
          <w:lang w:val="en-US"/>
        </w:rPr>
        <w:t xml:space="preserve"> of the consolidated financial statements relating to the investment in an associated company in Sri Lanka. The subsidiary acquired 29.99% of the ordinary shares of a company listed on the Sri Lanka Stock Exchange at a purchase price of Baht 2,462 million. The acquisition was approved at the Extraordinary General Meeting of the shareholders of the Company No.2/2016 on </w:t>
      </w:r>
      <w:r w:rsidR="009A6610" w:rsidRPr="001C608D">
        <w:rPr>
          <w:rFonts w:ascii="Arial" w:eastAsia="Calibri" w:hAnsi="Arial" w:cstheme="minorBidi" w:hint="cs"/>
          <w:sz w:val="22"/>
          <w:szCs w:val="22"/>
          <w:cs/>
          <w:lang w:val="en-US"/>
        </w:rPr>
        <w:t xml:space="preserve">                 </w:t>
      </w:r>
      <w:r w:rsidR="00355B7A" w:rsidRPr="001C608D">
        <w:rPr>
          <w:rFonts w:ascii="Arial" w:eastAsia="Calibri" w:hAnsi="Arial" w:cs="Arial"/>
          <w:sz w:val="22"/>
          <w:szCs w:val="22"/>
          <w:lang w:val="en-US"/>
        </w:rPr>
        <w:t>6 December 2016 and a substantial part of the Sri Lanka shares (22.27%) was sold to the Company by a selling company with one of its directors being also one of the Company’s directors. The subsidiary’s outside professional valuer valued such investment at Baht 1,900 - 2,500 million, while the appointed independent financial advisor valued at Baht 1,600 - 1,700 million and while the market price at the Sri Lanka Stock Exchange, when acquired in late 2016, was at Baht 1,391 million.</w:t>
      </w:r>
    </w:p>
    <w:p w:rsidR="00355B7A" w:rsidRPr="001C608D" w:rsidRDefault="0015492F" w:rsidP="0015492F">
      <w:pPr>
        <w:pStyle w:val="ListParagraph"/>
        <w:pBdr>
          <w:top w:val="none" w:sz="4" w:space="0" w:color="auto"/>
          <w:left w:val="none" w:sz="4" w:space="1" w:color="auto"/>
          <w:bottom w:val="none" w:sz="4" w:space="0" w:color="auto"/>
          <w:right w:val="none" w:sz="4" w:space="0" w:color="auto"/>
          <w:between w:val="none" w:sz="4" w:space="0" w:color="auto"/>
          <w:bar w:val="none" w:sz="4" w:color="auto"/>
        </w:pBdr>
        <w:spacing w:before="120" w:after="120" w:line="380" w:lineRule="exact"/>
        <w:ind w:left="1080" w:hanging="533"/>
        <w:contextualSpacing w:val="0"/>
        <w:rPr>
          <w:rFonts w:ascii="Arial" w:eastAsia="Calibri" w:hAnsi="Arial" w:cs="Arial"/>
          <w:sz w:val="22"/>
          <w:szCs w:val="22"/>
          <w:lang w:val="en-US"/>
        </w:rPr>
      </w:pPr>
      <w:r w:rsidRPr="001C608D">
        <w:rPr>
          <w:rFonts w:ascii="Arial" w:eastAsia="Calibri" w:hAnsi="Arial" w:cstheme="minorBidi"/>
          <w:sz w:val="22"/>
          <w:szCs w:val="22"/>
          <w:cs/>
          <w:lang w:val="en-US"/>
        </w:rPr>
        <w:tab/>
      </w:r>
      <w:r w:rsidR="009A7BA2" w:rsidRPr="001C608D">
        <w:rPr>
          <w:rFonts w:ascii="Arial" w:eastAsia="Calibri" w:hAnsi="Arial" w:cs="Arial"/>
          <w:sz w:val="22"/>
          <w:szCs w:val="22"/>
          <w:lang w:val="en-US"/>
        </w:rPr>
        <w:t xml:space="preserve">As of 31 December 2017, a </w:t>
      </w:r>
      <w:r w:rsidR="00355B7A" w:rsidRPr="001C608D">
        <w:rPr>
          <w:rFonts w:ascii="Arial" w:eastAsia="Calibri" w:hAnsi="Arial" w:cs="Arial"/>
          <w:sz w:val="22"/>
          <w:szCs w:val="22"/>
          <w:lang w:val="en-US"/>
        </w:rPr>
        <w:t>provision</w:t>
      </w:r>
      <w:r w:rsidR="009A7BA2" w:rsidRPr="001C608D">
        <w:rPr>
          <w:rFonts w:ascii="Arial" w:eastAsia="Calibri" w:hAnsi="Arial" w:cs="Arial"/>
          <w:sz w:val="22"/>
          <w:szCs w:val="22"/>
          <w:lang w:val="en-US"/>
        </w:rPr>
        <w:t xml:space="preserve"> for loss</w:t>
      </w:r>
      <w:r w:rsidR="00355B7A" w:rsidRPr="001C608D">
        <w:rPr>
          <w:rFonts w:ascii="Arial" w:eastAsia="Calibri" w:hAnsi="Arial" w:cs="Arial"/>
          <w:sz w:val="22"/>
          <w:szCs w:val="22"/>
          <w:lang w:val="en-US"/>
        </w:rPr>
        <w:t xml:space="preserve"> of Baht 582 million was set aside against this investment </w:t>
      </w:r>
      <w:r w:rsidR="00E52480" w:rsidRPr="001C608D">
        <w:rPr>
          <w:rFonts w:ascii="Arial" w:eastAsia="Calibri" w:hAnsi="Arial" w:cs="Arial"/>
          <w:sz w:val="22"/>
          <w:szCs w:val="22"/>
          <w:lang w:val="en-US"/>
        </w:rPr>
        <w:t xml:space="preserve">in consolidated financial statements </w:t>
      </w:r>
      <w:r w:rsidR="00355B7A" w:rsidRPr="001C608D">
        <w:rPr>
          <w:rFonts w:ascii="Arial" w:eastAsia="Calibri" w:hAnsi="Arial" w:cs="Arial"/>
          <w:sz w:val="22"/>
          <w:szCs w:val="22"/>
          <w:lang w:val="en-US"/>
        </w:rPr>
        <w:t>after a period of acquisition of one year. The above referred director who was the director in the selling company and also in the Company has since resigned from the Company’s Board effective as of 31 January 2018 citing conflict of interest.</w:t>
      </w:r>
    </w:p>
    <w:p w:rsidR="00355B7A" w:rsidRPr="001C608D" w:rsidRDefault="0015492F" w:rsidP="0015492F">
      <w:pPr>
        <w:pStyle w:val="ListParagraph"/>
        <w:pBdr>
          <w:top w:val="none" w:sz="4" w:space="0" w:color="auto"/>
          <w:left w:val="none" w:sz="4" w:space="1" w:color="auto"/>
          <w:bottom w:val="none" w:sz="4" w:space="0" w:color="auto"/>
          <w:right w:val="none" w:sz="4" w:space="0" w:color="auto"/>
          <w:between w:val="none" w:sz="4" w:space="0" w:color="auto"/>
          <w:bar w:val="none" w:sz="4" w:color="auto"/>
        </w:pBdr>
        <w:spacing w:before="120" w:after="120" w:line="380" w:lineRule="exact"/>
        <w:ind w:left="1080" w:hanging="533"/>
        <w:contextualSpacing w:val="0"/>
        <w:rPr>
          <w:rFonts w:ascii="Arial" w:eastAsia="Calibri" w:hAnsi="Arial" w:cs="Arial"/>
          <w:sz w:val="22"/>
          <w:szCs w:val="22"/>
          <w:lang w:val="en-US"/>
        </w:rPr>
      </w:pPr>
      <w:r w:rsidRPr="001C608D">
        <w:rPr>
          <w:rFonts w:ascii="Arial" w:eastAsia="Calibri" w:hAnsi="Arial" w:cstheme="minorBidi"/>
          <w:sz w:val="22"/>
          <w:szCs w:val="22"/>
          <w:cs/>
          <w:lang w:val="en-US"/>
        </w:rPr>
        <w:tab/>
      </w:r>
      <w:r w:rsidR="00355B7A" w:rsidRPr="001C608D">
        <w:rPr>
          <w:rFonts w:ascii="Arial" w:eastAsia="Calibri" w:hAnsi="Arial" w:cs="Arial"/>
          <w:sz w:val="22"/>
          <w:szCs w:val="22"/>
          <w:lang w:val="en-US"/>
        </w:rPr>
        <w:t>As at 31 December 2017, such investment was presented as an investment in an associate in the consolidated</w:t>
      </w:r>
      <w:r w:rsidR="00C75A86" w:rsidRPr="001C608D">
        <w:rPr>
          <w:rFonts w:ascii="Arial" w:eastAsia="Calibri" w:hAnsi="Arial" w:cs="Arial"/>
          <w:sz w:val="22"/>
          <w:szCs w:val="22"/>
          <w:lang w:val="en-US"/>
        </w:rPr>
        <w:t> financial statements of Baht 2,023</w:t>
      </w:r>
      <w:r w:rsidR="00355B7A" w:rsidRPr="001C608D">
        <w:rPr>
          <w:rFonts w:ascii="Arial" w:eastAsia="Calibri" w:hAnsi="Arial" w:cs="Arial"/>
          <w:sz w:val="22"/>
          <w:szCs w:val="22"/>
          <w:lang w:val="en-US"/>
        </w:rPr>
        <w:t xml:space="preserve"> million (investment va</w:t>
      </w:r>
      <w:r w:rsidR="00C75A86" w:rsidRPr="001C608D">
        <w:rPr>
          <w:rFonts w:ascii="Arial" w:eastAsia="Calibri" w:hAnsi="Arial" w:cs="Arial"/>
          <w:sz w:val="22"/>
          <w:szCs w:val="22"/>
          <w:lang w:val="en-US"/>
        </w:rPr>
        <w:t>lue under equity method Baht 2,605</w:t>
      </w:r>
      <w:r w:rsidR="00355B7A" w:rsidRPr="001C608D">
        <w:rPr>
          <w:rFonts w:ascii="Arial" w:eastAsia="Calibri" w:hAnsi="Arial" w:cs="Arial"/>
          <w:sz w:val="22"/>
          <w:szCs w:val="22"/>
          <w:lang w:val="en-US"/>
        </w:rPr>
        <w:t xml:space="preserve"> million net of </w:t>
      </w:r>
      <w:r w:rsidR="009A7BA2" w:rsidRPr="001C608D">
        <w:rPr>
          <w:rFonts w:ascii="Arial" w:eastAsia="Calibri" w:hAnsi="Arial" w:cs="Arial"/>
          <w:sz w:val="22"/>
          <w:szCs w:val="22"/>
          <w:lang w:val="en-US"/>
        </w:rPr>
        <w:t>provision for loss</w:t>
      </w:r>
      <w:r w:rsidR="00355B7A" w:rsidRPr="001C608D">
        <w:rPr>
          <w:rFonts w:ascii="Arial" w:eastAsia="Calibri" w:hAnsi="Arial" w:cs="Arial"/>
          <w:sz w:val="22"/>
          <w:szCs w:val="22"/>
          <w:lang w:val="en-US"/>
        </w:rPr>
        <w:t xml:space="preserve"> of Baht 582 million) (31 December 2016: Baht 2,545 million with no </w:t>
      </w:r>
      <w:r w:rsidR="009A7BA2" w:rsidRPr="001C608D">
        <w:rPr>
          <w:rFonts w:ascii="Arial" w:eastAsia="Calibri" w:hAnsi="Arial" w:cs="Arial"/>
          <w:sz w:val="22"/>
          <w:szCs w:val="22"/>
          <w:lang w:val="en-US"/>
        </w:rPr>
        <w:t>provision for loss</w:t>
      </w:r>
      <w:r w:rsidR="00355B7A" w:rsidRPr="001C608D">
        <w:rPr>
          <w:rFonts w:ascii="Arial" w:eastAsia="Calibri" w:hAnsi="Arial" w:cs="Arial"/>
          <w:sz w:val="22"/>
          <w:szCs w:val="22"/>
          <w:lang w:val="en-US"/>
        </w:rPr>
        <w:t>). Based on the market price at the Sri Lanka Stock Exchange at the end of 2017, the total value was only</w:t>
      </w:r>
      <w:r w:rsidR="00C75A86" w:rsidRPr="001C608D">
        <w:rPr>
          <w:rFonts w:ascii="Arial" w:eastAsia="Calibri" w:hAnsi="Arial" w:cs="Arial"/>
          <w:sz w:val="22"/>
          <w:szCs w:val="22"/>
          <w:lang w:val="en-US"/>
        </w:rPr>
        <w:t> </w:t>
      </w:r>
      <w:r w:rsidR="00234554" w:rsidRPr="001C608D">
        <w:rPr>
          <w:rFonts w:ascii="Arial" w:eastAsia="Calibri" w:hAnsi="Arial" w:cs="Arial"/>
          <w:sz w:val="22"/>
          <w:szCs w:val="22"/>
          <w:lang w:val="en-US"/>
        </w:rPr>
        <w:t>approximately</w:t>
      </w:r>
      <w:r w:rsidR="00C75A86" w:rsidRPr="001C608D">
        <w:rPr>
          <w:rFonts w:ascii="Arial" w:eastAsia="Calibri" w:hAnsi="Arial" w:cs="Arial"/>
          <w:sz w:val="22"/>
          <w:szCs w:val="22"/>
          <w:lang w:val="en-US"/>
        </w:rPr>
        <w:t xml:space="preserve"> Baht 874</w:t>
      </w:r>
      <w:r w:rsidR="00355B7A" w:rsidRPr="001C608D">
        <w:rPr>
          <w:rFonts w:ascii="Arial" w:eastAsia="Calibri" w:hAnsi="Arial" w:cs="Arial"/>
          <w:sz w:val="22"/>
          <w:szCs w:val="22"/>
          <w:lang w:val="en-US"/>
        </w:rPr>
        <w:t xml:space="preserve"> million (2016: Baht 1,285 million). </w:t>
      </w:r>
      <w:r w:rsidR="00234554" w:rsidRPr="001C608D">
        <w:rPr>
          <w:rFonts w:ascii="Arial" w:eastAsia="Calibri" w:hAnsi="Arial" w:cs="Arial"/>
          <w:sz w:val="22"/>
          <w:szCs w:val="22"/>
          <w:lang w:val="en-US"/>
        </w:rPr>
        <w:t xml:space="preserve">    </w:t>
      </w:r>
      <w:r w:rsidR="00355B7A" w:rsidRPr="001C608D">
        <w:rPr>
          <w:rFonts w:ascii="Arial" w:eastAsia="Calibri" w:hAnsi="Arial" w:cs="Arial"/>
          <w:sz w:val="22"/>
          <w:szCs w:val="22"/>
          <w:lang w:val="en-US"/>
        </w:rPr>
        <w:t xml:space="preserve">The difference between the carrying value of investment (even after </w:t>
      </w:r>
      <w:r w:rsidR="00775358" w:rsidRPr="001C608D">
        <w:rPr>
          <w:rFonts w:ascii="Arial" w:eastAsia="Calibri" w:hAnsi="Arial" w:cs="Arial"/>
          <w:sz w:val="22"/>
          <w:szCs w:val="22"/>
          <w:lang w:val="en-US"/>
        </w:rPr>
        <w:t>provision for loss</w:t>
      </w:r>
      <w:r w:rsidR="00355B7A" w:rsidRPr="001C608D">
        <w:rPr>
          <w:rFonts w:ascii="Arial" w:eastAsia="Calibri" w:hAnsi="Arial" w:cs="Arial"/>
          <w:sz w:val="22"/>
          <w:szCs w:val="22"/>
          <w:lang w:val="en-US"/>
        </w:rPr>
        <w:t>) and the Stock Exchange market price at the end of 2017 is material</w:t>
      </w:r>
      <w:r w:rsidR="009A7BA2" w:rsidRPr="001C608D">
        <w:rPr>
          <w:rFonts w:ascii="Arial" w:eastAsia="Calibri" w:hAnsi="Arial" w:cs="Arial"/>
          <w:sz w:val="22"/>
          <w:szCs w:val="22"/>
          <w:lang w:val="en-US"/>
        </w:rPr>
        <w:t>ly significant and still needs</w:t>
      </w:r>
      <w:r w:rsidR="00355B7A" w:rsidRPr="001C608D">
        <w:rPr>
          <w:rFonts w:ascii="Arial" w:eastAsia="Calibri" w:hAnsi="Arial" w:cs="Arial"/>
          <w:sz w:val="22"/>
          <w:szCs w:val="22"/>
          <w:lang w:val="en-US"/>
        </w:rPr>
        <w:t xml:space="preserve"> future assessment </w:t>
      </w:r>
      <w:r w:rsidR="0068308B" w:rsidRPr="001C608D">
        <w:rPr>
          <w:rFonts w:ascii="Arial" w:eastAsia="Calibri" w:hAnsi="Arial" w:cs="Arial"/>
          <w:sz w:val="22"/>
          <w:szCs w:val="22"/>
          <w:lang w:val="en-US"/>
        </w:rPr>
        <w:t xml:space="preserve">whether </w:t>
      </w:r>
      <w:r w:rsidR="009A7BA2" w:rsidRPr="001C608D">
        <w:rPr>
          <w:rFonts w:ascii="Arial" w:eastAsia="Calibri" w:hAnsi="Arial" w:cs="Arial"/>
          <w:sz w:val="22"/>
          <w:szCs w:val="22"/>
          <w:lang w:val="en-US"/>
        </w:rPr>
        <w:t>further provision for loss is required</w:t>
      </w:r>
      <w:r w:rsidR="00355B7A" w:rsidRPr="001C608D">
        <w:rPr>
          <w:rFonts w:ascii="Arial" w:eastAsia="Calibri" w:hAnsi="Arial" w:cs="Arial"/>
          <w:sz w:val="22"/>
          <w:szCs w:val="22"/>
          <w:lang w:val="en-US"/>
        </w:rPr>
        <w:t>.</w:t>
      </w:r>
    </w:p>
    <w:p w:rsidR="001239D8" w:rsidRPr="001C608D" w:rsidRDefault="00044E4C" w:rsidP="00044E4C">
      <w:pPr>
        <w:pStyle w:val="ListParagraph"/>
        <w:pBdr>
          <w:top w:val="none" w:sz="4" w:space="0" w:color="auto"/>
          <w:left w:val="none" w:sz="4" w:space="1" w:color="auto"/>
          <w:bottom w:val="none" w:sz="4" w:space="0" w:color="auto"/>
          <w:right w:val="none" w:sz="4" w:space="0" w:color="auto"/>
          <w:between w:val="none" w:sz="4" w:space="0" w:color="auto"/>
          <w:bar w:val="none" w:sz="4" w:color="auto"/>
        </w:pBdr>
        <w:spacing w:before="120" w:after="120" w:line="380" w:lineRule="exact"/>
        <w:ind w:left="1080"/>
        <w:contextualSpacing w:val="0"/>
        <w:rPr>
          <w:rFonts w:ascii="Arial" w:eastAsia="Calibri" w:hAnsi="Arial" w:cs="Arial"/>
          <w:sz w:val="22"/>
          <w:szCs w:val="22"/>
          <w:lang w:val="en-US"/>
        </w:rPr>
      </w:pPr>
      <w:r w:rsidRPr="001C608D">
        <w:rPr>
          <w:rFonts w:ascii="Arial" w:eastAsia="Calibri" w:hAnsi="Arial" w:cs="Arial"/>
          <w:sz w:val="22"/>
          <w:szCs w:val="22"/>
          <w:lang w:val="en-US"/>
        </w:rPr>
        <w:t>(See more significant matters as disclosed by the Company in Note 19 to the financial statements)</w:t>
      </w:r>
    </w:p>
    <w:p w:rsidR="00044E4C" w:rsidRPr="001C608D" w:rsidRDefault="00044E4C">
      <w:pPr>
        <w:overflowPunct/>
        <w:autoSpaceDE/>
        <w:autoSpaceDN/>
        <w:adjustRightInd/>
        <w:spacing w:before="100" w:after="100" w:line="380" w:lineRule="exact"/>
        <w:ind w:right="-43"/>
        <w:jc w:val="both"/>
        <w:textAlignment w:val="auto"/>
        <w:rPr>
          <w:rFonts w:ascii="Arial" w:eastAsia="Calibri" w:hAnsi="Arial" w:cs="Arial"/>
          <w:sz w:val="22"/>
          <w:szCs w:val="22"/>
          <w:u w:val="single"/>
          <w:lang w:val="en-US"/>
        </w:rPr>
      </w:pPr>
      <w:r w:rsidRPr="001C608D">
        <w:rPr>
          <w:rFonts w:ascii="Arial" w:eastAsia="Calibri" w:hAnsi="Arial" w:cs="Arial"/>
          <w:sz w:val="22"/>
          <w:szCs w:val="22"/>
          <w:u w:val="single"/>
          <w:lang w:val="en-US"/>
        </w:rPr>
        <w:br w:type="page"/>
      </w:r>
    </w:p>
    <w:p w:rsidR="00355B7A" w:rsidRPr="001C608D" w:rsidRDefault="00355B7A" w:rsidP="0015492F">
      <w:pPr>
        <w:pStyle w:val="ListParagraph"/>
        <w:numPr>
          <w:ilvl w:val="1"/>
          <w:numId w:val="10"/>
        </w:numPr>
        <w:pBdr>
          <w:top w:val="none" w:sz="4" w:space="0" w:color="auto"/>
          <w:left w:val="none" w:sz="4" w:space="0" w:color="auto"/>
          <w:bottom w:val="none" w:sz="4" w:space="0" w:color="auto"/>
          <w:right w:val="none" w:sz="4" w:space="0" w:color="auto"/>
          <w:between w:val="none" w:sz="4" w:space="0" w:color="auto"/>
          <w:bar w:val="none" w:sz="4" w:color="auto"/>
        </w:pBdr>
        <w:overflowPunct/>
        <w:autoSpaceDE/>
        <w:autoSpaceDN/>
        <w:adjustRightInd/>
        <w:spacing w:before="120" w:after="120" w:line="380" w:lineRule="exact"/>
        <w:ind w:left="1080" w:hanging="533"/>
        <w:contextualSpacing w:val="0"/>
        <w:textAlignment w:val="auto"/>
        <w:rPr>
          <w:rFonts w:ascii="Arial" w:eastAsia="Calibri" w:hAnsi="Arial" w:cs="Arial"/>
          <w:sz w:val="22"/>
          <w:szCs w:val="22"/>
          <w:u w:val="single"/>
          <w:lang w:val="en-US"/>
        </w:rPr>
      </w:pPr>
      <w:r w:rsidRPr="001C608D">
        <w:rPr>
          <w:rFonts w:ascii="Arial" w:eastAsia="Calibri" w:hAnsi="Arial" w:cs="Arial"/>
          <w:sz w:val="22"/>
          <w:szCs w:val="22"/>
          <w:u w:val="single"/>
          <w:lang w:val="en-US"/>
        </w:rPr>
        <w:lastRenderedPageBreak/>
        <w:t>Investment in PT Bank JTrust Indonesia</w:t>
      </w:r>
      <w:r w:rsidR="00C75A86" w:rsidRPr="001C608D">
        <w:rPr>
          <w:rFonts w:ascii="Arial" w:eastAsia="Calibri" w:hAnsi="Arial" w:cs="Arial"/>
          <w:sz w:val="22"/>
          <w:szCs w:val="22"/>
          <w:u w:val="single"/>
          <w:lang w:val="en-US"/>
        </w:rPr>
        <w:t xml:space="preserve"> Tbk (Other investment) </w:t>
      </w:r>
      <w:r w:rsidR="00E253E6" w:rsidRPr="001C608D">
        <w:rPr>
          <w:rFonts w:ascii="Arial" w:eastAsia="Calibri" w:hAnsi="Arial" w:cs="Arial"/>
          <w:sz w:val="22"/>
          <w:szCs w:val="22"/>
          <w:u w:val="single"/>
          <w:lang w:val="en-US"/>
        </w:rPr>
        <w:t>-</w:t>
      </w:r>
      <w:r w:rsidR="00C75A86" w:rsidRPr="001C608D">
        <w:rPr>
          <w:rFonts w:ascii="Arial" w:eastAsia="Calibri" w:hAnsi="Arial" w:cs="Arial"/>
          <w:sz w:val="22"/>
          <w:szCs w:val="22"/>
          <w:u w:val="single"/>
          <w:lang w:val="en-US"/>
        </w:rPr>
        <w:t xml:space="preserve"> Note 20</w:t>
      </w:r>
    </w:p>
    <w:p w:rsidR="00564DAD" w:rsidRPr="001C608D" w:rsidRDefault="0015492F" w:rsidP="0015492F">
      <w:pPr>
        <w:pStyle w:val="ListParagraph"/>
        <w:pBdr>
          <w:top w:val="none" w:sz="4" w:space="0" w:color="auto"/>
          <w:left w:val="none" w:sz="4" w:space="0" w:color="auto"/>
          <w:bottom w:val="none" w:sz="4" w:space="0" w:color="auto"/>
          <w:right w:val="none" w:sz="4" w:space="0" w:color="auto"/>
          <w:between w:val="none" w:sz="4" w:space="0" w:color="auto"/>
          <w:bar w:val="none" w:sz="4" w:color="auto"/>
        </w:pBdr>
        <w:spacing w:before="120" w:after="120" w:line="380" w:lineRule="exact"/>
        <w:ind w:left="1080" w:hanging="533"/>
        <w:contextualSpacing w:val="0"/>
        <w:rPr>
          <w:rFonts w:ascii="Arial" w:eastAsia="Calibri" w:hAnsi="Arial" w:cs="Arial"/>
          <w:sz w:val="22"/>
          <w:szCs w:val="22"/>
          <w:lang w:val="en-US"/>
        </w:rPr>
      </w:pPr>
      <w:r w:rsidRPr="001C608D">
        <w:rPr>
          <w:rFonts w:ascii="Arial" w:eastAsia="Calibri" w:hAnsi="Arial" w:cstheme="minorBidi"/>
          <w:sz w:val="22"/>
          <w:szCs w:val="22"/>
          <w:cs/>
          <w:lang w:val="en-US"/>
        </w:rPr>
        <w:tab/>
      </w:r>
      <w:r w:rsidR="00564DAD" w:rsidRPr="001C608D">
        <w:rPr>
          <w:rFonts w:ascii="Arial" w:eastAsia="Calibri" w:hAnsi="Arial" w:cs="Arial"/>
          <w:sz w:val="22"/>
          <w:szCs w:val="22"/>
          <w:lang w:val="en-US"/>
        </w:rPr>
        <w:t xml:space="preserve">On 26 October 2016, the Board of Directors of the Company approved a subsidiary company to acquire shares of PT Bank JTrust Indonesia Tbk. (“PT Bank JTrust”) and subsequently on 13 December 2016, the subsidiary company acquired 28.15 trillion shares (3.12% of the total shares) in this company at total cost of USD 11.70 million (Baht 414 million) from JTrust Co. Ltd. </w:t>
      </w:r>
      <w:r w:rsidR="001239D8" w:rsidRPr="001C608D">
        <w:rPr>
          <w:rFonts w:ascii="Arial" w:eastAsia="Calibri" w:hAnsi="Arial" w:cs="Arial"/>
          <w:sz w:val="22"/>
          <w:szCs w:val="22"/>
          <w:lang w:val="en-US"/>
        </w:rPr>
        <w:t>-</w:t>
      </w:r>
      <w:r w:rsidR="00564DAD" w:rsidRPr="001C608D">
        <w:rPr>
          <w:rFonts w:ascii="Arial" w:eastAsia="Calibri" w:hAnsi="Arial" w:cs="Arial"/>
          <w:sz w:val="22"/>
          <w:szCs w:val="22"/>
          <w:lang w:val="en-US"/>
        </w:rPr>
        <w:t xml:space="preserve"> a related company. The remaining portions of approximately 97% being majority shareholding in this company were</w:t>
      </w:r>
      <w:r w:rsidR="009A7BA2" w:rsidRPr="001C608D">
        <w:rPr>
          <w:rFonts w:ascii="Arial" w:eastAsia="Calibri" w:hAnsi="Arial" w:cs="Arial"/>
          <w:sz w:val="22"/>
          <w:szCs w:val="22"/>
          <w:lang w:val="en-US"/>
        </w:rPr>
        <w:t xml:space="preserve"> still </w:t>
      </w:r>
      <w:r w:rsidR="001C04E2" w:rsidRPr="001C608D">
        <w:rPr>
          <w:rFonts w:ascii="Arial" w:eastAsia="Calibri" w:hAnsi="Arial" w:cs="Arial"/>
          <w:sz w:val="22"/>
          <w:szCs w:val="22"/>
          <w:lang w:val="en-US"/>
        </w:rPr>
        <w:t xml:space="preserve">held by JTrust </w:t>
      </w:r>
      <w:r w:rsidR="00564DAD" w:rsidRPr="001C608D">
        <w:rPr>
          <w:rFonts w:ascii="Arial" w:eastAsia="Calibri" w:hAnsi="Arial" w:cs="Arial"/>
          <w:sz w:val="22"/>
          <w:szCs w:val="22"/>
          <w:lang w:val="en-US"/>
        </w:rPr>
        <w:t xml:space="preserve">Co. Ltd. – a related company (which is under the same group as the plaintiff on various legal cases against the Company as discussed in </w:t>
      </w:r>
      <w:r w:rsidR="00DD367E" w:rsidRPr="001C608D">
        <w:rPr>
          <w:rFonts w:ascii="Arial" w:eastAsia="Calibri" w:hAnsi="Arial" w:cs="Arial"/>
          <w:sz w:val="22"/>
          <w:szCs w:val="22"/>
          <w:lang w:val="en-US"/>
        </w:rPr>
        <w:t>3</w:t>
      </w:r>
      <w:r w:rsidR="00564DAD" w:rsidRPr="001C608D">
        <w:rPr>
          <w:rFonts w:ascii="Arial" w:eastAsia="Calibri" w:hAnsi="Arial" w:cs="Arial"/>
          <w:sz w:val="22"/>
          <w:szCs w:val="22"/>
          <w:lang w:val="en-US"/>
        </w:rPr>
        <w:t>.5).  This company is an Indonesian company engaging in commercial banking business.</w:t>
      </w:r>
    </w:p>
    <w:p w:rsidR="00564DAD" w:rsidRPr="001C608D" w:rsidRDefault="0015492F" w:rsidP="0015492F">
      <w:pPr>
        <w:pStyle w:val="ListParagraph"/>
        <w:pBdr>
          <w:top w:val="none" w:sz="4" w:space="0" w:color="auto"/>
          <w:left w:val="none" w:sz="4" w:space="0" w:color="auto"/>
          <w:bottom w:val="none" w:sz="4" w:space="0" w:color="auto"/>
          <w:right w:val="none" w:sz="4" w:space="0" w:color="auto"/>
          <w:between w:val="none" w:sz="4" w:space="0" w:color="auto"/>
          <w:bar w:val="none" w:sz="4" w:color="auto"/>
        </w:pBdr>
        <w:spacing w:before="120" w:after="120" w:line="380" w:lineRule="exact"/>
        <w:ind w:left="1080" w:hanging="533"/>
        <w:contextualSpacing w:val="0"/>
        <w:rPr>
          <w:rFonts w:ascii="Arial" w:eastAsia="Calibri" w:hAnsi="Arial" w:cs="Arial"/>
          <w:sz w:val="22"/>
          <w:szCs w:val="22"/>
          <w:lang w:val="en-US"/>
        </w:rPr>
      </w:pPr>
      <w:r w:rsidRPr="001C608D">
        <w:rPr>
          <w:rFonts w:ascii="Arial" w:eastAsia="Calibri" w:hAnsi="Arial" w:cstheme="minorBidi"/>
          <w:sz w:val="22"/>
          <w:szCs w:val="22"/>
          <w:cs/>
          <w:lang w:val="en-US"/>
        </w:rPr>
        <w:tab/>
      </w:r>
      <w:r w:rsidR="00564DAD" w:rsidRPr="001C608D">
        <w:rPr>
          <w:rFonts w:ascii="Arial" w:eastAsia="Calibri" w:hAnsi="Arial" w:cs="Arial"/>
          <w:sz w:val="22"/>
          <w:szCs w:val="22"/>
          <w:lang w:val="en-US"/>
        </w:rPr>
        <w:t xml:space="preserve">As at the acquisition date, the purchase price the subsidiary paid to acquire this investment when compared with the book value of this company represented the ratio of Price per Book Value (“P/BV” ratio) of approximately 3.65 times. As at </w:t>
      </w:r>
      <w:r w:rsidR="00AC4D64" w:rsidRPr="001C608D">
        <w:rPr>
          <w:rFonts w:ascii="Arial" w:eastAsia="Calibri" w:hAnsi="Arial" w:cs="Arial"/>
          <w:sz w:val="22"/>
          <w:szCs w:val="22"/>
          <w:lang w:val="en-US"/>
        </w:rPr>
        <w:t xml:space="preserve">                        </w:t>
      </w:r>
      <w:r w:rsidR="00564DAD" w:rsidRPr="001C608D">
        <w:rPr>
          <w:rFonts w:ascii="Arial" w:eastAsia="Calibri" w:hAnsi="Arial" w:cs="Arial"/>
          <w:sz w:val="22"/>
          <w:szCs w:val="22"/>
          <w:lang w:val="en-US"/>
        </w:rPr>
        <w:t>31 December 2017, the P/BV ratio increased to 3.95 times while the ‘average P/BV ratio’ of all commercial banks in Indonesian market was about 1.60 times. The Company’s management considers that there is no impairment on this investment due to other favorable factors including profitability ratio and business opportunities of this company in the future. The carrying value of this investment was</w:t>
      </w:r>
      <w:r w:rsidR="009A7BA2" w:rsidRPr="001C608D">
        <w:rPr>
          <w:rFonts w:ascii="Arial" w:eastAsia="Calibri" w:hAnsi="Arial" w:cs="Arial"/>
          <w:sz w:val="22"/>
          <w:szCs w:val="22"/>
          <w:lang w:val="en-US"/>
        </w:rPr>
        <w:t xml:space="preserve"> significantly</w:t>
      </w:r>
      <w:r w:rsidR="00564DAD" w:rsidRPr="001C608D">
        <w:rPr>
          <w:rFonts w:ascii="Arial" w:eastAsia="Calibri" w:hAnsi="Arial" w:cs="Arial"/>
          <w:sz w:val="22"/>
          <w:szCs w:val="22"/>
          <w:lang w:val="en-US"/>
        </w:rPr>
        <w:t xml:space="preserve"> in excess of the value calculated based on the ‘average P/BV ratio’</w:t>
      </w:r>
      <w:r w:rsidR="009A7BA2" w:rsidRPr="001C608D">
        <w:rPr>
          <w:rFonts w:ascii="Arial" w:eastAsia="Calibri" w:hAnsi="Arial" w:cs="Arial"/>
          <w:sz w:val="22"/>
          <w:szCs w:val="22"/>
          <w:lang w:val="en-US"/>
        </w:rPr>
        <w:t xml:space="preserve"> and this</w:t>
      </w:r>
      <w:r w:rsidR="00564DAD" w:rsidRPr="001C608D">
        <w:rPr>
          <w:rFonts w:ascii="Arial" w:eastAsia="Calibri" w:hAnsi="Arial" w:cs="Arial"/>
          <w:sz w:val="22"/>
          <w:szCs w:val="22"/>
          <w:lang w:val="en-US"/>
        </w:rPr>
        <w:t xml:space="preserve"> difference needs attention. </w:t>
      </w:r>
    </w:p>
    <w:p w:rsidR="00564DAD" w:rsidRPr="001C608D" w:rsidRDefault="0015492F" w:rsidP="0015492F">
      <w:pPr>
        <w:pStyle w:val="ListParagraph"/>
        <w:pBdr>
          <w:top w:val="none" w:sz="4" w:space="0" w:color="auto"/>
          <w:left w:val="none" w:sz="4" w:space="0" w:color="auto"/>
          <w:bottom w:val="none" w:sz="4" w:space="0" w:color="auto"/>
          <w:right w:val="none" w:sz="4" w:space="0" w:color="auto"/>
          <w:between w:val="none" w:sz="4" w:space="0" w:color="auto"/>
          <w:bar w:val="none" w:sz="4" w:color="auto"/>
        </w:pBdr>
        <w:spacing w:before="120" w:after="120" w:line="380" w:lineRule="exact"/>
        <w:ind w:left="1080" w:hanging="533"/>
        <w:contextualSpacing w:val="0"/>
        <w:rPr>
          <w:rFonts w:ascii="Arial" w:eastAsia="Calibri" w:hAnsi="Arial" w:cs="Arial"/>
          <w:sz w:val="22"/>
          <w:szCs w:val="22"/>
          <w:lang w:val="en-US"/>
        </w:rPr>
      </w:pPr>
      <w:r w:rsidRPr="001C608D">
        <w:rPr>
          <w:rFonts w:ascii="Arial" w:eastAsia="Calibri" w:hAnsi="Arial" w:cstheme="minorBidi"/>
          <w:sz w:val="22"/>
          <w:szCs w:val="22"/>
          <w:cs/>
          <w:lang w:val="en-US"/>
        </w:rPr>
        <w:tab/>
      </w:r>
      <w:r w:rsidR="00564DAD" w:rsidRPr="001C608D">
        <w:rPr>
          <w:rFonts w:ascii="Arial" w:eastAsia="Calibri" w:hAnsi="Arial" w:cs="Arial"/>
          <w:sz w:val="22"/>
          <w:szCs w:val="22"/>
          <w:lang w:val="en-US"/>
        </w:rPr>
        <w:t>As at 31 December 2017, the carrying value of this investment was Baht 414 million. The value of this investment depends upon the ability to coope</w:t>
      </w:r>
      <w:r w:rsidR="009A7BA2" w:rsidRPr="001C608D">
        <w:rPr>
          <w:rFonts w:ascii="Arial" w:eastAsia="Calibri" w:hAnsi="Arial" w:cs="Arial"/>
          <w:sz w:val="22"/>
          <w:szCs w:val="22"/>
          <w:lang w:val="en-US"/>
        </w:rPr>
        <w:t>rate with its major shareholder</w:t>
      </w:r>
      <w:r w:rsidR="00564DAD" w:rsidRPr="001C608D">
        <w:rPr>
          <w:rFonts w:ascii="Arial" w:eastAsia="Calibri" w:hAnsi="Arial" w:cs="Arial"/>
          <w:sz w:val="22"/>
          <w:szCs w:val="22"/>
          <w:lang w:val="en-US"/>
        </w:rPr>
        <w:t xml:space="preserve"> in the future and the success of future operations of this company.</w:t>
      </w:r>
    </w:p>
    <w:p w:rsidR="0015492F" w:rsidRPr="001C608D" w:rsidRDefault="0015492F">
      <w:pPr>
        <w:overflowPunct/>
        <w:autoSpaceDE/>
        <w:autoSpaceDN/>
        <w:adjustRightInd/>
        <w:spacing w:before="100" w:after="100" w:line="380" w:lineRule="exact"/>
        <w:ind w:right="-43"/>
        <w:jc w:val="both"/>
        <w:textAlignment w:val="auto"/>
        <w:rPr>
          <w:rFonts w:ascii="Arial" w:eastAsia="Calibri" w:hAnsi="Arial" w:cs="Arial"/>
          <w:sz w:val="22"/>
          <w:szCs w:val="22"/>
          <w:u w:val="single"/>
          <w:lang w:val="en-US"/>
        </w:rPr>
      </w:pPr>
      <w:r w:rsidRPr="001C608D">
        <w:rPr>
          <w:rFonts w:ascii="Arial" w:eastAsia="Calibri" w:hAnsi="Arial" w:cs="Arial"/>
          <w:sz w:val="22"/>
          <w:szCs w:val="22"/>
          <w:u w:val="single"/>
          <w:lang w:val="en-US"/>
        </w:rPr>
        <w:br w:type="page"/>
      </w:r>
    </w:p>
    <w:p w:rsidR="00355B7A" w:rsidRPr="001C608D" w:rsidRDefault="00355B7A" w:rsidP="0015492F">
      <w:pPr>
        <w:pStyle w:val="ListParagraph"/>
        <w:numPr>
          <w:ilvl w:val="1"/>
          <w:numId w:val="10"/>
        </w:numPr>
        <w:pBdr>
          <w:top w:val="none" w:sz="4" w:space="0" w:color="auto"/>
          <w:left w:val="none" w:sz="4" w:space="0" w:color="auto"/>
          <w:bottom w:val="none" w:sz="4" w:space="0" w:color="auto"/>
          <w:right w:val="none" w:sz="4" w:space="0" w:color="auto"/>
          <w:between w:val="none" w:sz="4" w:space="0" w:color="auto"/>
          <w:bar w:val="none" w:sz="4" w:color="auto"/>
        </w:pBdr>
        <w:overflowPunct/>
        <w:autoSpaceDE/>
        <w:autoSpaceDN/>
        <w:adjustRightInd/>
        <w:spacing w:before="40" w:after="40" w:line="380" w:lineRule="exact"/>
        <w:ind w:left="1080" w:hanging="533"/>
        <w:contextualSpacing w:val="0"/>
        <w:textAlignment w:val="auto"/>
        <w:rPr>
          <w:rFonts w:ascii="Arial" w:eastAsia="Calibri" w:hAnsi="Arial" w:cs="Arial"/>
          <w:sz w:val="22"/>
          <w:szCs w:val="22"/>
          <w:u w:val="single"/>
          <w:lang w:val="en-US"/>
        </w:rPr>
      </w:pPr>
      <w:r w:rsidRPr="001C608D">
        <w:rPr>
          <w:rFonts w:ascii="Arial" w:eastAsia="Calibri" w:hAnsi="Arial" w:cs="Arial"/>
          <w:sz w:val="22"/>
          <w:szCs w:val="22"/>
          <w:u w:val="single"/>
          <w:lang w:val="en-US"/>
        </w:rPr>
        <w:lastRenderedPageBreak/>
        <w:t>Investment in BG Microfinance Myanmar Co. Ltd. (i</w:t>
      </w:r>
      <w:r w:rsidR="00C75A86" w:rsidRPr="001C608D">
        <w:rPr>
          <w:rFonts w:ascii="Arial" w:eastAsia="Calibri" w:hAnsi="Arial" w:cs="Arial"/>
          <w:sz w:val="22"/>
          <w:szCs w:val="22"/>
          <w:u w:val="single"/>
          <w:lang w:val="en-US"/>
        </w:rPr>
        <w:t xml:space="preserve">nvestment in subsidiary) </w:t>
      </w:r>
      <w:r w:rsidR="00E253E6" w:rsidRPr="001C608D">
        <w:rPr>
          <w:rFonts w:ascii="Arial" w:eastAsia="Calibri" w:hAnsi="Arial" w:cs="Arial"/>
          <w:sz w:val="22"/>
          <w:szCs w:val="22"/>
          <w:u w:val="single"/>
          <w:lang w:val="en-US"/>
        </w:rPr>
        <w:t>-</w:t>
      </w:r>
      <w:r w:rsidR="00C75A86" w:rsidRPr="001C608D">
        <w:rPr>
          <w:rFonts w:ascii="Arial" w:eastAsia="Calibri" w:hAnsi="Arial" w:cs="Arial"/>
          <w:sz w:val="22"/>
          <w:szCs w:val="22"/>
          <w:u w:val="single"/>
          <w:lang w:val="en-US"/>
        </w:rPr>
        <w:t xml:space="preserve"> Note 18</w:t>
      </w:r>
    </w:p>
    <w:p w:rsidR="00355B7A" w:rsidRPr="001C608D" w:rsidRDefault="0015492F" w:rsidP="0015492F">
      <w:pPr>
        <w:pStyle w:val="ListParagraph"/>
        <w:pBdr>
          <w:top w:val="none" w:sz="4" w:space="0" w:color="auto"/>
          <w:left w:val="none" w:sz="4" w:space="0" w:color="auto"/>
          <w:bottom w:val="none" w:sz="4" w:space="0" w:color="auto"/>
          <w:right w:val="none" w:sz="4" w:space="0" w:color="auto"/>
          <w:between w:val="none" w:sz="4" w:space="0" w:color="auto"/>
          <w:bar w:val="none" w:sz="4" w:color="auto"/>
        </w:pBdr>
        <w:spacing w:before="40" w:after="40" w:line="380" w:lineRule="exact"/>
        <w:ind w:left="1080" w:hanging="533"/>
        <w:contextualSpacing w:val="0"/>
        <w:rPr>
          <w:rFonts w:ascii="Arial" w:eastAsia="Calibri" w:hAnsi="Arial" w:cs="Arial"/>
          <w:sz w:val="22"/>
          <w:szCs w:val="22"/>
          <w:lang w:val="en-US"/>
        </w:rPr>
      </w:pPr>
      <w:r w:rsidRPr="001C608D">
        <w:rPr>
          <w:rFonts w:ascii="Arial" w:eastAsia="Calibri" w:hAnsi="Arial" w:cstheme="minorBidi"/>
          <w:sz w:val="22"/>
          <w:szCs w:val="22"/>
          <w:cs/>
          <w:lang w:val="en-US"/>
        </w:rPr>
        <w:tab/>
      </w:r>
      <w:r w:rsidR="00355B7A" w:rsidRPr="001C608D">
        <w:rPr>
          <w:rFonts w:ascii="Arial" w:eastAsia="Calibri" w:hAnsi="Arial" w:cs="Arial"/>
          <w:sz w:val="22"/>
          <w:szCs w:val="22"/>
          <w:lang w:val="en-US"/>
        </w:rPr>
        <w:t>The Extraordinary General Meeting of the Company’s shareholders No. 2/2016,</w:t>
      </w:r>
      <w:r w:rsidR="009A6610" w:rsidRPr="001C608D">
        <w:rPr>
          <w:rFonts w:ascii="Arial" w:eastAsia="Calibri" w:hAnsi="Arial" w:cstheme="minorBidi" w:hint="cs"/>
          <w:sz w:val="22"/>
          <w:szCs w:val="22"/>
          <w:cs/>
          <w:lang w:val="en-US"/>
        </w:rPr>
        <w:t xml:space="preserve">       </w:t>
      </w:r>
      <w:r w:rsidR="00355B7A" w:rsidRPr="001C608D">
        <w:rPr>
          <w:rFonts w:ascii="Arial" w:eastAsia="Calibri" w:hAnsi="Arial" w:cs="Arial"/>
          <w:sz w:val="22"/>
          <w:szCs w:val="22"/>
          <w:lang w:val="en-US"/>
        </w:rPr>
        <w:t xml:space="preserve"> held on 6 December 2016, approved the acquisition of 1,387,680 shares of BG Microfinance Myanmar Co. Ltd. (100% wholly-owned) at the cost of USD 8.01 million (Baht 280 million). The cost was appraised and set by the subsidiary company’s management, while the appointed independent financial advisor valued the investment at approximately Baht 173 - 179 million. The company was incorporated in</w:t>
      </w:r>
      <w:r w:rsidR="00980647" w:rsidRPr="001C608D">
        <w:rPr>
          <w:rFonts w:ascii="Arial" w:eastAsia="Calibri" w:hAnsi="Arial" w:cs="Arial"/>
          <w:sz w:val="22"/>
          <w:szCs w:val="22"/>
          <w:lang w:val="en-US"/>
        </w:rPr>
        <w:t xml:space="preserve"> the Republic of the Union of</w:t>
      </w:r>
      <w:r w:rsidR="00355B7A" w:rsidRPr="001C608D">
        <w:rPr>
          <w:rFonts w:ascii="Arial" w:eastAsia="Calibri" w:hAnsi="Arial" w:cs="Arial"/>
          <w:sz w:val="22"/>
          <w:szCs w:val="22"/>
          <w:lang w:val="en-US"/>
        </w:rPr>
        <w:t xml:space="preserve"> Myanmar with its main activity described as microfinance. It provides retail loans to women grouping 5 in number and individual loans to </w:t>
      </w:r>
      <w:r w:rsidR="001C04E2" w:rsidRPr="001C608D">
        <w:rPr>
          <w:rFonts w:ascii="Arial" w:eastAsia="Calibri" w:hAnsi="Arial" w:cs="Arial"/>
          <w:sz w:val="22"/>
          <w:szCs w:val="22"/>
          <w:lang w:val="en-US"/>
        </w:rPr>
        <w:t>entrepreneurs</w:t>
      </w:r>
      <w:r w:rsidR="00355B7A" w:rsidRPr="001C608D">
        <w:rPr>
          <w:rFonts w:ascii="Arial" w:eastAsia="Calibri" w:hAnsi="Arial" w:cs="Arial"/>
          <w:sz w:val="22"/>
          <w:szCs w:val="22"/>
          <w:lang w:val="en-US"/>
        </w:rPr>
        <w:t xml:space="preserve"> operating small and medium scale enterprises (SMEs).</w:t>
      </w:r>
    </w:p>
    <w:p w:rsidR="009A7BA2" w:rsidRPr="001C608D" w:rsidRDefault="0015492F" w:rsidP="0015492F">
      <w:pPr>
        <w:pStyle w:val="ListParagraph"/>
        <w:pBdr>
          <w:top w:val="none" w:sz="4" w:space="0" w:color="auto"/>
          <w:left w:val="none" w:sz="4" w:space="0" w:color="auto"/>
          <w:bottom w:val="none" w:sz="4" w:space="0" w:color="auto"/>
          <w:right w:val="none" w:sz="4" w:space="0" w:color="auto"/>
          <w:between w:val="none" w:sz="4" w:space="0" w:color="auto"/>
          <w:bar w:val="none" w:sz="4" w:color="auto"/>
        </w:pBdr>
        <w:spacing w:before="40" w:after="40" w:line="380" w:lineRule="exact"/>
        <w:ind w:left="1080" w:hanging="533"/>
        <w:contextualSpacing w:val="0"/>
        <w:rPr>
          <w:rFonts w:ascii="Arial" w:eastAsia="Calibri" w:hAnsi="Arial" w:cs="Arial"/>
          <w:sz w:val="22"/>
          <w:szCs w:val="22"/>
          <w:lang w:val="en-US"/>
        </w:rPr>
      </w:pPr>
      <w:r w:rsidRPr="001C608D">
        <w:rPr>
          <w:rFonts w:ascii="Arial" w:eastAsia="Calibri" w:hAnsi="Arial" w:cstheme="minorBidi"/>
          <w:sz w:val="22"/>
          <w:szCs w:val="22"/>
          <w:cs/>
          <w:lang w:val="en-US"/>
        </w:rPr>
        <w:tab/>
      </w:r>
      <w:r w:rsidR="00355B7A" w:rsidRPr="001C608D">
        <w:rPr>
          <w:rFonts w:ascii="Arial" w:eastAsia="Calibri" w:hAnsi="Arial" w:cs="Arial"/>
          <w:sz w:val="22"/>
          <w:szCs w:val="22"/>
          <w:lang w:val="en-US"/>
        </w:rPr>
        <w:t xml:space="preserve">At present, the Group is in the process of assessing the fair value of identifiable assets acquired and liabilities assumed at the acquisition date. The assessment process is ongoing and mainly related to the identification and valuation of intangible assets and certain tangible assets. The assessment shall be completed within measurement period of twelve months from the acquisition date (within the first quarter of 2018) pursuant to the period allowed under Thai Financial Reporting Standard No. 3 (revised 2015). </w:t>
      </w:r>
    </w:p>
    <w:p w:rsidR="00355B7A" w:rsidRPr="001C608D" w:rsidRDefault="0015492F" w:rsidP="0015492F">
      <w:pPr>
        <w:pStyle w:val="ListParagraph"/>
        <w:pBdr>
          <w:top w:val="none" w:sz="4" w:space="0" w:color="auto"/>
          <w:left w:val="none" w:sz="4" w:space="0" w:color="auto"/>
          <w:bottom w:val="none" w:sz="4" w:space="0" w:color="auto"/>
          <w:right w:val="none" w:sz="4" w:space="0" w:color="auto"/>
          <w:between w:val="none" w:sz="4" w:space="0" w:color="auto"/>
          <w:bar w:val="none" w:sz="4" w:color="auto"/>
        </w:pBdr>
        <w:spacing w:before="40" w:after="40" w:line="380" w:lineRule="exact"/>
        <w:ind w:left="1080" w:hanging="533"/>
        <w:contextualSpacing w:val="0"/>
        <w:rPr>
          <w:rFonts w:ascii="Arial" w:eastAsia="Calibri" w:hAnsi="Arial" w:cs="Arial"/>
          <w:sz w:val="22"/>
          <w:szCs w:val="22"/>
          <w:lang w:val="en-US"/>
        </w:rPr>
      </w:pPr>
      <w:r w:rsidRPr="001C608D">
        <w:rPr>
          <w:rFonts w:ascii="Arial" w:eastAsia="Calibri" w:hAnsi="Arial" w:cstheme="minorBidi"/>
          <w:sz w:val="22"/>
          <w:szCs w:val="22"/>
          <w:cs/>
          <w:lang w:val="en-US"/>
        </w:rPr>
        <w:tab/>
      </w:r>
      <w:r w:rsidR="00355B7A" w:rsidRPr="001C608D">
        <w:rPr>
          <w:rFonts w:ascii="Arial" w:eastAsia="Calibri" w:hAnsi="Arial" w:cs="Arial"/>
          <w:sz w:val="22"/>
          <w:szCs w:val="22"/>
          <w:lang w:val="en-US"/>
        </w:rPr>
        <w:t xml:space="preserve">As at 31 December 2017, the carrying value of this investment is </w:t>
      </w:r>
      <w:r w:rsidR="009A7BA2" w:rsidRPr="001C608D">
        <w:rPr>
          <w:rFonts w:ascii="Arial" w:eastAsia="Calibri" w:hAnsi="Arial" w:cs="Arial"/>
          <w:sz w:val="22"/>
          <w:szCs w:val="22"/>
          <w:lang w:val="en-US"/>
        </w:rPr>
        <w:t xml:space="preserve">Baht 654 million. </w:t>
      </w:r>
      <w:r w:rsidR="00E253E6" w:rsidRPr="001C608D">
        <w:rPr>
          <w:rFonts w:ascii="Arial" w:eastAsia="Calibri" w:hAnsi="Arial" w:cs="Arial"/>
          <w:sz w:val="22"/>
          <w:szCs w:val="22"/>
          <w:lang w:val="en-US"/>
        </w:rPr>
        <w:t xml:space="preserve">     </w:t>
      </w:r>
      <w:r w:rsidR="009A7BA2" w:rsidRPr="001C608D">
        <w:rPr>
          <w:rFonts w:ascii="Arial" w:eastAsia="Calibri" w:hAnsi="Arial" w:cs="Arial"/>
          <w:sz w:val="22"/>
          <w:szCs w:val="22"/>
          <w:lang w:val="en-US"/>
        </w:rPr>
        <w:t xml:space="preserve">The increase in carrying value of investment is as a result of capital increase during </w:t>
      </w:r>
      <w:r w:rsidR="00E253E6" w:rsidRPr="001C608D">
        <w:rPr>
          <w:rFonts w:ascii="Arial" w:eastAsia="Calibri" w:hAnsi="Arial" w:cs="Arial"/>
          <w:sz w:val="22"/>
          <w:szCs w:val="22"/>
          <w:lang w:val="en-US"/>
        </w:rPr>
        <w:t xml:space="preserve">   </w:t>
      </w:r>
      <w:r w:rsidR="009A7BA2" w:rsidRPr="001C608D">
        <w:rPr>
          <w:rFonts w:ascii="Arial" w:eastAsia="Calibri" w:hAnsi="Arial" w:cs="Arial"/>
          <w:sz w:val="22"/>
          <w:szCs w:val="22"/>
          <w:lang w:val="en-US"/>
        </w:rPr>
        <w:t>the year.</w:t>
      </w:r>
    </w:p>
    <w:p w:rsidR="009978AD" w:rsidRPr="001C608D" w:rsidRDefault="009978AD" w:rsidP="0015492F">
      <w:pPr>
        <w:pStyle w:val="ListParagraph"/>
        <w:numPr>
          <w:ilvl w:val="1"/>
          <w:numId w:val="10"/>
        </w:numPr>
        <w:pBdr>
          <w:top w:val="none" w:sz="4" w:space="0" w:color="auto"/>
          <w:left w:val="none" w:sz="4" w:space="0" w:color="auto"/>
          <w:bottom w:val="none" w:sz="4" w:space="0" w:color="auto"/>
          <w:right w:val="none" w:sz="4" w:space="0" w:color="auto"/>
          <w:between w:val="none" w:sz="4" w:space="0" w:color="auto"/>
          <w:bar w:val="none" w:sz="4" w:color="auto"/>
        </w:pBdr>
        <w:overflowPunct/>
        <w:autoSpaceDE/>
        <w:autoSpaceDN/>
        <w:adjustRightInd/>
        <w:spacing w:before="40" w:after="40" w:line="380" w:lineRule="exact"/>
        <w:ind w:left="1080" w:hanging="533"/>
        <w:contextualSpacing w:val="0"/>
        <w:textAlignment w:val="auto"/>
        <w:rPr>
          <w:rFonts w:ascii="Arial" w:eastAsia="Calibri" w:hAnsi="Arial" w:cs="Arial"/>
          <w:sz w:val="22"/>
          <w:szCs w:val="22"/>
          <w:u w:val="single"/>
          <w:lang w:val="en-US"/>
        </w:rPr>
      </w:pPr>
      <w:r w:rsidRPr="001C608D">
        <w:rPr>
          <w:rFonts w:ascii="Arial" w:eastAsia="Calibri" w:hAnsi="Arial" w:cs="Arial"/>
          <w:sz w:val="22"/>
          <w:szCs w:val="22"/>
          <w:u w:val="single"/>
          <w:lang w:val="en-US"/>
        </w:rPr>
        <w:t xml:space="preserve">Subsequent Events - Major source of fund from convertible debenture holder and legal cases </w:t>
      </w:r>
    </w:p>
    <w:p w:rsidR="009978AD" w:rsidRPr="001C608D" w:rsidRDefault="0015492F" w:rsidP="0015492F">
      <w:pPr>
        <w:pStyle w:val="ListParagraph"/>
        <w:pBdr>
          <w:top w:val="none" w:sz="4" w:space="0" w:color="auto"/>
          <w:left w:val="none" w:sz="4" w:space="0" w:color="auto"/>
          <w:bottom w:val="none" w:sz="4" w:space="0" w:color="auto"/>
          <w:right w:val="none" w:sz="4" w:space="0" w:color="auto"/>
          <w:between w:val="none" w:sz="4" w:space="0" w:color="auto"/>
          <w:bar w:val="none" w:sz="4" w:color="auto"/>
        </w:pBdr>
        <w:spacing w:before="40" w:after="40" w:line="380" w:lineRule="exact"/>
        <w:ind w:left="1080" w:hanging="533"/>
        <w:contextualSpacing w:val="0"/>
        <w:rPr>
          <w:rFonts w:ascii="Arial" w:eastAsia="Calibri" w:hAnsi="Arial" w:cs="Arial"/>
          <w:sz w:val="22"/>
          <w:szCs w:val="22"/>
          <w:lang w:val="en-US"/>
        </w:rPr>
      </w:pPr>
      <w:r w:rsidRPr="001C608D">
        <w:rPr>
          <w:rFonts w:ascii="Arial" w:eastAsia="Calibri" w:hAnsi="Arial" w:cstheme="minorBidi"/>
          <w:sz w:val="22"/>
          <w:szCs w:val="22"/>
          <w:cs/>
          <w:lang w:val="en-US"/>
        </w:rPr>
        <w:tab/>
      </w:r>
      <w:r w:rsidR="009978AD" w:rsidRPr="001C608D">
        <w:rPr>
          <w:rFonts w:ascii="Arial" w:eastAsia="Calibri" w:hAnsi="Arial" w:cs="Arial"/>
          <w:sz w:val="22"/>
          <w:szCs w:val="22"/>
          <w:lang w:val="en-US"/>
        </w:rPr>
        <w:t>Following the SEC’s incrimination, in January 2018, one substantial holder of the Company’s convertible debentures with an outstanding balance of USD 180 million or approximately Baht 6,000 million gave notice to terminate the financial agreement citing cancellation of voidable transactions and demanded immediate repayment and damages, filed a civil case with the civil court against the Company demanding immediately repayment of convertible debenture (of approximately Baht 6,000 million) and damages (of approximately Baht 2,000 million), filed a  petition with the Central Bankruptcy Court for rehabilitation of the Company, filed a criminal complaint with the Department of Special Investigation and also the Police’s Economic Crime Suppression Division and also filed a lawsuit in Singapore against the Company’s subsidiary. The Company maintained that if it did not breach any debenture condition and the demands and claims were without merits.</w:t>
      </w:r>
    </w:p>
    <w:p w:rsidR="009978AD" w:rsidRPr="001C608D" w:rsidRDefault="0015492F" w:rsidP="0015492F">
      <w:pPr>
        <w:pStyle w:val="ListParagraph"/>
        <w:pBdr>
          <w:top w:val="none" w:sz="4" w:space="0" w:color="auto"/>
          <w:left w:val="none" w:sz="4" w:space="0" w:color="auto"/>
          <w:bottom w:val="none" w:sz="4" w:space="0" w:color="auto"/>
          <w:right w:val="none" w:sz="4" w:space="0" w:color="auto"/>
          <w:between w:val="none" w:sz="4" w:space="0" w:color="auto"/>
          <w:bar w:val="none" w:sz="4" w:color="auto"/>
        </w:pBdr>
        <w:spacing w:before="120" w:after="120" w:line="380" w:lineRule="exact"/>
        <w:ind w:left="1080" w:hanging="533"/>
        <w:contextualSpacing w:val="0"/>
        <w:rPr>
          <w:rFonts w:ascii="Arial" w:eastAsia="Calibri" w:hAnsi="Arial" w:cs="Arial"/>
          <w:sz w:val="22"/>
          <w:szCs w:val="22"/>
          <w:cs/>
          <w:lang w:val="en-US"/>
        </w:rPr>
      </w:pPr>
      <w:r w:rsidRPr="001C608D">
        <w:rPr>
          <w:rFonts w:ascii="Arial" w:eastAsia="Calibri" w:hAnsi="Arial" w:cstheme="minorBidi"/>
          <w:sz w:val="22"/>
          <w:szCs w:val="22"/>
          <w:cs/>
          <w:lang w:val="en-US"/>
        </w:rPr>
        <w:lastRenderedPageBreak/>
        <w:tab/>
      </w:r>
      <w:r w:rsidR="009978AD" w:rsidRPr="001C608D">
        <w:rPr>
          <w:rFonts w:ascii="Arial" w:eastAsia="Calibri" w:hAnsi="Arial" w:cs="Arial"/>
          <w:sz w:val="22"/>
          <w:szCs w:val="22"/>
          <w:lang w:val="en-US"/>
        </w:rPr>
        <w:t>Under the generally accepted accounting principles, this highly significant investor, convertible debenture holder could be considered as a related party to the Company because the amount invested over the last two years was over Baht 7,000 million or USD 210 million (partly converted into the Company’s share capital) represented more than 30 percent of the total sources of funds supporting the whole operations of the group.</w:t>
      </w:r>
    </w:p>
    <w:p w:rsidR="00737ABF" w:rsidRPr="001C608D" w:rsidRDefault="00355B7A" w:rsidP="0015492F">
      <w:pPr>
        <w:pStyle w:val="ListParagraph"/>
        <w:numPr>
          <w:ilvl w:val="0"/>
          <w:numId w:val="7"/>
        </w:numPr>
        <w:spacing w:before="120" w:after="120" w:line="380" w:lineRule="exact"/>
        <w:ind w:left="547" w:hanging="547"/>
        <w:contextualSpacing w:val="0"/>
        <w:rPr>
          <w:rFonts w:ascii="Arial" w:hAnsi="Arial" w:cs="Arial"/>
          <w:b/>
          <w:bCs/>
          <w:sz w:val="22"/>
          <w:szCs w:val="22"/>
          <w:lang w:val="en-US"/>
        </w:rPr>
      </w:pPr>
      <w:r w:rsidRPr="001C608D">
        <w:rPr>
          <w:rFonts w:ascii="Arial" w:hAnsi="Arial" w:cs="Arial"/>
          <w:b/>
          <w:bCs/>
          <w:sz w:val="22"/>
          <w:szCs w:val="22"/>
          <w:lang w:val="en-US"/>
        </w:rPr>
        <w:t>Material uncertainty related to going concern</w:t>
      </w:r>
    </w:p>
    <w:p w:rsidR="00355B7A" w:rsidRPr="001C608D" w:rsidRDefault="00355B7A"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t xml:space="preserve">I draw attention to the legal cases as discussed in </w:t>
      </w:r>
      <w:r w:rsidR="009978AD" w:rsidRPr="001C608D">
        <w:rPr>
          <w:rFonts w:ascii="Arial" w:hAnsi="Arial" w:cs="Arial"/>
          <w:sz w:val="22"/>
          <w:szCs w:val="22"/>
          <w:lang w:val="en-US"/>
        </w:rPr>
        <w:t>3</w:t>
      </w:r>
      <w:r w:rsidRPr="001C608D">
        <w:rPr>
          <w:rFonts w:ascii="Arial" w:hAnsi="Arial" w:cs="Arial"/>
          <w:sz w:val="22"/>
          <w:szCs w:val="22"/>
          <w:lang w:val="en-US"/>
        </w:rPr>
        <w:t>.5 as actioned by the convertible debenture holder which may affect going con</w:t>
      </w:r>
      <w:r w:rsidR="00AC70EF" w:rsidRPr="001C608D">
        <w:rPr>
          <w:rFonts w:ascii="Arial" w:hAnsi="Arial" w:cs="Arial"/>
          <w:sz w:val="22"/>
          <w:szCs w:val="22"/>
          <w:lang w:val="en-US"/>
        </w:rPr>
        <w:t>cern of the Group in the future including financial status, classification of liabilities, result of operation</w:t>
      </w:r>
      <w:r w:rsidR="00AC70EF" w:rsidRPr="001C608D">
        <w:rPr>
          <w:rFonts w:ascii="Arial" w:hAnsi="Arial" w:cs="Arial"/>
          <w:sz w:val="22"/>
          <w:szCs w:val="22"/>
          <w:cs/>
          <w:lang w:val="en-US"/>
        </w:rPr>
        <w:t xml:space="preserve"> </w:t>
      </w:r>
      <w:r w:rsidR="00AC70EF" w:rsidRPr="001C608D">
        <w:rPr>
          <w:rFonts w:ascii="Arial" w:hAnsi="Arial" w:cs="Arial"/>
          <w:sz w:val="22"/>
          <w:szCs w:val="22"/>
          <w:lang w:val="en-US"/>
        </w:rPr>
        <w:t xml:space="preserve">and cash flow status. </w:t>
      </w:r>
      <w:r w:rsidRPr="001C608D">
        <w:rPr>
          <w:rFonts w:ascii="Arial" w:hAnsi="Arial" w:cs="Arial"/>
          <w:sz w:val="22"/>
          <w:szCs w:val="22"/>
          <w:lang w:val="en-US"/>
        </w:rPr>
        <w:t>Presently, it is assumed that those cases will not affect the going concern of the Group.</w:t>
      </w:r>
    </w:p>
    <w:p w:rsidR="008648FF" w:rsidRPr="001C608D" w:rsidRDefault="008648FF" w:rsidP="0015492F">
      <w:pPr>
        <w:pStyle w:val="ListParagraph"/>
        <w:numPr>
          <w:ilvl w:val="0"/>
          <w:numId w:val="7"/>
        </w:numPr>
        <w:spacing w:before="120" w:after="120" w:line="380" w:lineRule="exact"/>
        <w:ind w:left="547" w:hanging="547"/>
        <w:contextualSpacing w:val="0"/>
        <w:rPr>
          <w:rFonts w:ascii="Arial" w:hAnsi="Arial" w:cs="Arial"/>
          <w:b/>
          <w:bCs/>
          <w:sz w:val="22"/>
          <w:szCs w:val="22"/>
          <w:lang w:val="en-US"/>
        </w:rPr>
      </w:pPr>
      <w:r w:rsidRPr="001C608D">
        <w:rPr>
          <w:rFonts w:ascii="Arial" w:hAnsi="Arial" w:cs="Arial"/>
          <w:b/>
          <w:bCs/>
          <w:sz w:val="22"/>
          <w:szCs w:val="22"/>
          <w:lang w:val="en-US"/>
        </w:rPr>
        <w:t>Key Audit Matters</w:t>
      </w:r>
    </w:p>
    <w:p w:rsidR="008648FF" w:rsidRPr="001C608D" w:rsidRDefault="008648FF"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rsidR="008648FF" w:rsidRPr="001C608D" w:rsidRDefault="008648FF"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8648FF" w:rsidRPr="001C608D" w:rsidRDefault="008648FF" w:rsidP="0015492F">
      <w:pPr>
        <w:spacing w:before="120" w:after="120" w:line="380" w:lineRule="exact"/>
        <w:ind w:left="540"/>
        <w:rPr>
          <w:rFonts w:ascii="Arial" w:hAnsi="Arial" w:cs="Arial"/>
          <w:color w:val="000000"/>
          <w:sz w:val="22"/>
          <w:szCs w:val="22"/>
          <w:lang w:val="en-US"/>
        </w:rPr>
      </w:pPr>
      <w:r w:rsidRPr="001C608D">
        <w:rPr>
          <w:rFonts w:ascii="Arial" w:hAnsi="Arial" w:cs="Arial"/>
          <w:color w:val="000000"/>
          <w:sz w:val="22"/>
          <w:szCs w:val="22"/>
          <w:lang w:val="en-US"/>
        </w:rPr>
        <w:t>In addition to the matter</w:t>
      </w:r>
      <w:r w:rsidR="00634BC2" w:rsidRPr="001C608D">
        <w:rPr>
          <w:rFonts w:ascii="Arial" w:hAnsi="Arial" w:cs="Browallia New"/>
          <w:color w:val="000000"/>
          <w:sz w:val="22"/>
          <w:szCs w:val="28"/>
          <w:lang w:val="en-US"/>
        </w:rPr>
        <w:t>s</w:t>
      </w:r>
      <w:r w:rsidRPr="001C608D">
        <w:rPr>
          <w:rFonts w:ascii="Arial" w:hAnsi="Arial" w:cs="Arial"/>
          <w:color w:val="000000"/>
          <w:sz w:val="22"/>
          <w:szCs w:val="22"/>
          <w:lang w:val="en-US"/>
        </w:rPr>
        <w:t xml:space="preserve"> described in </w:t>
      </w:r>
      <w:r w:rsidRPr="001C608D">
        <w:rPr>
          <w:rFonts w:ascii="Arial" w:hAnsi="Arial" w:cs="Arial"/>
          <w:i/>
          <w:iCs/>
          <w:color w:val="000000"/>
          <w:sz w:val="22"/>
          <w:szCs w:val="22"/>
          <w:lang w:val="en-US"/>
        </w:rPr>
        <w:t>the Basis for Qualified Opinion</w:t>
      </w:r>
      <w:r w:rsidRPr="001C608D">
        <w:rPr>
          <w:rFonts w:ascii="Arial" w:hAnsi="Arial" w:cs="Arial"/>
          <w:color w:val="000000"/>
          <w:sz w:val="22"/>
          <w:szCs w:val="22"/>
          <w:lang w:val="en-US"/>
        </w:rPr>
        <w:t>, key audit matters and how audit procedures respond for each matter are</w:t>
      </w:r>
      <w:r w:rsidRPr="001C608D">
        <w:rPr>
          <w:rFonts w:ascii="Arial" w:hAnsi="Arial" w:cs="Arial"/>
          <w:color w:val="000000"/>
          <w:sz w:val="22"/>
          <w:szCs w:val="22"/>
          <w:cs/>
        </w:rPr>
        <w:t xml:space="preserve"> </w:t>
      </w:r>
      <w:r w:rsidRPr="001C608D">
        <w:rPr>
          <w:rFonts w:ascii="Arial" w:hAnsi="Arial" w:cs="Arial"/>
          <w:color w:val="000000"/>
          <w:sz w:val="22"/>
          <w:szCs w:val="22"/>
          <w:lang w:val="en-US"/>
        </w:rPr>
        <w:t>described below.</w:t>
      </w:r>
    </w:p>
    <w:p w:rsidR="006211A1" w:rsidRPr="001C608D" w:rsidRDefault="006211A1" w:rsidP="0015492F">
      <w:pPr>
        <w:overflowPunct/>
        <w:autoSpaceDE/>
        <w:autoSpaceDN/>
        <w:adjustRightInd/>
        <w:spacing w:before="120" w:after="120" w:line="380" w:lineRule="exact"/>
        <w:ind w:right="-43"/>
        <w:jc w:val="both"/>
        <w:textAlignment w:val="auto"/>
        <w:rPr>
          <w:rFonts w:ascii="Arial" w:hAnsi="Arial" w:cs="Arial"/>
          <w:b/>
          <w:bCs/>
          <w:sz w:val="22"/>
          <w:szCs w:val="22"/>
          <w:lang w:val="en-US"/>
        </w:rPr>
      </w:pPr>
      <w:r w:rsidRPr="001C608D">
        <w:rPr>
          <w:rFonts w:ascii="Arial" w:hAnsi="Arial" w:cs="Arial"/>
          <w:b/>
          <w:bCs/>
          <w:sz w:val="22"/>
          <w:szCs w:val="22"/>
          <w:lang w:val="en-US"/>
        </w:rPr>
        <w:br w:type="page"/>
      </w:r>
    </w:p>
    <w:p w:rsidR="005D5EA3" w:rsidRPr="001C608D" w:rsidRDefault="005D5EA3" w:rsidP="0015492F">
      <w:pPr>
        <w:spacing w:before="120" w:after="120" w:line="380" w:lineRule="exact"/>
        <w:ind w:left="540"/>
        <w:rPr>
          <w:rFonts w:ascii="Arial" w:hAnsi="Arial" w:cs="Arial"/>
          <w:b/>
          <w:bCs/>
          <w:sz w:val="22"/>
          <w:szCs w:val="22"/>
          <w:lang w:val="en-US"/>
        </w:rPr>
      </w:pPr>
      <w:r w:rsidRPr="001C608D">
        <w:rPr>
          <w:rFonts w:ascii="Arial" w:hAnsi="Arial" w:cs="Arial"/>
          <w:b/>
          <w:bCs/>
          <w:sz w:val="22"/>
          <w:szCs w:val="22"/>
          <w:lang w:val="en-US"/>
        </w:rPr>
        <w:lastRenderedPageBreak/>
        <w:t xml:space="preserve">Revenue recognition </w:t>
      </w:r>
    </w:p>
    <w:p w:rsidR="005D5EA3" w:rsidRPr="001C608D" w:rsidRDefault="005D5EA3" w:rsidP="0015492F">
      <w:pPr>
        <w:spacing w:before="120" w:after="120" w:line="380" w:lineRule="exact"/>
        <w:ind w:left="540"/>
        <w:rPr>
          <w:rFonts w:ascii="Arial" w:hAnsi="Arial" w:cstheme="minorBidi"/>
          <w:sz w:val="22"/>
          <w:szCs w:val="22"/>
          <w:lang w:val="en-US"/>
        </w:rPr>
      </w:pPr>
      <w:r w:rsidRPr="001C608D">
        <w:rPr>
          <w:rFonts w:ascii="Arial" w:hAnsi="Arial" w:cs="Arial"/>
          <w:sz w:val="22"/>
          <w:szCs w:val="22"/>
          <w:lang w:val="en-US"/>
        </w:rPr>
        <w:t>The Group’s policy on recognition of hire purchase and asset - backed loans interest income are discussed in Note 5 to the financial statements. In 2017, the Group’s revenue mainly consisted of interest income from hire purchase and asset - backed loans contracts, which amounted to Baht 2,227 million (representing 71 percent of total revenue). These hire purchase and asset - backed loans interest incomes were derived from agreements made with a large number of customers, most of whom are retail customers, and the revenue recognition is primarily reliant on data processing by information technology systems. Therefore, I addressed the amount and timing of the recognition of hire purchase and asset - backed loans interest income</w:t>
      </w:r>
      <w:r w:rsidRPr="001C608D">
        <w:rPr>
          <w:rFonts w:ascii="Arial" w:hAnsi="Arial" w:cs="Browallia New"/>
          <w:sz w:val="22"/>
          <w:lang w:val="en-US"/>
        </w:rPr>
        <w:t>s</w:t>
      </w:r>
      <w:r w:rsidRPr="001C608D">
        <w:rPr>
          <w:rFonts w:ascii="Arial" w:hAnsi="Arial" w:cs="Arial"/>
          <w:sz w:val="22"/>
          <w:szCs w:val="22"/>
          <w:lang w:val="en-US"/>
        </w:rPr>
        <w:t xml:space="preserve"> as a key audit matter. </w:t>
      </w:r>
    </w:p>
    <w:p w:rsidR="005D5EA3" w:rsidRPr="001C608D" w:rsidRDefault="005D5EA3"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t>I assessed and tested the Group’s IT system controls and significant internal controls related to the loan origination, loan receipt and interest incomes recognition processes by making enquiry of responsible executives, gaining an understanding of the controls and selecting representative samples to test the operation of the designed controls. I applied a sampling method to select hire purchase and asset - backed loans contracts to assess whether the recording of hire purchase receivables, asset - backed loans receivables and revenue recognition were in accordance with the conditions of the relevant agreements and were in compliance with the Group’s policy. In addition, I performed analytical procedures on the recognition of interest incomes throughout the year, the cessation of recognition of interest incomes</w:t>
      </w:r>
      <w:r w:rsidRPr="001C608D">
        <w:rPr>
          <w:rFonts w:ascii="Arial" w:hAnsi="Arial" w:cstheme="minorBidi" w:hint="cs"/>
          <w:sz w:val="22"/>
          <w:szCs w:val="22"/>
          <w:cs/>
        </w:rPr>
        <w:t xml:space="preserve"> </w:t>
      </w:r>
      <w:r w:rsidRPr="001C608D">
        <w:rPr>
          <w:rFonts w:ascii="Arial" w:hAnsi="Arial" w:cs="Arial"/>
          <w:sz w:val="22"/>
          <w:szCs w:val="22"/>
          <w:lang w:val="en-US"/>
        </w:rPr>
        <w:t xml:space="preserve">and applied a sampling method </w:t>
      </w:r>
      <w:r w:rsidRPr="001C608D">
        <w:rPr>
          <w:rFonts w:ascii="Arial" w:hAnsi="Arial" w:cs="Browallia New"/>
          <w:sz w:val="22"/>
          <w:lang w:val="en-US"/>
        </w:rPr>
        <w:t>to</w:t>
      </w:r>
      <w:r w:rsidRPr="001C608D">
        <w:rPr>
          <w:rFonts w:ascii="Arial" w:hAnsi="Arial" w:cs="Arial"/>
          <w:sz w:val="22"/>
          <w:szCs w:val="22"/>
          <w:lang w:val="en-US"/>
        </w:rPr>
        <w:t xml:space="preserve"> examine accounting entries related to interest income recognition that were made through journal vouchers.    </w:t>
      </w:r>
    </w:p>
    <w:p w:rsidR="005D5EA3" w:rsidRPr="001C608D" w:rsidRDefault="005D5EA3" w:rsidP="0015492F">
      <w:pPr>
        <w:spacing w:before="120" w:after="120" w:line="380" w:lineRule="exact"/>
        <w:ind w:left="540"/>
        <w:rPr>
          <w:rFonts w:ascii="Arial" w:hAnsi="Arial" w:cs="Arial"/>
          <w:b/>
          <w:bCs/>
          <w:sz w:val="22"/>
          <w:szCs w:val="22"/>
          <w:lang w:val="en-US"/>
        </w:rPr>
      </w:pPr>
      <w:r w:rsidRPr="001C608D">
        <w:rPr>
          <w:rFonts w:ascii="Arial" w:hAnsi="Arial" w:cs="Arial"/>
          <w:b/>
          <w:bCs/>
          <w:sz w:val="22"/>
          <w:szCs w:val="22"/>
          <w:lang w:val="en-US"/>
        </w:rPr>
        <w:t xml:space="preserve">Allowance for </w:t>
      </w:r>
      <w:r w:rsidRPr="001C608D">
        <w:rPr>
          <w:rFonts w:ascii="Arial" w:hAnsi="Arial" w:cstheme="minorBidi"/>
          <w:b/>
          <w:bCs/>
          <w:sz w:val="22"/>
          <w:szCs w:val="22"/>
          <w:lang w:val="en-US"/>
        </w:rPr>
        <w:t xml:space="preserve">doubtful accounts for </w:t>
      </w:r>
      <w:r w:rsidRPr="001C608D">
        <w:rPr>
          <w:rFonts w:ascii="Arial" w:hAnsi="Arial" w:cs="Arial"/>
          <w:b/>
          <w:bCs/>
          <w:sz w:val="22"/>
          <w:szCs w:val="22"/>
          <w:lang w:val="en-US"/>
        </w:rPr>
        <w:t xml:space="preserve">hire purchase receivables and </w:t>
      </w:r>
      <w:bookmarkStart w:id="1" w:name="_Toc465411639"/>
      <w:r w:rsidRPr="001C608D">
        <w:rPr>
          <w:rFonts w:ascii="Arial" w:hAnsi="Arial" w:cs="Arial"/>
          <w:b/>
          <w:bCs/>
          <w:sz w:val="22"/>
          <w:szCs w:val="22"/>
          <w:lang w:val="en-US"/>
        </w:rPr>
        <w:t>asset-backed loan receivables</w:t>
      </w:r>
      <w:bookmarkEnd w:id="1"/>
    </w:p>
    <w:p w:rsidR="0010736D" w:rsidRPr="001C608D" w:rsidRDefault="005D5EA3"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t>As discussed in Note 5 to the financial statements, the estimation of allowances for doubtful accounts for hire purchase receivables and asset-backed loan receivables relies on various assumptions. Therefore, the management is required to exercise considerable judgement in determining the assumptions to be used in estimating the losses expected to be incurred when debtors are unable to repay principal and interest, and the appropriatenes</w:t>
      </w:r>
      <w:r w:rsidR="0010736D" w:rsidRPr="001C608D">
        <w:rPr>
          <w:rFonts w:ascii="Arial" w:hAnsi="Arial" w:cs="Arial"/>
          <w:sz w:val="22"/>
          <w:szCs w:val="22"/>
          <w:lang w:val="en-US"/>
        </w:rPr>
        <w:t>s of the timing of recognition.</w:t>
      </w:r>
    </w:p>
    <w:p w:rsidR="0010736D" w:rsidRPr="001C608D" w:rsidRDefault="0010736D" w:rsidP="0015492F">
      <w:pPr>
        <w:overflowPunct/>
        <w:autoSpaceDE/>
        <w:autoSpaceDN/>
        <w:adjustRightInd/>
        <w:spacing w:before="120" w:after="120" w:line="380" w:lineRule="exact"/>
        <w:ind w:right="-43"/>
        <w:jc w:val="both"/>
        <w:textAlignment w:val="auto"/>
        <w:rPr>
          <w:rFonts w:ascii="Arial" w:hAnsi="Arial" w:cs="Arial"/>
          <w:sz w:val="22"/>
          <w:szCs w:val="22"/>
          <w:lang w:val="en-US"/>
        </w:rPr>
      </w:pPr>
      <w:r w:rsidRPr="001C608D">
        <w:rPr>
          <w:rFonts w:ascii="Arial" w:hAnsi="Arial" w:cs="Arial"/>
          <w:sz w:val="22"/>
          <w:szCs w:val="22"/>
          <w:lang w:val="en-US"/>
        </w:rPr>
        <w:br w:type="page"/>
      </w:r>
    </w:p>
    <w:p w:rsidR="005D5EA3" w:rsidRPr="001C608D" w:rsidRDefault="005D5EA3" w:rsidP="0015492F">
      <w:pPr>
        <w:spacing w:before="120" w:after="120" w:line="380" w:lineRule="exact"/>
        <w:ind w:left="547"/>
        <w:rPr>
          <w:rFonts w:ascii="Arial" w:hAnsi="Arial" w:cs="Arial"/>
          <w:sz w:val="22"/>
          <w:szCs w:val="22"/>
          <w:lang w:val="en-US"/>
        </w:rPr>
      </w:pPr>
      <w:r w:rsidRPr="001C608D">
        <w:rPr>
          <w:rFonts w:ascii="Arial" w:hAnsi="Arial" w:cs="Arial"/>
          <w:sz w:val="22"/>
          <w:szCs w:val="22"/>
          <w:lang w:val="en-US"/>
        </w:rPr>
        <w:lastRenderedPageBreak/>
        <w:t xml:space="preserve">Moreover, the estimation of these allowances was significant because as at 31 December 2017, the Group had significant balances of hire purchase receivables and asset-backed loan receivables (accounting for </w:t>
      </w:r>
      <w:r w:rsidR="00A42804" w:rsidRPr="001C608D">
        <w:rPr>
          <w:rFonts w:ascii="Arial" w:hAnsi="Arial" w:cs="Arial"/>
          <w:sz w:val="22"/>
          <w:szCs w:val="22"/>
          <w:lang w:val="en-US"/>
        </w:rPr>
        <w:t>48</w:t>
      </w:r>
      <w:r w:rsidR="00234554" w:rsidRPr="001C608D">
        <w:rPr>
          <w:rFonts w:ascii="Arial" w:hAnsi="Arial" w:cs="Arial"/>
          <w:sz w:val="22"/>
          <w:szCs w:val="22"/>
          <w:lang w:val="en-US"/>
        </w:rPr>
        <w:t xml:space="preserve"> percent </w:t>
      </w:r>
      <w:r w:rsidRPr="001C608D">
        <w:rPr>
          <w:rFonts w:ascii="Arial" w:hAnsi="Arial" w:cs="Arial"/>
          <w:sz w:val="22"/>
          <w:szCs w:val="22"/>
          <w:lang w:val="en-US"/>
        </w:rPr>
        <w:t>of total assets). Therefore, there is a risk that the allowances for hire purchase receivables and asset-backed loan receivables recognised will be insufficient, resulting in a risk of the Group overstating the value of its hire purchase receivables and asset-backed loan receivables.</w:t>
      </w:r>
    </w:p>
    <w:p w:rsidR="005D5EA3" w:rsidRPr="001C608D" w:rsidRDefault="005D5EA3"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t>I assessed and tested the internal controls relevant to approval, recording and debt collection for hire purchase receivables and asset-backed loan receivables, and the internal controls relating to the calculation of the allowances. I also assessed the appropriateness of the key information, assumptions and methods used by the Group in calculating allowance for doubtful accounts for hire purchase receivables and asset - backed loan receivables by performing the following procedures:</w:t>
      </w:r>
    </w:p>
    <w:p w:rsidR="005D5EA3" w:rsidRPr="001C608D" w:rsidRDefault="005D5EA3" w:rsidP="0015492F">
      <w:pPr>
        <w:pStyle w:val="ps-000-normal"/>
        <w:numPr>
          <w:ilvl w:val="0"/>
          <w:numId w:val="1"/>
        </w:numPr>
        <w:spacing w:before="120" w:line="380" w:lineRule="exact"/>
        <w:ind w:left="900"/>
        <w:rPr>
          <w:rFonts w:ascii="Arial" w:hAnsi="Arial" w:cs="Arial"/>
          <w:sz w:val="22"/>
          <w:szCs w:val="22"/>
        </w:rPr>
      </w:pPr>
      <w:r w:rsidRPr="001C608D">
        <w:rPr>
          <w:rFonts w:ascii="Arial" w:hAnsi="Arial" w:cs="Arial"/>
          <w:sz w:val="22"/>
          <w:szCs w:val="22"/>
        </w:rPr>
        <w:t xml:space="preserve">Gained an understanding of how allowances were calculated, and assessed the appropriateness of the calculation of probability of default and loss given default. </w:t>
      </w:r>
    </w:p>
    <w:p w:rsidR="005D5EA3" w:rsidRPr="001C608D" w:rsidRDefault="005D5EA3" w:rsidP="0015492F">
      <w:pPr>
        <w:pStyle w:val="ps-000-normal"/>
        <w:numPr>
          <w:ilvl w:val="0"/>
          <w:numId w:val="1"/>
        </w:numPr>
        <w:spacing w:before="120" w:line="380" w:lineRule="exact"/>
        <w:ind w:left="900"/>
        <w:rPr>
          <w:rFonts w:ascii="Arial" w:hAnsi="Arial" w:cs="Arial"/>
          <w:sz w:val="22"/>
          <w:szCs w:val="22"/>
        </w:rPr>
      </w:pPr>
      <w:r w:rsidRPr="001C608D">
        <w:rPr>
          <w:rFonts w:ascii="Arial" w:hAnsi="Arial" w:cs="Arial"/>
          <w:sz w:val="22"/>
          <w:szCs w:val="22"/>
        </w:rPr>
        <w:t>Checked the credibility of key data used in the calculation to key sources</w:t>
      </w:r>
    </w:p>
    <w:p w:rsidR="005D5EA3" w:rsidRPr="001C608D" w:rsidRDefault="005D5EA3" w:rsidP="0015492F">
      <w:pPr>
        <w:pStyle w:val="ps-000-normal"/>
        <w:numPr>
          <w:ilvl w:val="0"/>
          <w:numId w:val="1"/>
        </w:numPr>
        <w:spacing w:before="120" w:line="380" w:lineRule="exact"/>
        <w:ind w:left="900"/>
        <w:rPr>
          <w:rFonts w:ascii="Arial" w:hAnsi="Arial" w:cs="Arial"/>
          <w:sz w:val="22"/>
          <w:szCs w:val="22"/>
        </w:rPr>
      </w:pPr>
      <w:r w:rsidRPr="001C608D">
        <w:rPr>
          <w:rFonts w:ascii="Arial" w:hAnsi="Arial" w:cs="Arial"/>
          <w:sz w:val="22"/>
          <w:szCs w:val="22"/>
        </w:rPr>
        <w:t xml:space="preserve">Performed analytical procedures </w:t>
      </w:r>
      <w:r w:rsidRPr="001C608D">
        <w:rPr>
          <w:rFonts w:ascii="Arial" w:hAnsi="Arial" w:cs="Browallia New"/>
          <w:sz w:val="22"/>
          <w:szCs w:val="28"/>
        </w:rPr>
        <w:t>on</w:t>
      </w:r>
      <w:r w:rsidRPr="001C608D">
        <w:rPr>
          <w:rFonts w:ascii="Arial" w:hAnsi="Arial" w:cs="Arial"/>
          <w:sz w:val="22"/>
          <w:szCs w:val="22"/>
        </w:rPr>
        <w:t xml:space="preserve"> assumptions that the Group applied against historical data and external sources and evaluated whether the assumptions were consistently applied.  </w:t>
      </w:r>
    </w:p>
    <w:p w:rsidR="005D5EA3" w:rsidRPr="001C608D" w:rsidRDefault="005D5EA3" w:rsidP="0015492F">
      <w:pPr>
        <w:pStyle w:val="ps-000-normal"/>
        <w:numPr>
          <w:ilvl w:val="0"/>
          <w:numId w:val="1"/>
        </w:numPr>
        <w:spacing w:before="120" w:line="380" w:lineRule="exact"/>
        <w:ind w:left="900"/>
        <w:rPr>
          <w:rFonts w:ascii="Arial" w:hAnsi="Arial" w:cs="Arial"/>
          <w:sz w:val="22"/>
          <w:szCs w:val="22"/>
        </w:rPr>
      </w:pPr>
      <w:r w:rsidRPr="001C608D">
        <w:rPr>
          <w:rFonts w:ascii="Arial" w:hAnsi="Arial" w:cs="Browallia New"/>
          <w:sz w:val="22"/>
          <w:szCs w:val="28"/>
        </w:rPr>
        <w:t>Checked</w:t>
      </w:r>
      <w:r w:rsidRPr="001C608D">
        <w:rPr>
          <w:rFonts w:ascii="Arial" w:hAnsi="Arial" w:cs="Arial"/>
          <w:sz w:val="22"/>
          <w:szCs w:val="22"/>
        </w:rPr>
        <w:t xml:space="preserve"> the correctness of the financial information disclosed in the financial statements.</w:t>
      </w:r>
    </w:p>
    <w:p w:rsidR="005D5EA3" w:rsidRPr="001C608D" w:rsidRDefault="005D5EA3" w:rsidP="0015492F">
      <w:pPr>
        <w:spacing w:before="120" w:after="120" w:line="380" w:lineRule="exact"/>
        <w:ind w:left="547"/>
        <w:rPr>
          <w:rFonts w:ascii="Arial" w:hAnsi="Arial" w:cs="Arial"/>
          <w:b/>
          <w:bCs/>
          <w:sz w:val="22"/>
          <w:szCs w:val="22"/>
          <w:lang w:val="en-US"/>
        </w:rPr>
      </w:pPr>
      <w:r w:rsidRPr="001C608D">
        <w:rPr>
          <w:rFonts w:ascii="Arial" w:hAnsi="Arial" w:cs="Arial"/>
          <w:b/>
          <w:bCs/>
          <w:sz w:val="22"/>
          <w:szCs w:val="22"/>
          <w:lang w:val="en-US"/>
        </w:rPr>
        <w:t>Purchase price allocation (“PPA”) and valuation of investment in associate company in Sri Lanka</w:t>
      </w:r>
    </w:p>
    <w:p w:rsidR="005D5EA3" w:rsidRPr="001C608D" w:rsidRDefault="005D5EA3" w:rsidP="0015492F">
      <w:pPr>
        <w:pStyle w:val="ps-000-normal"/>
        <w:spacing w:before="120" w:line="380" w:lineRule="exact"/>
        <w:ind w:left="547"/>
        <w:rPr>
          <w:rFonts w:ascii="Arial" w:hAnsi="Arial" w:cs="Arial"/>
          <w:sz w:val="22"/>
          <w:szCs w:val="22"/>
          <w:u w:val="single"/>
        </w:rPr>
      </w:pPr>
      <w:r w:rsidRPr="001C608D">
        <w:rPr>
          <w:rFonts w:ascii="Arial" w:hAnsi="Arial" w:cs="Arial"/>
          <w:sz w:val="22"/>
          <w:szCs w:val="22"/>
          <w:u w:val="single"/>
        </w:rPr>
        <w:t xml:space="preserve">Purchase price allocation </w:t>
      </w:r>
    </w:p>
    <w:p w:rsidR="0010736D" w:rsidRPr="001C608D" w:rsidRDefault="005D5EA3" w:rsidP="0015492F">
      <w:pPr>
        <w:pStyle w:val="ps-000-normal"/>
        <w:spacing w:before="120" w:line="380" w:lineRule="exact"/>
        <w:ind w:left="547"/>
        <w:rPr>
          <w:rFonts w:ascii="Arial" w:hAnsi="Arial" w:cs="Arial"/>
          <w:sz w:val="22"/>
          <w:szCs w:val="22"/>
        </w:rPr>
      </w:pPr>
      <w:r w:rsidRPr="001C608D">
        <w:rPr>
          <w:rFonts w:ascii="Arial" w:hAnsi="Arial" w:cs="Arial"/>
          <w:sz w:val="22"/>
          <w:szCs w:val="22"/>
        </w:rPr>
        <w:t>The subsidiary acquired shares in a listed company in Sri Lanka at a purchase price of Baht 2,462 million (approximately 29.99% of total share capital in that company). As part of the PPA performed, this amount was allocated to the fair value of the identifiable assets acquired and liabilities assumed, resulting in the recognition of goodwill of Baht 1,322 million, which was included in investment in associated company, as disclosed in Note 19 to the financial statements.</w:t>
      </w:r>
    </w:p>
    <w:p w:rsidR="0010736D" w:rsidRPr="001C608D" w:rsidRDefault="0010736D" w:rsidP="0015492F">
      <w:pPr>
        <w:overflowPunct/>
        <w:autoSpaceDE/>
        <w:autoSpaceDN/>
        <w:adjustRightInd/>
        <w:spacing w:before="120" w:after="120" w:line="380" w:lineRule="exact"/>
        <w:ind w:right="-43"/>
        <w:jc w:val="both"/>
        <w:textAlignment w:val="auto"/>
        <w:rPr>
          <w:rFonts w:ascii="Arial" w:hAnsi="Arial" w:cs="Arial"/>
          <w:color w:val="000000"/>
          <w:sz w:val="22"/>
          <w:szCs w:val="22"/>
          <w:lang w:val="en-US"/>
        </w:rPr>
      </w:pPr>
      <w:r w:rsidRPr="001C608D">
        <w:rPr>
          <w:rFonts w:ascii="Arial" w:hAnsi="Arial" w:cs="Arial"/>
          <w:sz w:val="22"/>
          <w:szCs w:val="22"/>
          <w:cs/>
        </w:rPr>
        <w:br w:type="page"/>
      </w:r>
    </w:p>
    <w:p w:rsidR="005D5EA3" w:rsidRPr="001C608D" w:rsidRDefault="005D5EA3" w:rsidP="0015492F">
      <w:pPr>
        <w:pStyle w:val="ps-000-normal"/>
        <w:spacing w:before="120" w:line="380" w:lineRule="exact"/>
        <w:ind w:left="547"/>
        <w:rPr>
          <w:rFonts w:ascii="Arial" w:hAnsi="Arial" w:cs="Arial"/>
          <w:sz w:val="22"/>
          <w:szCs w:val="22"/>
        </w:rPr>
      </w:pPr>
      <w:r w:rsidRPr="001C608D">
        <w:rPr>
          <w:rFonts w:ascii="Arial" w:hAnsi="Arial" w:cs="Arial"/>
          <w:sz w:val="22"/>
          <w:szCs w:val="22"/>
        </w:rPr>
        <w:lastRenderedPageBreak/>
        <w:t>I focused on the acquisition transaction since it</w:t>
      </w:r>
      <w:r w:rsidRPr="001C608D">
        <w:rPr>
          <w:rFonts w:ascii="Arial" w:hAnsi="Arial" w:cs="Arial" w:hint="eastAsia"/>
          <w:sz w:val="22"/>
          <w:szCs w:val="22"/>
        </w:rPr>
        <w:t xml:space="preserve"> is material to the financial statemen</w:t>
      </w:r>
      <w:r w:rsidRPr="001C608D">
        <w:rPr>
          <w:rFonts w:ascii="Arial" w:hAnsi="Arial" w:cs="Arial"/>
          <w:sz w:val="22"/>
          <w:szCs w:val="22"/>
        </w:rPr>
        <w:t>ts as a whole, and management was required to exercise substantial judgment when appraising the fair value of the assets acquired and liabilities assumed. Therefore, there is a risk with respect to the recognition and measurement of the assets acquired and liabilities assumed, including goodwill.</w:t>
      </w:r>
    </w:p>
    <w:p w:rsidR="004709DF" w:rsidRPr="001C608D" w:rsidRDefault="004709DF" w:rsidP="0015492F">
      <w:pPr>
        <w:pStyle w:val="ps-000-normal"/>
        <w:spacing w:before="120" w:line="380" w:lineRule="exact"/>
        <w:ind w:left="540"/>
        <w:rPr>
          <w:rFonts w:ascii="Arial" w:hAnsi="Arial" w:cs="Arial"/>
          <w:sz w:val="22"/>
          <w:szCs w:val="22"/>
          <w:u w:val="single"/>
        </w:rPr>
      </w:pPr>
      <w:r w:rsidRPr="001C608D">
        <w:rPr>
          <w:rFonts w:ascii="Arial" w:hAnsi="Arial" w:cs="Arial"/>
          <w:sz w:val="22"/>
          <w:szCs w:val="22"/>
          <w:u w:val="single"/>
        </w:rPr>
        <w:t xml:space="preserve">Valuation of investment in an associate </w:t>
      </w:r>
    </w:p>
    <w:p w:rsidR="0044420A" w:rsidRPr="001C608D" w:rsidRDefault="00BF40CD" w:rsidP="0015492F">
      <w:pPr>
        <w:pStyle w:val="ps-000-normal"/>
        <w:spacing w:before="120" w:line="380" w:lineRule="exact"/>
        <w:ind w:left="540"/>
        <w:rPr>
          <w:rFonts w:ascii="Arial" w:hAnsi="Arial" w:cs="Arial"/>
          <w:sz w:val="22"/>
          <w:szCs w:val="22"/>
        </w:rPr>
      </w:pPr>
      <w:r w:rsidRPr="001C608D">
        <w:rPr>
          <w:rFonts w:ascii="Arial" w:hAnsi="Arial" w:cs="Arial"/>
          <w:sz w:val="22"/>
          <w:szCs w:val="22"/>
        </w:rPr>
        <w:t>T</w:t>
      </w:r>
      <w:r w:rsidR="004709DF" w:rsidRPr="001C608D">
        <w:rPr>
          <w:rFonts w:ascii="Arial" w:hAnsi="Arial" w:cs="Arial"/>
          <w:sz w:val="22"/>
          <w:szCs w:val="22"/>
        </w:rPr>
        <w:t>he carrying value under the equity method of the investment in the associated company was higher than its market value, which was determined based on the market price of the associated company’s shares on the Sri Lanka stock exchange.</w:t>
      </w:r>
      <w:r w:rsidRPr="001C608D">
        <w:rPr>
          <w:rFonts w:ascii="Arial" w:hAnsi="Arial" w:cs="Arial"/>
          <w:sz w:val="22"/>
          <w:szCs w:val="22"/>
        </w:rPr>
        <w:t xml:space="preserve"> </w:t>
      </w:r>
      <w:r w:rsidR="004709DF" w:rsidRPr="001C608D">
        <w:rPr>
          <w:rFonts w:ascii="Arial" w:hAnsi="Arial" w:cs="Arial"/>
          <w:sz w:val="22"/>
          <w:szCs w:val="22"/>
        </w:rPr>
        <w:t xml:space="preserve">The difference between the carrying value of the investment and the stock market price </w:t>
      </w:r>
      <w:r w:rsidR="0044420A" w:rsidRPr="001C608D">
        <w:rPr>
          <w:rFonts w:ascii="Arial" w:hAnsi="Arial" w:cs="Arial"/>
          <w:sz w:val="22"/>
          <w:szCs w:val="22"/>
        </w:rPr>
        <w:t>could be viewed as an</w:t>
      </w:r>
      <w:r w:rsidR="004709DF" w:rsidRPr="001C608D">
        <w:rPr>
          <w:rFonts w:ascii="Arial" w:hAnsi="Arial" w:cs="Arial"/>
          <w:sz w:val="22"/>
          <w:szCs w:val="22"/>
        </w:rPr>
        <w:t xml:space="preserve"> indication of impairment.  As a result, management </w:t>
      </w:r>
      <w:r w:rsidR="0044420A" w:rsidRPr="001C608D">
        <w:rPr>
          <w:rFonts w:ascii="Arial" w:hAnsi="Arial" w:cs="Arial"/>
          <w:sz w:val="22"/>
          <w:szCs w:val="22"/>
        </w:rPr>
        <w:t>had taken a</w:t>
      </w:r>
      <w:r w:rsidR="004709DF" w:rsidRPr="001C608D">
        <w:rPr>
          <w:rFonts w:ascii="Arial" w:hAnsi="Arial" w:cs="Arial"/>
          <w:sz w:val="22"/>
          <w:szCs w:val="22"/>
        </w:rPr>
        <w:t xml:space="preserve"> conservative </w:t>
      </w:r>
      <w:r w:rsidR="0044420A" w:rsidRPr="001C608D">
        <w:rPr>
          <w:rFonts w:ascii="Arial" w:hAnsi="Arial" w:cs="Arial"/>
          <w:sz w:val="22"/>
          <w:szCs w:val="22"/>
        </w:rPr>
        <w:t xml:space="preserve">view </w:t>
      </w:r>
      <w:r w:rsidR="004709DF" w:rsidRPr="001C608D">
        <w:rPr>
          <w:rFonts w:ascii="Arial" w:hAnsi="Arial" w:cs="Arial"/>
          <w:sz w:val="22"/>
          <w:szCs w:val="22"/>
        </w:rPr>
        <w:t xml:space="preserve">and decided to set aside </w:t>
      </w:r>
      <w:r w:rsidR="0044420A" w:rsidRPr="001C608D">
        <w:rPr>
          <w:rFonts w:ascii="Arial" w:hAnsi="Arial" w:cs="Arial"/>
          <w:sz w:val="22"/>
          <w:szCs w:val="22"/>
        </w:rPr>
        <w:t>provision</w:t>
      </w:r>
      <w:r w:rsidR="004709DF" w:rsidRPr="001C608D">
        <w:rPr>
          <w:rFonts w:ascii="Arial" w:hAnsi="Arial" w:cs="Arial"/>
          <w:sz w:val="22"/>
          <w:szCs w:val="22"/>
        </w:rPr>
        <w:t xml:space="preserve"> for loss on the investment of Baht 582 million</w:t>
      </w:r>
      <w:r w:rsidR="0044420A" w:rsidRPr="001C608D">
        <w:rPr>
          <w:rFonts w:ascii="Arial" w:hAnsi="Arial" w:cs="Arial"/>
          <w:sz w:val="22"/>
          <w:szCs w:val="22"/>
        </w:rPr>
        <w:t xml:space="preserve"> in the third quarter of 2017</w:t>
      </w:r>
      <w:r w:rsidR="004709DF" w:rsidRPr="001C608D">
        <w:rPr>
          <w:rFonts w:ascii="Arial" w:hAnsi="Arial" w:cs="Arial"/>
          <w:sz w:val="22"/>
          <w:szCs w:val="22"/>
        </w:rPr>
        <w:t>, based on a management estimation</w:t>
      </w:r>
      <w:r w:rsidR="0044420A" w:rsidRPr="001C608D">
        <w:rPr>
          <w:rFonts w:ascii="Arial" w:hAnsi="Arial" w:cs="Arial"/>
          <w:sz w:val="22"/>
          <w:szCs w:val="22"/>
        </w:rPr>
        <w:t>.</w:t>
      </w:r>
    </w:p>
    <w:p w:rsidR="0044420A" w:rsidRPr="001C608D" w:rsidRDefault="0044420A" w:rsidP="0015492F">
      <w:pPr>
        <w:pStyle w:val="ps-000-normal"/>
        <w:spacing w:before="120" w:line="380" w:lineRule="exact"/>
        <w:ind w:left="540"/>
        <w:rPr>
          <w:rFonts w:ascii="Arial" w:hAnsi="Arial" w:cstheme="minorBidi"/>
          <w:sz w:val="22"/>
          <w:szCs w:val="22"/>
        </w:rPr>
      </w:pPr>
      <w:r w:rsidRPr="001C608D">
        <w:rPr>
          <w:rFonts w:ascii="Arial" w:hAnsi="Arial" w:cs="Arial"/>
          <w:sz w:val="22"/>
          <w:szCs w:val="22"/>
        </w:rPr>
        <w:t>As of 31 December 2017, t</w:t>
      </w:r>
      <w:r w:rsidR="004709DF" w:rsidRPr="001C608D">
        <w:rPr>
          <w:rFonts w:ascii="Arial" w:hAnsi="Arial" w:cs="Arial"/>
          <w:sz w:val="22"/>
          <w:szCs w:val="22"/>
        </w:rPr>
        <w:t>he carrying value of the Group’s investm</w:t>
      </w:r>
      <w:r w:rsidRPr="001C608D">
        <w:rPr>
          <w:rFonts w:ascii="Arial" w:hAnsi="Arial" w:cs="Arial"/>
          <w:sz w:val="22"/>
          <w:szCs w:val="22"/>
        </w:rPr>
        <w:t>ent in the associated company was</w:t>
      </w:r>
      <w:r w:rsidR="004709DF" w:rsidRPr="001C608D">
        <w:rPr>
          <w:rFonts w:ascii="Arial" w:hAnsi="Arial" w:cs="Arial"/>
          <w:sz w:val="22"/>
          <w:szCs w:val="22"/>
        </w:rPr>
        <w:t xml:space="preserve"> therefore Baht 2,023 million (after provision</w:t>
      </w:r>
      <w:r w:rsidRPr="001C608D">
        <w:rPr>
          <w:rFonts w:ascii="Arial" w:hAnsi="Arial" w:cs="Arial"/>
          <w:sz w:val="22"/>
          <w:szCs w:val="22"/>
        </w:rPr>
        <w:t xml:space="preserve"> for loss</w:t>
      </w:r>
      <w:r w:rsidR="004709DF" w:rsidRPr="001C608D">
        <w:rPr>
          <w:rFonts w:ascii="Arial" w:hAnsi="Arial" w:cs="Arial"/>
          <w:sz w:val="22"/>
          <w:szCs w:val="22"/>
        </w:rPr>
        <w:t xml:space="preserve">). </w:t>
      </w:r>
      <w:r w:rsidRPr="001C608D">
        <w:rPr>
          <w:rFonts w:ascii="Arial" w:hAnsi="Arial" w:cs="Arial"/>
          <w:sz w:val="22"/>
          <w:szCs w:val="22"/>
        </w:rPr>
        <w:t xml:space="preserve">The </w:t>
      </w:r>
      <w:r w:rsidR="004709DF" w:rsidRPr="001C608D">
        <w:rPr>
          <w:rFonts w:ascii="Arial" w:hAnsi="Arial" w:cs="Arial"/>
          <w:sz w:val="22"/>
          <w:szCs w:val="22"/>
        </w:rPr>
        <w:t xml:space="preserve">management </w:t>
      </w:r>
      <w:r w:rsidRPr="001C608D">
        <w:rPr>
          <w:rFonts w:ascii="Arial" w:hAnsi="Arial" w:cs="Arial"/>
          <w:sz w:val="22"/>
          <w:szCs w:val="22"/>
        </w:rPr>
        <w:t xml:space="preserve">then </w:t>
      </w:r>
      <w:r w:rsidR="004709DF" w:rsidRPr="001C608D">
        <w:rPr>
          <w:rFonts w:ascii="Arial" w:hAnsi="Arial" w:cs="Arial"/>
          <w:sz w:val="22"/>
          <w:szCs w:val="22"/>
        </w:rPr>
        <w:t>estimated the recoverable amount of the investment in the associated company</w:t>
      </w:r>
      <w:r w:rsidRPr="001C608D">
        <w:rPr>
          <w:rFonts w:ascii="Arial" w:hAnsi="Arial" w:cs="Browallia New"/>
          <w:sz w:val="22"/>
          <w:szCs w:val="28"/>
        </w:rPr>
        <w:t xml:space="preserve"> based </w:t>
      </w:r>
      <w:r w:rsidRPr="001C608D">
        <w:rPr>
          <w:rFonts w:ascii="Arial" w:hAnsi="Arial" w:cs="Arial"/>
          <w:sz w:val="22"/>
          <w:szCs w:val="22"/>
        </w:rPr>
        <w:t xml:space="preserve">on </w:t>
      </w:r>
      <w:r w:rsidR="00E14F09" w:rsidRPr="001C608D">
        <w:rPr>
          <w:rFonts w:ascii="Arial" w:hAnsi="Arial" w:cs="Arial"/>
          <w:sz w:val="22"/>
          <w:szCs w:val="22"/>
        </w:rPr>
        <w:t xml:space="preserve">discount cash flow model </w:t>
      </w:r>
      <w:r w:rsidR="004709DF" w:rsidRPr="001C608D">
        <w:rPr>
          <w:rFonts w:ascii="Arial" w:hAnsi="Arial" w:cs="Arial"/>
          <w:sz w:val="22"/>
          <w:szCs w:val="22"/>
        </w:rPr>
        <w:t xml:space="preserve">and </w:t>
      </w:r>
      <w:r w:rsidRPr="001C608D">
        <w:rPr>
          <w:rFonts w:ascii="Arial" w:hAnsi="Arial" w:cs="Arial"/>
          <w:sz w:val="22"/>
          <w:szCs w:val="22"/>
        </w:rPr>
        <w:t>the recoverable amount as estimated</w:t>
      </w:r>
      <w:r w:rsidR="004709DF" w:rsidRPr="001C608D">
        <w:rPr>
          <w:rFonts w:ascii="Arial" w:hAnsi="Arial" w:cs="Arial"/>
          <w:sz w:val="22"/>
          <w:szCs w:val="22"/>
        </w:rPr>
        <w:t xml:space="preserve"> was higher than the</w:t>
      </w:r>
      <w:r w:rsidR="004709DF" w:rsidRPr="001C608D">
        <w:rPr>
          <w:rFonts w:ascii="Arial" w:hAnsi="Arial" w:cs="Browallia New"/>
          <w:sz w:val="22"/>
          <w:szCs w:val="28"/>
        </w:rPr>
        <w:t xml:space="preserve"> </w:t>
      </w:r>
      <w:r w:rsidR="004709DF" w:rsidRPr="001C608D">
        <w:rPr>
          <w:rFonts w:ascii="Arial" w:hAnsi="Arial" w:cs="Arial"/>
          <w:sz w:val="22"/>
          <w:szCs w:val="22"/>
        </w:rPr>
        <w:t>carrying value</w:t>
      </w:r>
      <w:r w:rsidR="00A457A9" w:rsidRPr="001C608D">
        <w:rPr>
          <w:rFonts w:ascii="Arial" w:hAnsi="Arial" w:cs="Arial"/>
          <w:sz w:val="22"/>
          <w:szCs w:val="22"/>
        </w:rPr>
        <w:t>.</w:t>
      </w:r>
    </w:p>
    <w:p w:rsidR="004709DF" w:rsidRPr="001C608D" w:rsidRDefault="004709DF" w:rsidP="0015492F">
      <w:pPr>
        <w:pStyle w:val="ps-000-normal"/>
        <w:spacing w:before="120" w:line="380" w:lineRule="exact"/>
        <w:ind w:left="540"/>
        <w:rPr>
          <w:rFonts w:ascii="Arial" w:hAnsi="Arial" w:cs="Arial"/>
          <w:sz w:val="22"/>
          <w:szCs w:val="22"/>
        </w:rPr>
      </w:pPr>
      <w:r w:rsidRPr="001C608D">
        <w:rPr>
          <w:rFonts w:ascii="Arial" w:hAnsi="Arial" w:cstheme="minorBidi"/>
          <w:sz w:val="22"/>
          <w:szCs w:val="22"/>
        </w:rPr>
        <w:t>I</w:t>
      </w:r>
      <w:r w:rsidRPr="001C608D">
        <w:rPr>
          <w:rFonts w:ascii="Arial" w:hAnsi="Arial" w:cs="Arial"/>
          <w:sz w:val="22"/>
          <w:szCs w:val="22"/>
        </w:rPr>
        <w:t xml:space="preserve"> focused on the estimation of the recoverable amount of the investment because the assessment of impairment of </w:t>
      </w:r>
      <w:r w:rsidRPr="001C608D">
        <w:rPr>
          <w:rFonts w:ascii="Arial" w:hAnsi="Arial" w:cs="Browallia New"/>
          <w:sz w:val="22"/>
          <w:szCs w:val="22"/>
        </w:rPr>
        <w:t>investment in the associated company</w:t>
      </w:r>
      <w:r w:rsidRPr="001C608D">
        <w:rPr>
          <w:rFonts w:ascii="Arial" w:hAnsi="Arial" w:cs="Arial"/>
          <w:sz w:val="22"/>
          <w:szCs w:val="22"/>
        </w:rPr>
        <w:t xml:space="preserve"> is a significant accounting estimate requiring management to exercise a high degree of judgment in estimating the cash inflows that are expected to be generated in the future, and determining an appropriate cost of equity, long-term terminal growth rate and </w:t>
      </w:r>
      <w:r w:rsidRPr="001C608D">
        <w:rPr>
          <w:rFonts w:ascii="Arial" w:hAnsi="Arial" w:cs="Browallia New"/>
          <w:sz w:val="22"/>
          <w:szCs w:val="22"/>
        </w:rPr>
        <w:t>fluctuations in</w:t>
      </w:r>
      <w:r w:rsidRPr="001C608D">
        <w:rPr>
          <w:rFonts w:ascii="Arial" w:hAnsi="Arial" w:cs="Arial"/>
          <w:sz w:val="22"/>
          <w:szCs w:val="22"/>
        </w:rPr>
        <w:t xml:space="preserve"> exchange rates. There are thus risks with respect to the valuation of investment in associate company.</w:t>
      </w:r>
    </w:p>
    <w:p w:rsidR="00412D24" w:rsidRPr="001C608D" w:rsidRDefault="00412D24" w:rsidP="0015492F">
      <w:pPr>
        <w:overflowPunct/>
        <w:autoSpaceDE/>
        <w:autoSpaceDN/>
        <w:adjustRightInd/>
        <w:spacing w:before="120" w:after="120" w:line="380" w:lineRule="exact"/>
        <w:ind w:right="-43"/>
        <w:jc w:val="both"/>
        <w:textAlignment w:val="auto"/>
        <w:rPr>
          <w:rFonts w:ascii="Arial" w:hAnsi="Arial" w:cs="Arial"/>
          <w:color w:val="000000"/>
          <w:sz w:val="22"/>
          <w:szCs w:val="22"/>
          <w:u w:val="single"/>
          <w:lang w:val="en-US"/>
        </w:rPr>
      </w:pPr>
      <w:r w:rsidRPr="001C608D">
        <w:rPr>
          <w:rFonts w:ascii="Arial" w:hAnsi="Arial" w:cs="Arial"/>
          <w:sz w:val="22"/>
          <w:szCs w:val="22"/>
          <w:u w:val="single"/>
          <w:cs/>
        </w:rPr>
        <w:br w:type="page"/>
      </w:r>
    </w:p>
    <w:p w:rsidR="005D5EA3" w:rsidRPr="001C608D" w:rsidRDefault="005D5EA3" w:rsidP="0015492F">
      <w:pPr>
        <w:pStyle w:val="ps-000-normal"/>
        <w:spacing w:before="120" w:line="380" w:lineRule="exact"/>
        <w:ind w:left="540"/>
        <w:rPr>
          <w:rFonts w:ascii="Arial" w:hAnsi="Arial" w:cs="Arial"/>
          <w:sz w:val="22"/>
          <w:szCs w:val="22"/>
          <w:u w:val="single"/>
        </w:rPr>
      </w:pPr>
      <w:r w:rsidRPr="001C608D">
        <w:rPr>
          <w:rFonts w:ascii="Arial" w:hAnsi="Arial" w:cs="Arial"/>
          <w:sz w:val="22"/>
          <w:szCs w:val="22"/>
          <w:u w:val="single"/>
        </w:rPr>
        <w:lastRenderedPageBreak/>
        <w:t>Procedures performed</w:t>
      </w:r>
    </w:p>
    <w:p w:rsidR="005D5EA3" w:rsidRPr="001C608D" w:rsidRDefault="005D5EA3" w:rsidP="0015492F">
      <w:pPr>
        <w:pStyle w:val="ps-000-normal"/>
        <w:spacing w:before="120" w:line="380" w:lineRule="exact"/>
        <w:ind w:left="540"/>
        <w:rPr>
          <w:rFonts w:ascii="Times New Roman" w:hAnsi="Times New Roman" w:cstheme="minorBidi"/>
          <w:sz w:val="22"/>
          <w:szCs w:val="22"/>
        </w:rPr>
      </w:pPr>
      <w:r w:rsidRPr="001C608D">
        <w:rPr>
          <w:rFonts w:ascii="Arial" w:hAnsi="Arial" w:cstheme="minorBidi"/>
          <w:sz w:val="22"/>
          <w:szCs w:val="22"/>
        </w:rPr>
        <w:t xml:space="preserve">The </w:t>
      </w:r>
      <w:r w:rsidRPr="001C608D">
        <w:rPr>
          <w:rFonts w:ascii="Arial" w:hAnsi="Arial" w:cs="Arial"/>
          <w:sz w:val="22"/>
          <w:szCs w:val="22"/>
        </w:rPr>
        <w:t>audit procedures</w:t>
      </w:r>
      <w:r w:rsidR="001F40AC" w:rsidRPr="001C608D">
        <w:rPr>
          <w:rFonts w:ascii="Arial" w:hAnsi="Arial" w:cs="Arial"/>
          <w:sz w:val="22"/>
          <w:szCs w:val="22"/>
        </w:rPr>
        <w:t xml:space="preserve"> of purchase price allocation</w:t>
      </w:r>
      <w:r w:rsidRPr="001C608D">
        <w:rPr>
          <w:rFonts w:ascii="Arial" w:hAnsi="Arial" w:cs="Arial"/>
          <w:sz w:val="22"/>
          <w:szCs w:val="22"/>
        </w:rPr>
        <w:t xml:space="preserve"> included assessing the appropriateness of the fair value of the identifiable assets acquired and liabilities assumed</w:t>
      </w:r>
      <w:r w:rsidRPr="001C608D">
        <w:rPr>
          <w:rFonts w:ascii="Arial" w:hAnsi="Arial" w:cs="Browallia New"/>
          <w:sz w:val="22"/>
          <w:szCs w:val="22"/>
        </w:rPr>
        <w:t xml:space="preserve">, evaluating </w:t>
      </w:r>
      <w:r w:rsidRPr="001C608D">
        <w:rPr>
          <w:rFonts w:ascii="Arial" w:hAnsi="Arial" w:cstheme="minorBidi"/>
          <w:sz w:val="22"/>
          <w:szCs w:val="22"/>
        </w:rPr>
        <w:t>the appropriateness of assumptions and methodologies underpinning the valuation,</w:t>
      </w:r>
      <w:r w:rsidRPr="001C608D">
        <w:rPr>
          <w:rFonts w:ascii="Arial" w:hAnsi="Arial" w:cs="Arial"/>
          <w:sz w:val="22"/>
          <w:szCs w:val="22"/>
        </w:rPr>
        <w:t xml:space="preserve"> as well as involving valuation specialists in evaluating the appropriateness of financial parameters applied to determine discount rate, valuation methodology and mathematical accuracy,</w:t>
      </w:r>
      <w:r w:rsidRPr="001C608D">
        <w:rPr>
          <w:rFonts w:ascii="Arial" w:hAnsi="Arial" w:cstheme="minorBidi" w:hint="cs"/>
          <w:sz w:val="22"/>
          <w:szCs w:val="22"/>
          <w:cs/>
        </w:rPr>
        <w:t xml:space="preserve"> </w:t>
      </w:r>
      <w:r w:rsidRPr="001C608D">
        <w:rPr>
          <w:rFonts w:ascii="Arial" w:hAnsi="Arial" w:cstheme="minorBidi"/>
          <w:sz w:val="22"/>
          <w:szCs w:val="22"/>
        </w:rPr>
        <w:t>and evaluating the methodologies, assumptions and measurement methods applied to the valuation. The procedures also included the evaluation of the expertise, ability and integrity of the independent valuation specialist, assessment of the rationale for the goodwill recognised by the Group, and reviewing the disclosures related to the acquisition in the notes to financial statements.</w:t>
      </w:r>
    </w:p>
    <w:p w:rsidR="005D5EA3" w:rsidRPr="001C608D" w:rsidRDefault="005D5EA3" w:rsidP="0015492F">
      <w:pPr>
        <w:spacing w:before="120" w:after="120" w:line="380" w:lineRule="exact"/>
        <w:ind w:left="540"/>
        <w:rPr>
          <w:rFonts w:ascii="Arial" w:hAnsi="Arial" w:cstheme="minorBidi"/>
          <w:b/>
          <w:bCs/>
          <w:sz w:val="22"/>
          <w:szCs w:val="22"/>
          <w:lang w:val="en-US"/>
        </w:rPr>
      </w:pPr>
      <w:r w:rsidRPr="001C608D">
        <w:rPr>
          <w:rFonts w:ascii="Arial" w:hAnsi="Arial" w:cs="Arial"/>
          <w:sz w:val="22"/>
          <w:szCs w:val="22"/>
          <w:lang w:val="en-US"/>
        </w:rPr>
        <w:t>My audit procedures</w:t>
      </w:r>
      <w:r w:rsidR="001F40AC" w:rsidRPr="001C608D">
        <w:rPr>
          <w:rFonts w:ascii="Arial" w:hAnsi="Arial" w:cs="Arial"/>
          <w:sz w:val="22"/>
          <w:szCs w:val="22"/>
          <w:lang w:val="en-US"/>
        </w:rPr>
        <w:t xml:space="preserve"> of valuation of </w:t>
      </w:r>
      <w:r w:rsidR="005942C2" w:rsidRPr="001C608D">
        <w:rPr>
          <w:rFonts w:ascii="Arial" w:hAnsi="Arial" w:cs="Arial"/>
          <w:sz w:val="22"/>
          <w:szCs w:val="22"/>
          <w:lang w:val="en-US"/>
        </w:rPr>
        <w:t xml:space="preserve">investment in </w:t>
      </w:r>
      <w:r w:rsidR="001F40AC" w:rsidRPr="001C608D">
        <w:rPr>
          <w:rFonts w:ascii="Arial" w:hAnsi="Arial" w:cs="Arial"/>
          <w:sz w:val="22"/>
          <w:szCs w:val="22"/>
          <w:lang w:val="en-US"/>
        </w:rPr>
        <w:t xml:space="preserve">associate </w:t>
      </w:r>
      <w:r w:rsidRPr="001C608D">
        <w:rPr>
          <w:rFonts w:ascii="Arial" w:hAnsi="Arial" w:cs="Arial"/>
          <w:sz w:val="22"/>
          <w:szCs w:val="22"/>
          <w:lang w:val="en-US"/>
        </w:rPr>
        <w:t>included</w:t>
      </w:r>
      <w:r w:rsidRPr="001C608D">
        <w:rPr>
          <w:rFonts w:ascii="Arial" w:hAnsi="Arial" w:cs="Arial" w:hint="cs"/>
          <w:sz w:val="22"/>
          <w:szCs w:val="22"/>
          <w:cs/>
        </w:rPr>
        <w:t xml:space="preserve"> </w:t>
      </w:r>
      <w:r w:rsidR="00E14F09" w:rsidRPr="001C608D">
        <w:rPr>
          <w:rFonts w:ascii="Arial" w:hAnsi="Arial" w:cs="Arial"/>
          <w:sz w:val="22"/>
          <w:szCs w:val="22"/>
          <w:lang w:val="en-US"/>
        </w:rPr>
        <w:t>evaluating the</w:t>
      </w:r>
      <w:r w:rsidR="00E14F09" w:rsidRPr="001C608D">
        <w:rPr>
          <w:rFonts w:ascii="Arial" w:hAnsi="Arial" w:cstheme="minorBidi" w:hint="cs"/>
          <w:sz w:val="22"/>
          <w:szCs w:val="22"/>
          <w:cs/>
          <w:lang w:val="en-US"/>
        </w:rPr>
        <w:t xml:space="preserve"> </w:t>
      </w:r>
      <w:r w:rsidR="00E14F09" w:rsidRPr="001C608D">
        <w:rPr>
          <w:rFonts w:ascii="Arial" w:hAnsi="Arial" w:cs="Arial"/>
          <w:sz w:val="22"/>
          <w:szCs w:val="22"/>
          <w:lang w:val="en-US"/>
        </w:rPr>
        <w:t xml:space="preserve">discount cash flow model </w:t>
      </w:r>
      <w:r w:rsidR="00E52480" w:rsidRPr="001C608D">
        <w:rPr>
          <w:rFonts w:ascii="Arial" w:hAnsi="Arial" w:cs="Arial"/>
          <w:sz w:val="22"/>
          <w:szCs w:val="22"/>
          <w:lang w:val="en-US"/>
        </w:rPr>
        <w:t xml:space="preserve">basis </w:t>
      </w:r>
      <w:r w:rsidRPr="001C608D">
        <w:rPr>
          <w:rFonts w:ascii="Arial" w:hAnsi="Arial" w:cs="Arial"/>
          <w:sz w:val="22"/>
          <w:szCs w:val="22"/>
          <w:lang w:val="en-US"/>
        </w:rPr>
        <w:t xml:space="preserve">provided by the Group and the reasonableness of the assumptions the Group applied to the calculation based on the </w:t>
      </w:r>
      <w:r w:rsidR="00E14F09" w:rsidRPr="001C608D">
        <w:rPr>
          <w:rFonts w:ascii="Arial" w:hAnsi="Arial" w:cs="Browallia New"/>
          <w:sz w:val="22"/>
          <w:szCs w:val="28"/>
          <w:lang w:val="en-US"/>
        </w:rPr>
        <w:t xml:space="preserve">used </w:t>
      </w:r>
      <w:r w:rsidRPr="001C608D">
        <w:rPr>
          <w:rFonts w:ascii="Arial" w:hAnsi="Arial" w:cs="Arial"/>
          <w:sz w:val="22"/>
          <w:szCs w:val="22"/>
          <w:lang w:val="en-US"/>
        </w:rPr>
        <w:t>method by checking them against relevant documents and information from external sources, involving valuation specialist to evaluate the appropriateness of the financial parameters applied to determine cost of equity, terminal growth rate, and fluctuations of exchange rates, based on the economic and industry statistics relevant to the business. In addition, I tested the principles and mathematical accuracy of the discounted cash flow model and performed sensitivity analysis around the key assumptions. I gained an understanding of the estimation of recoverable amount by the Group and evaluated the reasonableness of the recoverable amount by checking it against relevant documents and information from external sources.</w:t>
      </w:r>
      <w:r w:rsidR="005942C2" w:rsidRPr="001C608D">
        <w:rPr>
          <w:rFonts w:ascii="Arial" w:hAnsi="Arial" w:cs="Arial"/>
          <w:sz w:val="22"/>
          <w:szCs w:val="22"/>
          <w:lang w:val="en-US"/>
        </w:rPr>
        <w:t xml:space="preserve">     </w:t>
      </w:r>
      <w:r w:rsidRPr="001C608D">
        <w:rPr>
          <w:rFonts w:ascii="Arial" w:hAnsi="Arial" w:cs="Arial"/>
          <w:sz w:val="22"/>
          <w:szCs w:val="22"/>
          <w:lang w:val="en-US"/>
        </w:rPr>
        <w:t xml:space="preserve"> I also reviewed the disclosures related to the valuation of investment in the notes to financial statements.</w:t>
      </w:r>
    </w:p>
    <w:p w:rsidR="00412D24" w:rsidRPr="001C608D" w:rsidRDefault="00412D24" w:rsidP="0015492F">
      <w:pPr>
        <w:overflowPunct/>
        <w:autoSpaceDE/>
        <w:autoSpaceDN/>
        <w:adjustRightInd/>
        <w:spacing w:before="120" w:after="120" w:line="380" w:lineRule="exact"/>
        <w:ind w:right="-43"/>
        <w:jc w:val="both"/>
        <w:textAlignment w:val="auto"/>
        <w:rPr>
          <w:rFonts w:ascii="Arial" w:hAnsi="Arial" w:cs="Arial"/>
          <w:b/>
          <w:bCs/>
          <w:sz w:val="22"/>
          <w:szCs w:val="22"/>
          <w:lang w:val="en-US"/>
        </w:rPr>
      </w:pPr>
      <w:r w:rsidRPr="001C608D">
        <w:rPr>
          <w:rFonts w:ascii="Arial" w:hAnsi="Arial" w:cs="Arial"/>
          <w:b/>
          <w:bCs/>
          <w:sz w:val="22"/>
          <w:szCs w:val="22"/>
          <w:lang w:val="en-US"/>
        </w:rPr>
        <w:br w:type="page"/>
      </w:r>
    </w:p>
    <w:p w:rsidR="005D5EA3" w:rsidRPr="001C608D" w:rsidRDefault="005D5EA3" w:rsidP="0015492F">
      <w:pPr>
        <w:spacing w:before="120" w:after="120" w:line="380" w:lineRule="exact"/>
        <w:ind w:left="540"/>
        <w:rPr>
          <w:rFonts w:ascii="Arial" w:hAnsi="Arial" w:cs="Arial"/>
          <w:b/>
          <w:bCs/>
          <w:sz w:val="22"/>
          <w:szCs w:val="22"/>
          <w:lang w:val="en-US"/>
        </w:rPr>
      </w:pPr>
      <w:r w:rsidRPr="001C608D">
        <w:rPr>
          <w:rFonts w:ascii="Arial" w:hAnsi="Arial" w:cs="Arial"/>
          <w:b/>
          <w:bCs/>
          <w:sz w:val="22"/>
          <w:szCs w:val="22"/>
          <w:lang w:val="en-US"/>
        </w:rPr>
        <w:lastRenderedPageBreak/>
        <w:t>Investment in subsidiary company in Myanmar</w:t>
      </w:r>
    </w:p>
    <w:p w:rsidR="005D5EA3" w:rsidRPr="001C608D" w:rsidRDefault="005D5EA3"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t>As described in the Note 18  to the financial statements, during the current year, a subsidiary</w:t>
      </w:r>
      <w:r w:rsidRPr="001C608D">
        <w:rPr>
          <w:rFonts w:ascii="Arial" w:hAnsi="Arial" w:cs="Arial"/>
          <w:sz w:val="22"/>
          <w:szCs w:val="22"/>
          <w:cs/>
        </w:rPr>
        <w:t xml:space="preserve"> </w:t>
      </w:r>
      <w:r w:rsidRPr="001C608D">
        <w:rPr>
          <w:rFonts w:ascii="Arial" w:hAnsi="Arial" w:cs="Arial"/>
          <w:sz w:val="22"/>
          <w:szCs w:val="22"/>
          <w:lang w:val="en-US"/>
        </w:rPr>
        <w:t>of the Company invested in BG Microfinance Myanmar Co., Ltd (“BGMM”), which is a company incorporated in the Republic of the Union of Myanmar and engaged in the microfinance business.  As at 31 December 2017, the Group provisionally recorded the acquisition using a best estimate of the values of the assets acquired and liabilities assumed, determined</w:t>
      </w:r>
      <w:r w:rsidRPr="001C608D">
        <w:rPr>
          <w:rFonts w:ascii="Arial" w:hAnsi="Arial" w:cs="Arial"/>
          <w:sz w:val="22"/>
          <w:szCs w:val="22"/>
          <w:cs/>
        </w:rPr>
        <w:t xml:space="preserve"> </w:t>
      </w:r>
      <w:r w:rsidRPr="001C608D">
        <w:rPr>
          <w:rFonts w:ascii="Arial" w:hAnsi="Arial" w:cs="Arial"/>
          <w:sz w:val="22"/>
          <w:szCs w:val="22"/>
          <w:lang w:val="en-US"/>
        </w:rPr>
        <w:t>by applying the acquisition method. The Group will complete the recording of the acquisition within 2018, and the amount recorded as at 31 December 2017 may change. I have focused on this business acquisition since it is material to the financial statements as a whole. In addition, given the nature of the microfinance business, the management needed to exercise substantial judgment to determine the assumptions used as a basis for provisional recognition of the acquisition. Therefore, there is a risk with respect to the recognition of the assets acquired and liabilities assumed,</w:t>
      </w:r>
      <w:r w:rsidRPr="001C608D">
        <w:rPr>
          <w:rFonts w:ascii="Arial" w:hAnsi="Arial" w:cs="Arial"/>
          <w:sz w:val="22"/>
          <w:szCs w:val="22"/>
          <w:cs/>
        </w:rPr>
        <w:t xml:space="preserve"> </w:t>
      </w:r>
      <w:r w:rsidRPr="001C608D">
        <w:rPr>
          <w:rFonts w:ascii="Arial" w:hAnsi="Arial" w:cs="Arial"/>
          <w:sz w:val="22"/>
          <w:szCs w:val="22"/>
          <w:lang w:val="en-US"/>
        </w:rPr>
        <w:t>including the initial difference from the acquisition.</w:t>
      </w:r>
    </w:p>
    <w:p w:rsidR="005D5EA3" w:rsidRPr="001C608D" w:rsidRDefault="005D5EA3"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t>I reviewed the terms and conditions of the agreement and inquired with management as to the nature and objectives of the acquisition in order to assess whether the acquisition meets the definition of a business combination under Thai Financia</w:t>
      </w:r>
      <w:r w:rsidR="001F40AC" w:rsidRPr="001C608D">
        <w:rPr>
          <w:rFonts w:ascii="Arial" w:hAnsi="Arial" w:cs="Arial"/>
          <w:sz w:val="22"/>
          <w:szCs w:val="22"/>
          <w:lang w:val="en-US"/>
        </w:rPr>
        <w:t>l Reporting Standard 3 (Revised</w:t>
      </w:r>
      <w:r w:rsidRPr="001C608D">
        <w:rPr>
          <w:rFonts w:ascii="Arial" w:hAnsi="Arial" w:cs="Arial"/>
          <w:sz w:val="22"/>
          <w:szCs w:val="22"/>
          <w:lang w:val="en-US"/>
        </w:rPr>
        <w:t xml:space="preserve"> 2015) Business combinations. I checked the value of the acquisition against supporting documents and related payments to assess whether it reflected the fair value of the consideration transferred and that it did not include acquisition-related costs. In addition, I checked the investment valuation as at the date of the acquisition was recorded. I also checked the completeness and accuracy of the disclosures related to this transaction in the notes to financial statements.</w:t>
      </w:r>
    </w:p>
    <w:p w:rsidR="005D5EA3" w:rsidRPr="001C608D" w:rsidRDefault="005D5EA3" w:rsidP="0015492F">
      <w:pPr>
        <w:spacing w:before="120" w:after="120" w:line="380" w:lineRule="exact"/>
        <w:ind w:left="540"/>
        <w:rPr>
          <w:rFonts w:ascii="Arial" w:hAnsi="Arial" w:cs="Arial"/>
          <w:b/>
          <w:bCs/>
          <w:sz w:val="22"/>
          <w:szCs w:val="22"/>
          <w:lang w:val="en-US"/>
        </w:rPr>
      </w:pPr>
      <w:r w:rsidRPr="001C608D">
        <w:rPr>
          <w:rFonts w:ascii="Arial" w:hAnsi="Arial" w:cs="Arial"/>
          <w:b/>
          <w:bCs/>
          <w:sz w:val="22"/>
          <w:szCs w:val="22"/>
          <w:lang w:val="en-US"/>
        </w:rPr>
        <w:t>Goodwill</w:t>
      </w:r>
    </w:p>
    <w:p w:rsidR="005D5EA3" w:rsidRPr="001C608D" w:rsidRDefault="005D5EA3"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t>I have focused on the consideration of the impairment of goodwill, as discussed in Note 23 to the financial statements, because the impairment assessment on goodwill is a significant accounting estimate requiring the management to exercise a high degree of judgment in identifying the cash generating unit, estimating the cash inflows that are expected to be generated from that group of assets in the future, and setting an appropriate discount rate and long-term growth rate. There is thus a risk that the presented values of goodwill will be</w:t>
      </w:r>
      <w:r w:rsidRPr="001C608D">
        <w:rPr>
          <w:rFonts w:ascii="Arial" w:hAnsi="Arial" w:cs="Arial"/>
          <w:sz w:val="22"/>
          <w:szCs w:val="22"/>
          <w:cs/>
        </w:rPr>
        <w:t xml:space="preserve"> </w:t>
      </w:r>
      <w:r w:rsidRPr="001C608D">
        <w:rPr>
          <w:rFonts w:ascii="Arial" w:hAnsi="Arial" w:cs="Arial"/>
          <w:sz w:val="22"/>
          <w:szCs w:val="22"/>
          <w:lang w:val="en-US"/>
        </w:rPr>
        <w:t xml:space="preserve">inappropriate. </w:t>
      </w:r>
    </w:p>
    <w:p w:rsidR="00412D24" w:rsidRPr="001C608D" w:rsidRDefault="00412D24" w:rsidP="0015492F">
      <w:pPr>
        <w:overflowPunct/>
        <w:autoSpaceDE/>
        <w:autoSpaceDN/>
        <w:adjustRightInd/>
        <w:spacing w:before="120" w:after="120" w:line="380" w:lineRule="exact"/>
        <w:ind w:right="-43"/>
        <w:jc w:val="both"/>
        <w:textAlignment w:val="auto"/>
        <w:rPr>
          <w:rFonts w:ascii="Arial" w:hAnsi="Arial" w:cs="Arial"/>
          <w:sz w:val="22"/>
          <w:szCs w:val="22"/>
          <w:lang w:val="en-US"/>
        </w:rPr>
      </w:pPr>
      <w:r w:rsidRPr="001C608D">
        <w:rPr>
          <w:rFonts w:ascii="Arial" w:hAnsi="Arial" w:cs="Arial"/>
          <w:sz w:val="22"/>
          <w:szCs w:val="22"/>
          <w:lang w:val="en-US"/>
        </w:rPr>
        <w:br w:type="page"/>
      </w:r>
    </w:p>
    <w:p w:rsidR="005D5EA3" w:rsidRPr="001C608D" w:rsidRDefault="005D5EA3"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lastRenderedPageBreak/>
        <w:t xml:space="preserve">I assessed the appropriateness of the identified cash generating units and the financial models selected by management by gaining an understanding of the management’s decision-making process and determining whether the decisions were consistent with how assets are utilised. In addition, I tested the significant assumptions applied by management in estimating the cash flows expected to be realised from the assets, by checking those assumptions against information from the sources of the </w:t>
      </w:r>
      <w:r w:rsidR="00E52480" w:rsidRPr="001C608D">
        <w:rPr>
          <w:rFonts w:ascii="Arial" w:hAnsi="Arial" w:cs="Arial"/>
          <w:sz w:val="22"/>
          <w:szCs w:val="22"/>
          <w:lang w:val="en-US"/>
        </w:rPr>
        <w:t>Group</w:t>
      </w:r>
      <w:r w:rsidRPr="001C608D">
        <w:rPr>
          <w:rFonts w:ascii="Arial" w:hAnsi="Arial" w:cs="Arial"/>
          <w:sz w:val="22"/>
          <w:szCs w:val="22"/>
          <w:lang w:val="en-US"/>
        </w:rPr>
        <w:t xml:space="preserve">, and determining the accuracy of past cash flow projections through comparison with actual operating results. </w:t>
      </w:r>
      <w:r w:rsidR="00E253E6" w:rsidRPr="001C608D">
        <w:rPr>
          <w:rFonts w:ascii="Arial" w:hAnsi="Arial" w:cs="Arial"/>
          <w:sz w:val="22"/>
          <w:szCs w:val="22"/>
          <w:lang w:val="en-US"/>
        </w:rPr>
        <w:t xml:space="preserve">            </w:t>
      </w:r>
      <w:r w:rsidRPr="001C608D">
        <w:rPr>
          <w:rFonts w:ascii="Arial" w:hAnsi="Arial" w:cs="Arial"/>
          <w:sz w:val="22"/>
          <w:szCs w:val="22"/>
          <w:lang w:val="en-US"/>
        </w:rPr>
        <w:t>I also considered the appropriateness of the discount rate applied by management, tested</w:t>
      </w:r>
      <w:r w:rsidR="00E253E6" w:rsidRPr="001C608D">
        <w:rPr>
          <w:rFonts w:ascii="Arial" w:hAnsi="Arial" w:cs="Arial"/>
          <w:sz w:val="22"/>
          <w:szCs w:val="22"/>
          <w:lang w:val="en-US"/>
        </w:rPr>
        <w:t xml:space="preserve"> </w:t>
      </w:r>
      <w:r w:rsidRPr="001C608D">
        <w:rPr>
          <w:rFonts w:ascii="Arial" w:hAnsi="Arial" w:cs="Arial"/>
          <w:sz w:val="22"/>
          <w:szCs w:val="22"/>
          <w:lang w:val="en-US"/>
        </w:rPr>
        <w:t xml:space="preserve"> the calculation of the realisable values of the assets using the selected financial model, and considered the impact of changes in key assumptions on those realisable values. Moreover, I assessed the adequacy of the disclosures made with respect to the impairment assessment for goodwill and intangible assets.</w:t>
      </w:r>
    </w:p>
    <w:p w:rsidR="005D5EA3" w:rsidRPr="001C608D" w:rsidRDefault="005D5EA3" w:rsidP="0015492F">
      <w:pPr>
        <w:spacing w:before="120" w:after="120" w:line="380" w:lineRule="exact"/>
        <w:ind w:left="540"/>
        <w:rPr>
          <w:rFonts w:ascii="Arial" w:hAnsi="Arial" w:cs="Arial"/>
          <w:b/>
          <w:bCs/>
          <w:sz w:val="22"/>
          <w:szCs w:val="22"/>
          <w:lang w:val="en-US"/>
        </w:rPr>
      </w:pPr>
      <w:r w:rsidRPr="001C608D">
        <w:rPr>
          <w:rFonts w:ascii="Arial" w:hAnsi="Arial" w:cs="Arial"/>
          <w:b/>
          <w:bCs/>
          <w:sz w:val="22"/>
          <w:szCs w:val="22"/>
          <w:lang w:val="en-US"/>
        </w:rPr>
        <w:t>Allowance for impairment of investments in subsidiaries and other long-term investments</w:t>
      </w:r>
    </w:p>
    <w:p w:rsidR="005D5EA3" w:rsidRPr="001C608D" w:rsidRDefault="005D5EA3"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t>I have focused my audit on the consideration of the impairment of investments in subsidiaries and other long-term investments, as discussed in Notes 18 and 20 to the financial statements, because the impairment assessment on investment in subsidiaries and other long-term investments is a significant accounting estimate requiring the management to exercise a high degree of judgment in identifying and estimating the recoverable amounts that are expected to be generated from those investments. The recoverable amount of an asset is the higher of the asset’s fair value less costs to sell and its value in use. There is thus a risk with respect to the valuation of investments</w:t>
      </w:r>
      <w:r w:rsidRPr="001C608D">
        <w:rPr>
          <w:rFonts w:ascii="Arial" w:hAnsi="Arial" w:cs="Arial"/>
          <w:sz w:val="22"/>
          <w:szCs w:val="22"/>
          <w:cs/>
        </w:rPr>
        <w:t xml:space="preserve"> </w:t>
      </w:r>
      <w:r w:rsidRPr="001C608D">
        <w:rPr>
          <w:rFonts w:ascii="Arial" w:hAnsi="Arial" w:cs="Arial"/>
          <w:sz w:val="22"/>
          <w:szCs w:val="22"/>
          <w:lang w:val="en-US"/>
        </w:rPr>
        <w:t xml:space="preserve">in subsidiaries and other long-term investments.   </w:t>
      </w:r>
    </w:p>
    <w:p w:rsidR="0015492F" w:rsidRPr="001C608D" w:rsidRDefault="0015492F">
      <w:pPr>
        <w:overflowPunct/>
        <w:autoSpaceDE/>
        <w:autoSpaceDN/>
        <w:adjustRightInd/>
        <w:spacing w:before="100" w:after="100" w:line="380" w:lineRule="exact"/>
        <w:ind w:right="-43"/>
        <w:jc w:val="both"/>
        <w:textAlignment w:val="auto"/>
        <w:rPr>
          <w:rFonts w:ascii="Arial" w:hAnsi="Arial" w:cs="Arial"/>
          <w:sz w:val="22"/>
          <w:szCs w:val="22"/>
          <w:lang w:val="en-US"/>
        </w:rPr>
      </w:pPr>
      <w:r w:rsidRPr="001C608D">
        <w:rPr>
          <w:rFonts w:ascii="Arial" w:hAnsi="Arial" w:cs="Arial"/>
          <w:sz w:val="22"/>
          <w:szCs w:val="22"/>
          <w:lang w:val="en-US"/>
        </w:rPr>
        <w:br w:type="page"/>
      </w:r>
    </w:p>
    <w:p w:rsidR="005D5EA3" w:rsidRPr="001C608D" w:rsidRDefault="005D5EA3"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lastRenderedPageBreak/>
        <w:t xml:space="preserve">I assessed the appropriateness of the financial models selected by management by gaining an understanding of management’s decision-making process. In addition, I tested the significant assumptions applied by management in estimating the recoverable amounts that are expected to be generated from the subsidiaries and other long-term investments, by comparing those assumptions with information from both internal and external sources and comparing past cash flow projections to actual operating results in order to evaluate the exercise of management judgment in estimating the future cash flow projections. I also evaluated the appropriateness of discount rate applied by management through analysis of the average costs of the companies in which the </w:t>
      </w:r>
      <w:r w:rsidR="005A4D83" w:rsidRPr="001C608D">
        <w:rPr>
          <w:rFonts w:ascii="Arial" w:hAnsi="Arial" w:cs="Arial"/>
          <w:sz w:val="22"/>
          <w:szCs w:val="22"/>
          <w:lang w:val="en-US"/>
        </w:rPr>
        <w:t>Group</w:t>
      </w:r>
      <w:r w:rsidRPr="001C608D">
        <w:rPr>
          <w:rFonts w:ascii="Arial" w:hAnsi="Arial" w:cs="Arial"/>
          <w:sz w:val="22"/>
          <w:szCs w:val="22"/>
          <w:lang w:val="en-US"/>
        </w:rPr>
        <w:t xml:space="preserve"> invested and those of the industry, tested the calculation of the realisable values of such investments by using the selected financial model, and considered the impact of changes in key assumptions on those realisable values, especially changes in the discount rate and long-term revenue growth rates.</w:t>
      </w:r>
    </w:p>
    <w:p w:rsidR="008648FF" w:rsidRPr="001C608D" w:rsidRDefault="008648FF" w:rsidP="0015492F">
      <w:pPr>
        <w:pStyle w:val="ListParagraph"/>
        <w:numPr>
          <w:ilvl w:val="0"/>
          <w:numId w:val="7"/>
        </w:numPr>
        <w:spacing w:before="120" w:after="120" w:line="380" w:lineRule="exact"/>
        <w:ind w:left="547" w:hanging="547"/>
        <w:contextualSpacing w:val="0"/>
        <w:rPr>
          <w:rFonts w:ascii="Arial" w:hAnsi="Arial" w:cs="Arial"/>
          <w:b/>
          <w:bCs/>
          <w:sz w:val="22"/>
          <w:szCs w:val="22"/>
          <w:cs/>
          <w:lang w:val="en-US"/>
        </w:rPr>
      </w:pPr>
      <w:r w:rsidRPr="001C608D">
        <w:rPr>
          <w:rFonts w:ascii="Arial" w:hAnsi="Arial" w:cs="Arial"/>
          <w:b/>
          <w:bCs/>
          <w:sz w:val="22"/>
          <w:szCs w:val="22"/>
          <w:lang w:val="en-US"/>
        </w:rPr>
        <w:t>Other information</w:t>
      </w:r>
    </w:p>
    <w:p w:rsidR="008648FF" w:rsidRPr="001C608D" w:rsidRDefault="008648FF"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t xml:space="preserve">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w:t>
      </w:r>
      <w:r w:rsidR="00CA3365">
        <w:rPr>
          <w:rFonts w:ascii="Arial" w:hAnsi="Arial" w:cs="Arial"/>
          <w:sz w:val="22"/>
          <w:szCs w:val="22"/>
          <w:lang w:val="en-US"/>
        </w:rPr>
        <w:t>the</w:t>
      </w:r>
      <w:r w:rsidRPr="001C608D">
        <w:rPr>
          <w:rFonts w:ascii="Arial" w:hAnsi="Arial" w:cs="Arial"/>
          <w:sz w:val="22"/>
          <w:szCs w:val="22"/>
          <w:lang w:val="en-US"/>
        </w:rPr>
        <w:t xml:space="preserve"> auditor’s report</w:t>
      </w:r>
      <w:r w:rsidR="00CA3365">
        <w:rPr>
          <w:rFonts w:ascii="Arial" w:hAnsi="Arial" w:cs="Arial"/>
          <w:sz w:val="22"/>
          <w:szCs w:val="22"/>
          <w:lang w:val="en-US"/>
        </w:rPr>
        <w:t xml:space="preserve"> dated 28 February 2018</w:t>
      </w:r>
      <w:r w:rsidRPr="001C608D">
        <w:rPr>
          <w:rFonts w:ascii="Arial" w:hAnsi="Arial" w:cs="Arial"/>
          <w:sz w:val="22"/>
          <w:szCs w:val="22"/>
          <w:lang w:val="en-US"/>
        </w:rPr>
        <w:t>.</w:t>
      </w:r>
    </w:p>
    <w:p w:rsidR="008648FF" w:rsidRPr="001C608D" w:rsidRDefault="008648FF"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t>My opinion on the financial statements does not cover the other information and I do not express any form of assurance conclusion thereon.</w:t>
      </w:r>
    </w:p>
    <w:p w:rsidR="008648FF" w:rsidRPr="001C608D" w:rsidRDefault="008648FF"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5D5EA3" w:rsidRPr="001C608D" w:rsidRDefault="008648FF"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t>When I read the annual report of the Group, if I conclude that there is a material misstatement therein, I am required to communicate the matter to those charged with governance for correction of the misstatement.</w:t>
      </w:r>
    </w:p>
    <w:p w:rsidR="00412D24" w:rsidRPr="001C608D" w:rsidRDefault="00412D24" w:rsidP="0015492F">
      <w:pPr>
        <w:overflowPunct/>
        <w:autoSpaceDE/>
        <w:autoSpaceDN/>
        <w:adjustRightInd/>
        <w:spacing w:before="120" w:after="120" w:line="380" w:lineRule="exact"/>
        <w:ind w:right="-43"/>
        <w:jc w:val="both"/>
        <w:textAlignment w:val="auto"/>
        <w:rPr>
          <w:rFonts w:ascii="Arial" w:hAnsi="Arial" w:cs="Arial"/>
          <w:b/>
          <w:bCs/>
          <w:sz w:val="22"/>
          <w:szCs w:val="22"/>
          <w:lang w:val="en-US"/>
        </w:rPr>
      </w:pPr>
      <w:r w:rsidRPr="001C608D">
        <w:rPr>
          <w:rFonts w:ascii="Arial" w:hAnsi="Arial" w:cs="Arial"/>
          <w:b/>
          <w:bCs/>
          <w:sz w:val="22"/>
          <w:szCs w:val="22"/>
          <w:lang w:val="en-US"/>
        </w:rPr>
        <w:br w:type="page"/>
      </w:r>
    </w:p>
    <w:p w:rsidR="008648FF" w:rsidRPr="001C608D" w:rsidRDefault="008648FF" w:rsidP="0015492F">
      <w:pPr>
        <w:pStyle w:val="ListParagraph"/>
        <w:numPr>
          <w:ilvl w:val="0"/>
          <w:numId w:val="7"/>
        </w:numPr>
        <w:spacing w:before="120" w:after="120" w:line="380" w:lineRule="exact"/>
        <w:ind w:left="547" w:hanging="547"/>
        <w:contextualSpacing w:val="0"/>
        <w:rPr>
          <w:rFonts w:ascii="Arial" w:hAnsi="Arial" w:cs="Arial"/>
          <w:b/>
          <w:bCs/>
          <w:sz w:val="22"/>
          <w:szCs w:val="22"/>
          <w:lang w:val="en-US"/>
        </w:rPr>
      </w:pPr>
      <w:r w:rsidRPr="001C608D">
        <w:rPr>
          <w:rFonts w:ascii="Arial" w:hAnsi="Arial" w:cs="Arial"/>
          <w:b/>
          <w:bCs/>
          <w:sz w:val="22"/>
          <w:szCs w:val="22"/>
          <w:lang w:val="en-US"/>
        </w:rPr>
        <w:lastRenderedPageBreak/>
        <w:t>Responsibilities of Management and Those Charged with Governance for the Financial Statements</w:t>
      </w:r>
    </w:p>
    <w:p w:rsidR="008648FF" w:rsidRPr="001C608D" w:rsidRDefault="008648FF"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8648FF" w:rsidRPr="001C608D" w:rsidRDefault="008648FF"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8648FF" w:rsidRPr="001C608D" w:rsidRDefault="008648FF"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t xml:space="preserve">Those charged with governance are responsible for overseeing the Group’s financial reporting process. </w:t>
      </w:r>
    </w:p>
    <w:p w:rsidR="008648FF" w:rsidRPr="001C608D" w:rsidRDefault="008648FF" w:rsidP="0015492F">
      <w:pPr>
        <w:pStyle w:val="ListParagraph"/>
        <w:numPr>
          <w:ilvl w:val="0"/>
          <w:numId w:val="7"/>
        </w:numPr>
        <w:spacing w:before="120" w:after="120" w:line="380" w:lineRule="exact"/>
        <w:ind w:left="547" w:hanging="547"/>
        <w:contextualSpacing w:val="0"/>
        <w:rPr>
          <w:rFonts w:ascii="Arial" w:hAnsi="Arial" w:cs="Arial"/>
          <w:b/>
          <w:bCs/>
          <w:sz w:val="22"/>
          <w:szCs w:val="22"/>
          <w:lang w:val="en-US"/>
        </w:rPr>
      </w:pPr>
      <w:r w:rsidRPr="001C608D">
        <w:rPr>
          <w:rFonts w:ascii="Arial" w:hAnsi="Arial" w:cs="Arial"/>
          <w:b/>
          <w:bCs/>
          <w:sz w:val="22"/>
          <w:szCs w:val="22"/>
          <w:lang w:val="en-US"/>
        </w:rPr>
        <w:t xml:space="preserve">Auditor’s Responsibilities for the Audit of the Financial Statements </w:t>
      </w:r>
    </w:p>
    <w:p w:rsidR="008648FF" w:rsidRPr="001C608D" w:rsidRDefault="008648FF"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8648FF" w:rsidRPr="001C608D" w:rsidRDefault="008648FF"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t>As part of an audit in accordance with Thai Standards on Auditing, I exercise professional judgement and maintain professional skepticism throughout the audit. I also:</w:t>
      </w:r>
    </w:p>
    <w:p w:rsidR="008648FF" w:rsidRPr="001C608D" w:rsidRDefault="008648FF" w:rsidP="0015492F">
      <w:pPr>
        <w:pStyle w:val="ps-000-normal"/>
        <w:numPr>
          <w:ilvl w:val="0"/>
          <w:numId w:val="1"/>
        </w:numPr>
        <w:spacing w:before="120" w:line="380" w:lineRule="exact"/>
        <w:ind w:left="900"/>
        <w:rPr>
          <w:rFonts w:ascii="Arial" w:hAnsi="Arial" w:cs="Arial"/>
          <w:sz w:val="22"/>
          <w:szCs w:val="22"/>
        </w:rPr>
      </w:pPr>
      <w:r w:rsidRPr="001C608D">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8648FF" w:rsidRPr="001C608D" w:rsidRDefault="008648FF" w:rsidP="0015492F">
      <w:pPr>
        <w:pStyle w:val="ps-000-normal"/>
        <w:numPr>
          <w:ilvl w:val="0"/>
          <w:numId w:val="1"/>
        </w:numPr>
        <w:spacing w:before="120" w:line="380" w:lineRule="exact"/>
        <w:ind w:left="900"/>
        <w:rPr>
          <w:rFonts w:ascii="Arial" w:hAnsi="Arial" w:cs="Arial"/>
          <w:sz w:val="22"/>
          <w:szCs w:val="22"/>
        </w:rPr>
      </w:pPr>
      <w:r w:rsidRPr="001C608D">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8648FF" w:rsidRPr="001C608D" w:rsidRDefault="008648FF" w:rsidP="0015492F">
      <w:pPr>
        <w:pStyle w:val="ps-000-normal"/>
        <w:numPr>
          <w:ilvl w:val="0"/>
          <w:numId w:val="1"/>
        </w:numPr>
        <w:spacing w:before="120" w:line="380" w:lineRule="exact"/>
        <w:ind w:left="900"/>
        <w:rPr>
          <w:rFonts w:ascii="Arial" w:hAnsi="Arial" w:cs="Arial"/>
          <w:sz w:val="22"/>
          <w:szCs w:val="22"/>
        </w:rPr>
      </w:pPr>
      <w:r w:rsidRPr="001C608D">
        <w:rPr>
          <w:rFonts w:ascii="Arial" w:hAnsi="Arial" w:cs="Arial"/>
          <w:sz w:val="22"/>
          <w:szCs w:val="22"/>
        </w:rPr>
        <w:lastRenderedPageBreak/>
        <w:t>Evaluate the appropriateness of accounting policies used and the reasonableness of accounting estimates and related disclosures made by management.</w:t>
      </w:r>
    </w:p>
    <w:p w:rsidR="008648FF" w:rsidRPr="001C608D" w:rsidRDefault="008648FF" w:rsidP="0015492F">
      <w:pPr>
        <w:pStyle w:val="ps-000-normal"/>
        <w:numPr>
          <w:ilvl w:val="0"/>
          <w:numId w:val="1"/>
        </w:numPr>
        <w:spacing w:before="120" w:line="380" w:lineRule="exact"/>
        <w:ind w:left="900"/>
        <w:rPr>
          <w:rFonts w:ascii="Arial" w:hAnsi="Arial" w:cs="Arial"/>
          <w:sz w:val="22"/>
          <w:szCs w:val="22"/>
        </w:rPr>
      </w:pPr>
      <w:r w:rsidRPr="001C608D">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w:t>
      </w:r>
      <w:r w:rsidR="00E253E6" w:rsidRPr="001C608D">
        <w:rPr>
          <w:rFonts w:ascii="Arial" w:hAnsi="Arial" w:cs="Arial"/>
          <w:sz w:val="22"/>
          <w:szCs w:val="22"/>
        </w:rPr>
        <w:t xml:space="preserve">            </w:t>
      </w:r>
      <w:r w:rsidRPr="001C608D">
        <w:rPr>
          <w:rFonts w:ascii="Arial" w:hAnsi="Arial" w:cs="Arial"/>
          <w:sz w:val="22"/>
          <w:szCs w:val="22"/>
        </w:rPr>
        <w:t xml:space="preserve">I am required to draw attention in my auditor’s report to the related disclosures in the financial statements or, if such disclosures are inadequate, to modify my opinion. </w:t>
      </w:r>
      <w:r w:rsidR="00A42804" w:rsidRPr="001C608D">
        <w:rPr>
          <w:rFonts w:ascii="Arial" w:hAnsi="Arial" w:cs="Arial"/>
          <w:sz w:val="22"/>
          <w:szCs w:val="22"/>
        </w:rPr>
        <w:t xml:space="preserve">       </w:t>
      </w:r>
      <w:r w:rsidRPr="001C608D">
        <w:rPr>
          <w:rFonts w:ascii="Arial" w:hAnsi="Arial" w:cs="Arial"/>
          <w:sz w:val="22"/>
          <w:szCs w:val="22"/>
        </w:rPr>
        <w:t>My conclusions are based on the audit evidence obtained up to the date of my auditor’s report. However, future events or conditions may cause the Group to</w:t>
      </w:r>
      <w:r w:rsidR="009A6610" w:rsidRPr="001C608D">
        <w:rPr>
          <w:rFonts w:ascii="Arial" w:hAnsi="Arial" w:cs="Arial"/>
          <w:sz w:val="22"/>
          <w:szCs w:val="22"/>
        </w:rPr>
        <w:t xml:space="preserve"> </w:t>
      </w:r>
      <w:r w:rsidRPr="001C608D">
        <w:rPr>
          <w:rFonts w:ascii="Arial" w:hAnsi="Arial" w:cs="Arial"/>
          <w:sz w:val="22"/>
          <w:szCs w:val="22"/>
        </w:rPr>
        <w:t>cease to continue as a going concern.</w:t>
      </w:r>
    </w:p>
    <w:p w:rsidR="008648FF" w:rsidRPr="001C608D" w:rsidRDefault="008648FF" w:rsidP="0015492F">
      <w:pPr>
        <w:pStyle w:val="ps-000-normal"/>
        <w:numPr>
          <w:ilvl w:val="0"/>
          <w:numId w:val="1"/>
        </w:numPr>
        <w:spacing w:before="120" w:line="380" w:lineRule="exact"/>
        <w:ind w:left="900"/>
        <w:rPr>
          <w:rFonts w:ascii="Arial" w:hAnsi="Arial" w:cs="Arial"/>
          <w:sz w:val="22"/>
          <w:szCs w:val="22"/>
        </w:rPr>
      </w:pPr>
      <w:r w:rsidRPr="001C608D">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8648FF" w:rsidRPr="001C608D" w:rsidRDefault="008648FF" w:rsidP="0015492F">
      <w:pPr>
        <w:pStyle w:val="ps-000-normal"/>
        <w:numPr>
          <w:ilvl w:val="0"/>
          <w:numId w:val="1"/>
        </w:numPr>
        <w:spacing w:before="120" w:line="380" w:lineRule="exact"/>
        <w:ind w:left="900"/>
        <w:rPr>
          <w:rFonts w:ascii="Arial" w:hAnsi="Arial" w:cs="Arial"/>
          <w:sz w:val="22"/>
          <w:szCs w:val="22"/>
        </w:rPr>
      </w:pPr>
      <w:r w:rsidRPr="001C608D">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report.</w:t>
      </w:r>
    </w:p>
    <w:p w:rsidR="008648FF" w:rsidRPr="001C608D" w:rsidRDefault="008648FF" w:rsidP="0015492F">
      <w:pPr>
        <w:spacing w:before="120" w:after="120" w:line="380" w:lineRule="exact"/>
        <w:ind w:left="900"/>
        <w:rPr>
          <w:rFonts w:ascii="Arial" w:hAnsi="Arial" w:cs="Arial"/>
          <w:sz w:val="22"/>
          <w:szCs w:val="22"/>
          <w:lang w:val="en-US"/>
        </w:rPr>
      </w:pPr>
      <w:r w:rsidRPr="001C608D">
        <w:rPr>
          <w:rFonts w:ascii="Arial" w:hAnsi="Arial" w:cs="Arial"/>
          <w:sz w:val="22"/>
          <w:szCs w:val="22"/>
          <w:lang w:val="en-US"/>
        </w:rPr>
        <w:t>I communicate with those charged with governance regarding, among other matters, the planned scope and timing of the audit and significant audit findings, including any significant deficiencies in internal control that I identify during my audit.</w:t>
      </w:r>
    </w:p>
    <w:p w:rsidR="008648FF" w:rsidRPr="001C608D" w:rsidRDefault="008648FF" w:rsidP="0015492F">
      <w:pPr>
        <w:spacing w:before="120" w:after="120" w:line="380" w:lineRule="exact"/>
        <w:ind w:left="900"/>
        <w:rPr>
          <w:rFonts w:ascii="Arial" w:hAnsi="Arial" w:cs="Arial"/>
          <w:sz w:val="22"/>
          <w:szCs w:val="22"/>
          <w:lang w:val="en-US"/>
        </w:rPr>
      </w:pPr>
      <w:r w:rsidRPr="001C608D">
        <w:rPr>
          <w:rFonts w:ascii="Arial" w:hAnsi="Arial" w:cs="Arial"/>
          <w:sz w:val="22"/>
          <w:szCs w:val="22"/>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412D24" w:rsidRPr="001C608D" w:rsidRDefault="00412D24" w:rsidP="0015492F">
      <w:pPr>
        <w:overflowPunct/>
        <w:autoSpaceDE/>
        <w:autoSpaceDN/>
        <w:adjustRightInd/>
        <w:spacing w:before="120" w:after="120" w:line="380" w:lineRule="exact"/>
        <w:ind w:right="-43"/>
        <w:jc w:val="both"/>
        <w:textAlignment w:val="auto"/>
        <w:rPr>
          <w:rFonts w:ascii="Arial" w:hAnsi="Arial" w:cs="Arial"/>
          <w:sz w:val="22"/>
          <w:szCs w:val="22"/>
          <w:lang w:val="en-US"/>
        </w:rPr>
      </w:pPr>
      <w:r w:rsidRPr="001C608D">
        <w:rPr>
          <w:rFonts w:ascii="Arial" w:hAnsi="Arial" w:cs="Arial"/>
          <w:sz w:val="22"/>
          <w:szCs w:val="22"/>
          <w:lang w:val="en-US"/>
        </w:rPr>
        <w:br w:type="page"/>
      </w:r>
    </w:p>
    <w:p w:rsidR="00224725" w:rsidRPr="001C608D" w:rsidRDefault="00224725" w:rsidP="0015492F">
      <w:pPr>
        <w:spacing w:before="120" w:after="120" w:line="380" w:lineRule="exact"/>
        <w:ind w:left="540"/>
        <w:rPr>
          <w:rFonts w:ascii="Arial" w:hAnsi="Arial" w:cs="Arial"/>
          <w:sz w:val="22"/>
          <w:szCs w:val="22"/>
          <w:lang w:val="en-US"/>
        </w:rPr>
      </w:pPr>
      <w:r w:rsidRPr="001C608D">
        <w:rPr>
          <w:rFonts w:ascii="Arial" w:hAnsi="Arial" w:cs="Arial"/>
          <w:sz w:val="22"/>
          <w:szCs w:val="22"/>
          <w:lang w:val="en-US"/>
        </w:rPr>
        <w:lastRenderedPageBreak/>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w:t>
      </w:r>
      <w:r w:rsidR="00412D24" w:rsidRPr="001C608D">
        <w:rPr>
          <w:rFonts w:ascii="Arial" w:hAnsi="Arial" w:cs="Arial"/>
          <w:sz w:val="22"/>
          <w:szCs w:val="22"/>
          <w:lang w:val="en-US"/>
        </w:rPr>
        <w:t xml:space="preserve">    </w:t>
      </w:r>
      <w:r w:rsidRPr="001C608D">
        <w:rPr>
          <w:rFonts w:ascii="Arial" w:hAnsi="Arial" w:cs="Arial"/>
          <w:sz w:val="22"/>
          <w:szCs w:val="22"/>
          <w:lang w:val="en-US"/>
        </w:rPr>
        <w:t xml:space="preserve">my report because the adverse consequences of doing so would reasonably be expected </w:t>
      </w:r>
      <w:r w:rsidR="00412D24" w:rsidRPr="001C608D">
        <w:rPr>
          <w:rFonts w:ascii="Arial" w:hAnsi="Arial" w:cs="Arial"/>
          <w:sz w:val="22"/>
          <w:szCs w:val="22"/>
          <w:lang w:val="en-US"/>
        </w:rPr>
        <w:t xml:space="preserve">    t</w:t>
      </w:r>
      <w:r w:rsidRPr="001C608D">
        <w:rPr>
          <w:rFonts w:ascii="Arial" w:hAnsi="Arial" w:cs="Arial"/>
          <w:sz w:val="22"/>
          <w:szCs w:val="22"/>
          <w:lang w:val="en-US"/>
        </w:rPr>
        <w:t>o outweigh the public interest benefits of such communication.</w:t>
      </w:r>
    </w:p>
    <w:p w:rsidR="008648FF" w:rsidRPr="001C608D" w:rsidRDefault="008648FF" w:rsidP="0015492F">
      <w:pPr>
        <w:spacing w:before="120" w:after="120" w:line="380" w:lineRule="exact"/>
        <w:rPr>
          <w:rFonts w:ascii="Arial" w:hAnsi="Arial" w:cs="Arial"/>
          <w:sz w:val="22"/>
          <w:szCs w:val="22"/>
          <w:lang w:val="en-US"/>
        </w:rPr>
      </w:pPr>
      <w:r w:rsidRPr="001C608D">
        <w:rPr>
          <w:rFonts w:ascii="Arial" w:hAnsi="Arial" w:cs="Arial"/>
          <w:sz w:val="22"/>
          <w:szCs w:val="22"/>
          <w:lang w:val="en-US"/>
        </w:rPr>
        <w:t>I am responsible for the audit resulting in this independent auditor’s report.</w:t>
      </w:r>
    </w:p>
    <w:p w:rsidR="00737ABF" w:rsidRPr="001C608D" w:rsidRDefault="00737ABF" w:rsidP="00737ABF">
      <w:pPr>
        <w:pStyle w:val="ps-000-normal"/>
        <w:spacing w:before="1600" w:after="0" w:line="380" w:lineRule="exact"/>
        <w:rPr>
          <w:rFonts w:ascii="Arial" w:hAnsi="Arial" w:cs="Arial"/>
          <w:sz w:val="22"/>
          <w:szCs w:val="22"/>
        </w:rPr>
      </w:pPr>
      <w:r w:rsidRPr="001C608D">
        <w:rPr>
          <w:rFonts w:ascii="Arial" w:hAnsi="Arial" w:cs="Arial"/>
          <w:sz w:val="22"/>
          <w:szCs w:val="22"/>
        </w:rPr>
        <w:t>Sophon Permsirivallop</w:t>
      </w:r>
    </w:p>
    <w:p w:rsidR="00737ABF" w:rsidRPr="001C608D" w:rsidRDefault="00737ABF" w:rsidP="00737ABF">
      <w:pPr>
        <w:pStyle w:val="ps-000-normal"/>
        <w:spacing w:after="0" w:line="380" w:lineRule="exact"/>
        <w:rPr>
          <w:rFonts w:ascii="Arial" w:hAnsi="Arial" w:cs="Arial"/>
          <w:sz w:val="22"/>
          <w:szCs w:val="22"/>
        </w:rPr>
      </w:pPr>
      <w:r w:rsidRPr="001C608D">
        <w:rPr>
          <w:rFonts w:ascii="Arial" w:hAnsi="Arial" w:cs="Arial"/>
          <w:sz w:val="22"/>
          <w:szCs w:val="22"/>
        </w:rPr>
        <w:t>Certified Public Accountant (Thailand) No. 3182</w:t>
      </w:r>
    </w:p>
    <w:p w:rsidR="00737ABF" w:rsidRPr="001C608D" w:rsidRDefault="00737ABF" w:rsidP="00737ABF">
      <w:pPr>
        <w:pStyle w:val="ps-000-normal"/>
        <w:spacing w:before="240" w:after="0" w:line="380" w:lineRule="exact"/>
        <w:rPr>
          <w:rFonts w:ascii="Arial" w:hAnsi="Arial" w:cs="Arial"/>
          <w:sz w:val="22"/>
          <w:szCs w:val="22"/>
        </w:rPr>
      </w:pPr>
      <w:r w:rsidRPr="001C608D">
        <w:rPr>
          <w:rFonts w:ascii="Arial" w:hAnsi="Arial" w:cs="Arial"/>
          <w:sz w:val="22"/>
          <w:szCs w:val="22"/>
        </w:rPr>
        <w:t>EY Office Limited</w:t>
      </w:r>
    </w:p>
    <w:p w:rsidR="00737ABF" w:rsidRPr="00737ABF" w:rsidRDefault="008648FF" w:rsidP="0015492F">
      <w:pPr>
        <w:pStyle w:val="ps-000-normal"/>
        <w:spacing w:after="0" w:line="380" w:lineRule="exact"/>
        <w:rPr>
          <w:rFonts w:ascii="Arial" w:hAnsi="Arial" w:cs="Arial"/>
          <w:sz w:val="22"/>
          <w:szCs w:val="22"/>
        </w:rPr>
      </w:pPr>
      <w:r w:rsidRPr="001C608D">
        <w:rPr>
          <w:rFonts w:ascii="Arial" w:hAnsi="Arial" w:cs="Arial"/>
          <w:sz w:val="22"/>
          <w:szCs w:val="22"/>
        </w:rPr>
        <w:t>Bangkok:</w:t>
      </w:r>
      <w:r w:rsidR="0015492F" w:rsidRPr="001C608D">
        <w:rPr>
          <w:rFonts w:ascii="Arial" w:hAnsi="Arial" w:cstheme="minorBidi"/>
          <w:sz w:val="22"/>
          <w:szCs w:val="22"/>
          <w:cs/>
        </w:rPr>
        <w:t xml:space="preserve"> </w:t>
      </w:r>
      <w:r w:rsidRPr="001C608D">
        <w:rPr>
          <w:rFonts w:ascii="Arial" w:hAnsi="Arial" w:cs="Arial"/>
          <w:sz w:val="22"/>
          <w:szCs w:val="22"/>
        </w:rPr>
        <w:t>28 February 2018</w:t>
      </w:r>
      <w:r w:rsidR="009978AD" w:rsidRPr="001C608D">
        <w:rPr>
          <w:rFonts w:ascii="Arial" w:hAnsi="Arial" w:cs="Arial"/>
          <w:sz w:val="22"/>
          <w:szCs w:val="22"/>
        </w:rPr>
        <w:t xml:space="preserve"> (except for Auditor </w:t>
      </w:r>
      <w:r w:rsidR="00CA3365">
        <w:rPr>
          <w:rFonts w:ascii="Arial" w:hAnsi="Arial" w:cs="Arial"/>
          <w:sz w:val="22"/>
          <w:szCs w:val="22"/>
        </w:rPr>
        <w:t>R</w:t>
      </w:r>
      <w:r w:rsidR="009978AD" w:rsidRPr="001C608D">
        <w:rPr>
          <w:rFonts w:ascii="Arial" w:hAnsi="Arial" w:cs="Arial"/>
          <w:sz w:val="22"/>
          <w:szCs w:val="22"/>
        </w:rPr>
        <w:t>eport paragraph</w:t>
      </w:r>
      <w:r w:rsidR="00CA3365">
        <w:rPr>
          <w:rFonts w:ascii="Arial" w:hAnsi="Arial" w:cs="Arial"/>
          <w:sz w:val="22"/>
          <w:szCs w:val="22"/>
        </w:rPr>
        <w:t>s</w:t>
      </w:r>
      <w:r w:rsidR="009978AD" w:rsidRPr="001C608D">
        <w:rPr>
          <w:rFonts w:ascii="Arial" w:hAnsi="Arial" w:cs="Arial"/>
          <w:sz w:val="22"/>
          <w:szCs w:val="22"/>
        </w:rPr>
        <w:t xml:space="preserve"> 1 and 2 </w:t>
      </w:r>
      <w:r w:rsidR="0077321A" w:rsidRPr="001C608D">
        <w:rPr>
          <w:rFonts w:ascii="Arial" w:hAnsi="Arial" w:cs="Arial"/>
          <w:sz w:val="22"/>
          <w:szCs w:val="22"/>
        </w:rPr>
        <w:t>and</w:t>
      </w:r>
      <w:r w:rsidR="009978AD" w:rsidRPr="001C608D">
        <w:rPr>
          <w:rFonts w:ascii="Arial" w:hAnsi="Arial" w:cs="Arial"/>
          <w:sz w:val="22"/>
          <w:szCs w:val="22"/>
        </w:rPr>
        <w:t xml:space="preserve"> the restatement of </w:t>
      </w:r>
      <w:r w:rsidR="009978AD" w:rsidRPr="001C608D">
        <w:rPr>
          <w:rFonts w:ascii="Arial" w:hAnsi="Arial" w:cs="Arial"/>
          <w:spacing w:val="-3"/>
          <w:sz w:val="22"/>
          <w:szCs w:val="22"/>
        </w:rPr>
        <w:t>statements of financial position</w:t>
      </w:r>
      <w:r w:rsidR="009978AD" w:rsidRPr="001C608D">
        <w:rPr>
          <w:rFonts w:ascii="Arial" w:hAnsi="Arial" w:cs="Arial"/>
          <w:sz w:val="22"/>
          <w:szCs w:val="22"/>
        </w:rPr>
        <w:t>, statements of c</w:t>
      </w:r>
      <w:r w:rsidR="00CA3365">
        <w:rPr>
          <w:rFonts w:ascii="Arial" w:hAnsi="Arial" w:cs="Arial"/>
          <w:sz w:val="22"/>
          <w:szCs w:val="22"/>
        </w:rPr>
        <w:t xml:space="preserve">omprehensive income, changes in </w:t>
      </w:r>
      <w:r w:rsidR="009978AD" w:rsidRPr="001C608D">
        <w:rPr>
          <w:rFonts w:ascii="Arial" w:hAnsi="Arial" w:cs="Arial"/>
          <w:sz w:val="22"/>
          <w:szCs w:val="22"/>
        </w:rPr>
        <w:t xml:space="preserve">shareholders’ equity and cash flows, and </w:t>
      </w:r>
      <w:r w:rsidR="0077321A" w:rsidRPr="001C608D">
        <w:rPr>
          <w:rFonts w:ascii="Arial" w:hAnsi="Arial" w:cs="Arial"/>
          <w:sz w:val="22"/>
          <w:szCs w:val="22"/>
        </w:rPr>
        <w:t>Note</w:t>
      </w:r>
      <w:r w:rsidR="009978AD" w:rsidRPr="001C608D">
        <w:rPr>
          <w:rFonts w:ascii="Arial" w:hAnsi="Arial" w:cs="Arial"/>
          <w:sz w:val="22"/>
          <w:szCs w:val="22"/>
        </w:rPr>
        <w:t xml:space="preserve"> 50</w:t>
      </w:r>
      <w:r w:rsidR="00DD20A7" w:rsidRPr="001C608D">
        <w:rPr>
          <w:rFonts w:ascii="Arial" w:hAnsi="Arial" w:cs="Arial"/>
          <w:sz w:val="22"/>
          <w:szCs w:val="22"/>
        </w:rPr>
        <w:t xml:space="preserve"> to the financial statements</w:t>
      </w:r>
      <w:r w:rsidR="0077321A" w:rsidRPr="001C608D">
        <w:rPr>
          <w:rFonts w:ascii="Arial" w:hAnsi="Arial" w:cs="Arial"/>
          <w:sz w:val="22"/>
          <w:szCs w:val="22"/>
        </w:rPr>
        <w:t xml:space="preserve"> and other notes as related to the revision</w:t>
      </w:r>
      <w:r w:rsidR="009978AD" w:rsidRPr="001C608D">
        <w:rPr>
          <w:rFonts w:ascii="Arial" w:hAnsi="Arial" w:cs="Arial"/>
          <w:sz w:val="22"/>
          <w:szCs w:val="22"/>
        </w:rPr>
        <w:t xml:space="preserve"> which </w:t>
      </w:r>
      <w:r w:rsidR="0077321A" w:rsidRPr="001C608D">
        <w:rPr>
          <w:rFonts w:ascii="Arial" w:hAnsi="Arial" w:cs="Arial"/>
          <w:sz w:val="22"/>
          <w:szCs w:val="22"/>
        </w:rPr>
        <w:t>were</w:t>
      </w:r>
      <w:r w:rsidR="009978AD" w:rsidRPr="001C608D">
        <w:rPr>
          <w:rFonts w:ascii="Arial" w:hAnsi="Arial" w:cs="Arial"/>
          <w:sz w:val="22"/>
          <w:szCs w:val="22"/>
        </w:rPr>
        <w:t xml:space="preserve"> dated</w:t>
      </w:r>
      <w:r w:rsidR="00367BCC" w:rsidRPr="001C608D">
        <w:rPr>
          <w:rFonts w:ascii="Arial" w:hAnsi="Arial" w:cs="Arial"/>
          <w:sz w:val="22"/>
          <w:szCs w:val="22"/>
        </w:rPr>
        <w:t xml:space="preserve"> </w:t>
      </w:r>
      <w:r w:rsidR="0077321A" w:rsidRPr="001C608D">
        <w:rPr>
          <w:rFonts w:ascii="Arial" w:hAnsi="Arial" w:cs="Arial"/>
          <w:sz w:val="22"/>
          <w:szCs w:val="22"/>
        </w:rPr>
        <w:t>31</w:t>
      </w:r>
      <w:r w:rsidR="009978AD" w:rsidRPr="001C608D">
        <w:rPr>
          <w:rFonts w:ascii="Arial" w:hAnsi="Arial" w:cs="Arial"/>
          <w:sz w:val="22"/>
          <w:szCs w:val="22"/>
        </w:rPr>
        <w:t xml:space="preserve"> July 2018)</w:t>
      </w:r>
    </w:p>
    <w:p w:rsidR="00737ABF" w:rsidRPr="00737ABF" w:rsidRDefault="00737ABF" w:rsidP="00737ABF">
      <w:pPr>
        <w:pStyle w:val="ListParagraph"/>
        <w:pBdr>
          <w:top w:val="none" w:sz="4" w:space="0" w:color="auto"/>
          <w:left w:val="none" w:sz="4" w:space="1" w:color="auto"/>
          <w:bottom w:val="none" w:sz="4" w:space="0" w:color="auto"/>
          <w:right w:val="none" w:sz="4" w:space="0" w:color="auto"/>
          <w:between w:val="none" w:sz="4" w:space="0" w:color="auto"/>
          <w:bar w:val="none" w:sz="4" w:color="auto"/>
        </w:pBdr>
        <w:overflowPunct/>
        <w:autoSpaceDE/>
        <w:autoSpaceDN/>
        <w:adjustRightInd/>
        <w:spacing w:before="120" w:after="120" w:line="380" w:lineRule="exact"/>
        <w:ind w:left="900" w:hanging="360"/>
        <w:contextualSpacing w:val="0"/>
        <w:textAlignment w:val="auto"/>
        <w:rPr>
          <w:rFonts w:ascii="Arial" w:eastAsia="Calibri" w:hAnsi="Arial" w:cs="Arial"/>
          <w:sz w:val="22"/>
          <w:szCs w:val="22"/>
          <w:lang w:val="en-US"/>
        </w:rPr>
      </w:pPr>
    </w:p>
    <w:sectPr w:rsidR="00737ABF" w:rsidRPr="00737ABF" w:rsidSect="001239D8">
      <w:footerReference w:type="default" r:id="rId11"/>
      <w:footerReference w:type="first" r:id="rId12"/>
      <w:pgSz w:w="11909" w:h="16834" w:code="9"/>
      <w:pgMar w:top="2160" w:right="1080" w:bottom="1080" w:left="1339" w:header="706" w:footer="706"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394" w:rsidRDefault="00373394" w:rsidP="00A034F7">
      <w:pPr>
        <w:rPr>
          <w:rFonts w:cs="Times New Roman"/>
          <w:szCs w:val="28"/>
          <w:cs/>
        </w:rPr>
      </w:pPr>
      <w:r>
        <w:separator/>
      </w:r>
    </w:p>
  </w:endnote>
  <w:endnote w:type="continuationSeparator" w:id="0">
    <w:p w:rsidR="00373394" w:rsidRDefault="00373394" w:rsidP="00A034F7">
      <w:pPr>
        <w:rPr>
          <w:rFonts w:cs="Times New Roman"/>
          <w:szCs w:val="28"/>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9589438"/>
      <w:docPartObj>
        <w:docPartGallery w:val="Page Numbers (Bottom of Page)"/>
        <w:docPartUnique/>
      </w:docPartObj>
    </w:sdtPr>
    <w:sdtEndPr>
      <w:rPr>
        <w:rFonts w:ascii="Arial" w:hAnsi="Arial" w:cs="Arial"/>
        <w:noProof/>
        <w:sz w:val="22"/>
        <w:szCs w:val="22"/>
      </w:rPr>
    </w:sdtEndPr>
    <w:sdtContent>
      <w:p w:rsidR="0036193A" w:rsidRPr="00BC6F9C" w:rsidRDefault="0036193A" w:rsidP="0036193A">
        <w:pPr>
          <w:pStyle w:val="Footer"/>
          <w:jc w:val="right"/>
          <w:rPr>
            <w:rFonts w:ascii="Arial" w:hAnsi="Arial" w:cs="Arial"/>
            <w:sz w:val="22"/>
            <w:szCs w:val="22"/>
            <w:cs/>
          </w:rPr>
        </w:pPr>
      </w:p>
      <w:p w:rsidR="0007572D" w:rsidRPr="0007572D" w:rsidRDefault="00371414" w:rsidP="0007572D">
        <w:pPr>
          <w:pStyle w:val="Footer"/>
          <w:jc w:val="right"/>
          <w:rPr>
            <w:rFonts w:ascii="Arial" w:hAnsi="Arial" w:cs="Arial"/>
            <w:sz w:val="22"/>
            <w:szCs w:val="22"/>
            <w:cs/>
          </w:rPr>
        </w:pPr>
      </w:p>
    </w:sdtContent>
  </w:sdt>
  <w:p w:rsidR="0007572D" w:rsidRDefault="0007572D">
    <w:pPr>
      <w:pStyle w:val="Footer"/>
      <w:rPr>
        <w:rFonts w:cs="Times New Roman"/>
        <w:szCs w:val="28"/>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B32" w:rsidRPr="00954B32" w:rsidRDefault="00954B32">
    <w:pPr>
      <w:pStyle w:val="Footer"/>
      <w:jc w:val="right"/>
      <w:rPr>
        <w:rFonts w:ascii="Arial" w:hAnsi="Arial" w:cs="Arial"/>
        <w:sz w:val="22"/>
        <w:szCs w:val="22"/>
        <w:cs/>
      </w:rPr>
    </w:pPr>
  </w:p>
  <w:p w:rsidR="0036193A" w:rsidRDefault="0036193A">
    <w:pPr>
      <w:pStyle w:val="Footer"/>
      <w:rPr>
        <w:rFonts w:cs="Times New Roman"/>
        <w:szCs w:val="28"/>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F21" w:rsidRPr="003B2DFD" w:rsidRDefault="00072F21" w:rsidP="003B2DFD">
    <w:pPr>
      <w:pStyle w:val="Footer"/>
      <w:jc w:val="right"/>
      <w:rPr>
        <w:rFonts w:ascii="Arial" w:hAnsi="Arial" w:cs="Arial"/>
        <w:sz w:val="22"/>
        <w:szCs w:val="22"/>
        <w:cs/>
      </w:rPr>
    </w:pPr>
    <w:r w:rsidRPr="003B2DFD">
      <w:rPr>
        <w:rFonts w:ascii="Arial" w:hAnsi="Arial" w:cs="Arial"/>
        <w:sz w:val="22"/>
        <w:szCs w:val="22"/>
      </w:rPr>
      <w:fldChar w:fldCharType="begin"/>
    </w:r>
    <w:r w:rsidRPr="003B2DFD">
      <w:rPr>
        <w:rFonts w:ascii="Arial" w:hAnsi="Arial" w:cs="Arial"/>
        <w:sz w:val="22"/>
        <w:szCs w:val="22"/>
        <w:cs/>
      </w:rPr>
      <w:instrText xml:space="preserve"> PAGE   \* MERGEFORMAT </w:instrText>
    </w:r>
    <w:r w:rsidRPr="003B2DFD">
      <w:rPr>
        <w:rFonts w:ascii="Arial" w:hAnsi="Arial" w:cs="Arial"/>
        <w:sz w:val="22"/>
        <w:szCs w:val="22"/>
      </w:rPr>
      <w:fldChar w:fldCharType="separate"/>
    </w:r>
    <w:r w:rsidR="001239D8" w:rsidRPr="001239D8">
      <w:rPr>
        <w:rFonts w:ascii="Arial" w:hAnsi="Arial" w:cs="Arial"/>
        <w:noProof/>
        <w:sz w:val="22"/>
        <w:szCs w:val="22"/>
        <w:cs/>
      </w:rPr>
      <w:t>2</w:t>
    </w:r>
    <w:r w:rsidRPr="003B2DFD">
      <w:rPr>
        <w:rFonts w:ascii="Arial" w:hAnsi="Arial" w:cs="Arial"/>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9D8" w:rsidRPr="003B2DFD" w:rsidRDefault="001239D8" w:rsidP="003B2DFD">
    <w:pPr>
      <w:pStyle w:val="Footer"/>
      <w:jc w:val="right"/>
      <w:rPr>
        <w:rFonts w:ascii="Arial" w:hAnsi="Arial" w:cs="Arial"/>
        <w:sz w:val="22"/>
        <w:szCs w:val="22"/>
        <w:cs/>
      </w:rPr>
    </w:pPr>
    <w:r w:rsidRPr="003B2DFD">
      <w:rPr>
        <w:rFonts w:ascii="Arial" w:hAnsi="Arial" w:cs="Arial"/>
        <w:sz w:val="22"/>
        <w:szCs w:val="22"/>
      </w:rPr>
      <w:fldChar w:fldCharType="begin"/>
    </w:r>
    <w:r w:rsidRPr="003B2DFD">
      <w:rPr>
        <w:rFonts w:ascii="Arial" w:hAnsi="Arial" w:cs="Arial"/>
        <w:sz w:val="22"/>
        <w:szCs w:val="22"/>
        <w:cs/>
      </w:rPr>
      <w:instrText xml:space="preserve"> PAGE   \* MERGEFORMAT </w:instrText>
    </w:r>
    <w:r w:rsidRPr="003B2DFD">
      <w:rPr>
        <w:rFonts w:ascii="Arial" w:hAnsi="Arial" w:cs="Arial"/>
        <w:sz w:val="22"/>
        <w:szCs w:val="22"/>
      </w:rPr>
      <w:fldChar w:fldCharType="separate"/>
    </w:r>
    <w:r w:rsidR="00371414" w:rsidRPr="00371414">
      <w:rPr>
        <w:rFonts w:ascii="Arial" w:hAnsi="Arial" w:cs="Arial"/>
        <w:noProof/>
        <w:sz w:val="22"/>
        <w:szCs w:val="22"/>
        <w:cs/>
      </w:rPr>
      <w:t>22</w:t>
    </w:r>
    <w:r w:rsidRPr="003B2DFD">
      <w:rPr>
        <w:rFonts w:ascii="Arial" w:hAnsi="Arial" w:cs="Arial"/>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1320752"/>
      <w:docPartObj>
        <w:docPartGallery w:val="Page Numbers (Bottom of Page)"/>
        <w:docPartUnique/>
      </w:docPartObj>
    </w:sdtPr>
    <w:sdtEndPr>
      <w:rPr>
        <w:rFonts w:ascii="Arial" w:hAnsi="Arial" w:cs="Arial"/>
        <w:noProof/>
        <w:sz w:val="22"/>
        <w:szCs w:val="22"/>
      </w:rPr>
    </w:sdtEndPr>
    <w:sdtContent>
      <w:p w:rsidR="00065963" w:rsidRPr="00954B32" w:rsidRDefault="00065963">
        <w:pPr>
          <w:pStyle w:val="Footer"/>
          <w:jc w:val="right"/>
          <w:rPr>
            <w:rFonts w:ascii="Arial" w:hAnsi="Arial" w:cs="Arial"/>
            <w:sz w:val="22"/>
            <w:szCs w:val="22"/>
            <w:cs/>
          </w:rPr>
        </w:pPr>
        <w:r w:rsidRPr="00954B32">
          <w:rPr>
            <w:rFonts w:ascii="Arial" w:hAnsi="Arial" w:cs="Arial"/>
            <w:sz w:val="22"/>
            <w:szCs w:val="22"/>
          </w:rPr>
          <w:fldChar w:fldCharType="begin"/>
        </w:r>
        <w:r w:rsidRPr="00954B32">
          <w:rPr>
            <w:rFonts w:ascii="Arial" w:hAnsi="Arial" w:cs="Arial"/>
            <w:sz w:val="22"/>
            <w:szCs w:val="22"/>
            <w:cs/>
          </w:rPr>
          <w:instrText xml:space="preserve"> PAGE   \* MERGEFORMAT </w:instrText>
        </w:r>
        <w:r w:rsidRPr="00954B32">
          <w:rPr>
            <w:rFonts w:ascii="Arial" w:hAnsi="Arial" w:cs="Arial"/>
            <w:sz w:val="22"/>
            <w:szCs w:val="22"/>
          </w:rPr>
          <w:fldChar w:fldCharType="separate"/>
        </w:r>
        <w:r w:rsidR="00D56EF6" w:rsidRPr="00D56EF6">
          <w:rPr>
            <w:rFonts w:ascii="Arial" w:hAnsi="Arial" w:cs="Arial"/>
            <w:noProof/>
            <w:sz w:val="22"/>
            <w:szCs w:val="22"/>
            <w:cs/>
          </w:rPr>
          <w:t>2</w:t>
        </w:r>
        <w:r w:rsidRPr="00954B32">
          <w:rPr>
            <w:rFonts w:ascii="Arial" w:hAnsi="Arial" w:cs="Arial"/>
            <w:noProof/>
            <w:sz w:val="22"/>
            <w:szCs w:val="22"/>
          </w:rPr>
          <w:fldChar w:fldCharType="end"/>
        </w:r>
      </w:p>
    </w:sdtContent>
  </w:sdt>
  <w:p w:rsidR="00065963" w:rsidRDefault="00065963">
    <w:pPr>
      <w:pStyle w:val="Footer"/>
      <w:rPr>
        <w:rFonts w:cs="Times New Roman"/>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394" w:rsidRDefault="00373394" w:rsidP="00A034F7">
      <w:pPr>
        <w:rPr>
          <w:rFonts w:cs="Times New Roman"/>
          <w:szCs w:val="28"/>
          <w:cs/>
        </w:rPr>
      </w:pPr>
      <w:r>
        <w:separator/>
      </w:r>
    </w:p>
  </w:footnote>
  <w:footnote w:type="continuationSeparator" w:id="0">
    <w:p w:rsidR="00373394" w:rsidRDefault="00373394" w:rsidP="00A034F7">
      <w:pPr>
        <w:rPr>
          <w:rFonts w:cs="Times New Roman"/>
          <w:szCs w:val="28"/>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64B57"/>
    <w:multiLevelType w:val="hybridMultilevel"/>
    <w:tmpl w:val="00B68FFE"/>
    <w:lvl w:ilvl="0" w:tplc="9202E31E">
      <w:start w:val="1"/>
      <w:numFmt w:val="lowerLetter"/>
      <w:lvlText w:val="(%1)"/>
      <w:lvlJc w:val="left"/>
      <w:pPr>
        <w:ind w:left="900" w:hanging="360"/>
      </w:pPr>
      <w:rPr>
        <w:color w:val="auto"/>
      </w:rPr>
    </w:lvl>
    <w:lvl w:ilvl="1" w:tplc="73CE3292">
      <w:start w:val="2"/>
      <w:numFmt w:val="bullet"/>
      <w:lvlText w:val="-"/>
      <w:lvlJc w:val="left"/>
      <w:pPr>
        <w:ind w:left="1170" w:hanging="360"/>
      </w:pPr>
      <w:rPr>
        <w:rFonts w:ascii="Arial" w:eastAsia="Calibri" w:hAnsi="Arial" w:cs="Arial"/>
      </w:rPr>
    </w:lvl>
    <w:lvl w:ilvl="2" w:tplc="610ECC12">
      <w:start w:val="1"/>
      <w:numFmt w:val="lowerRoman"/>
      <w:lvlText w:val="%3."/>
      <w:lvlJc w:val="right"/>
      <w:pPr>
        <w:ind w:left="2340" w:hanging="180"/>
      </w:pPr>
    </w:lvl>
    <w:lvl w:ilvl="3" w:tplc="80244AD0">
      <w:start w:val="1"/>
      <w:numFmt w:val="decimal"/>
      <w:lvlText w:val="%4."/>
      <w:lvlJc w:val="left"/>
      <w:pPr>
        <w:ind w:left="3060" w:hanging="360"/>
      </w:pPr>
    </w:lvl>
    <w:lvl w:ilvl="4" w:tplc="875AF33E">
      <w:start w:val="1"/>
      <w:numFmt w:val="lowerLetter"/>
      <w:lvlText w:val="%5."/>
      <w:lvlJc w:val="left"/>
      <w:pPr>
        <w:ind w:left="3780" w:hanging="360"/>
      </w:pPr>
    </w:lvl>
    <w:lvl w:ilvl="5" w:tplc="15445AD4">
      <w:start w:val="1"/>
      <w:numFmt w:val="lowerRoman"/>
      <w:lvlText w:val="%6."/>
      <w:lvlJc w:val="right"/>
      <w:pPr>
        <w:ind w:left="4500" w:hanging="180"/>
      </w:pPr>
    </w:lvl>
    <w:lvl w:ilvl="6" w:tplc="078AB64E">
      <w:start w:val="1"/>
      <w:numFmt w:val="decimal"/>
      <w:lvlText w:val="%7."/>
      <w:lvlJc w:val="left"/>
      <w:pPr>
        <w:ind w:left="5220" w:hanging="360"/>
      </w:pPr>
    </w:lvl>
    <w:lvl w:ilvl="7" w:tplc="7526B1A0">
      <w:start w:val="1"/>
      <w:numFmt w:val="lowerLetter"/>
      <w:lvlText w:val="%8."/>
      <w:lvlJc w:val="left"/>
      <w:pPr>
        <w:ind w:left="5940" w:hanging="360"/>
      </w:pPr>
    </w:lvl>
    <w:lvl w:ilvl="8" w:tplc="C39CDE2A">
      <w:start w:val="1"/>
      <w:numFmt w:val="lowerRoman"/>
      <w:lvlText w:val="%9."/>
      <w:lvlJc w:val="right"/>
      <w:pPr>
        <w:ind w:left="6660" w:hanging="180"/>
      </w:pPr>
    </w:lvl>
  </w:abstractNum>
  <w:abstractNum w:abstractNumId="1" w15:restartNumberingAfterBreak="0">
    <w:nsid w:val="0A0E7DB3"/>
    <w:multiLevelType w:val="multilevel"/>
    <w:tmpl w:val="2404FCF0"/>
    <w:lvl w:ilvl="0">
      <w:start w:val="4"/>
      <w:numFmt w:val="decimal"/>
      <w:lvlText w:val="%1."/>
      <w:lvlJc w:val="left"/>
      <w:pPr>
        <w:ind w:left="360" w:hanging="360"/>
      </w:pPr>
      <w:rPr>
        <w:rFonts w:cstheme="minorBidi" w:hint="default"/>
      </w:rPr>
    </w:lvl>
    <w:lvl w:ilvl="1">
      <w:start w:val="1"/>
      <w:numFmt w:val="decimal"/>
      <w:lvlText w:val="%1.%2)"/>
      <w:lvlJc w:val="left"/>
      <w:pPr>
        <w:ind w:left="1620" w:hanging="720"/>
      </w:pPr>
      <w:rPr>
        <w:rFonts w:cstheme="minorBidi" w:hint="default"/>
      </w:rPr>
    </w:lvl>
    <w:lvl w:ilvl="2">
      <w:start w:val="1"/>
      <w:numFmt w:val="decimal"/>
      <w:lvlText w:val="%1.%2)%3."/>
      <w:lvlJc w:val="left"/>
      <w:pPr>
        <w:ind w:left="2520" w:hanging="720"/>
      </w:pPr>
      <w:rPr>
        <w:rFonts w:cstheme="minorBidi" w:hint="default"/>
      </w:rPr>
    </w:lvl>
    <w:lvl w:ilvl="3">
      <w:start w:val="1"/>
      <w:numFmt w:val="decimal"/>
      <w:lvlText w:val="%1.%2)%3.%4."/>
      <w:lvlJc w:val="left"/>
      <w:pPr>
        <w:ind w:left="3780" w:hanging="1080"/>
      </w:pPr>
      <w:rPr>
        <w:rFonts w:cstheme="minorBidi" w:hint="default"/>
      </w:rPr>
    </w:lvl>
    <w:lvl w:ilvl="4">
      <w:start w:val="1"/>
      <w:numFmt w:val="decimal"/>
      <w:lvlText w:val="%1.%2)%3.%4.%5."/>
      <w:lvlJc w:val="left"/>
      <w:pPr>
        <w:ind w:left="4680" w:hanging="1080"/>
      </w:pPr>
      <w:rPr>
        <w:rFonts w:cstheme="minorBidi" w:hint="default"/>
      </w:rPr>
    </w:lvl>
    <w:lvl w:ilvl="5">
      <w:start w:val="1"/>
      <w:numFmt w:val="decimal"/>
      <w:lvlText w:val="%1.%2)%3.%4.%5.%6."/>
      <w:lvlJc w:val="left"/>
      <w:pPr>
        <w:ind w:left="5940" w:hanging="1440"/>
      </w:pPr>
      <w:rPr>
        <w:rFonts w:cstheme="minorBidi" w:hint="default"/>
      </w:rPr>
    </w:lvl>
    <w:lvl w:ilvl="6">
      <w:start w:val="1"/>
      <w:numFmt w:val="decimal"/>
      <w:lvlText w:val="%1.%2)%3.%4.%5.%6.%7."/>
      <w:lvlJc w:val="left"/>
      <w:pPr>
        <w:ind w:left="6840" w:hanging="1440"/>
      </w:pPr>
      <w:rPr>
        <w:rFonts w:cstheme="minorBidi" w:hint="default"/>
      </w:rPr>
    </w:lvl>
    <w:lvl w:ilvl="7">
      <w:start w:val="1"/>
      <w:numFmt w:val="decimal"/>
      <w:lvlText w:val="%1.%2)%3.%4.%5.%6.%7.%8."/>
      <w:lvlJc w:val="left"/>
      <w:pPr>
        <w:ind w:left="8100" w:hanging="1800"/>
      </w:pPr>
      <w:rPr>
        <w:rFonts w:cstheme="minorBidi" w:hint="default"/>
      </w:rPr>
    </w:lvl>
    <w:lvl w:ilvl="8">
      <w:start w:val="1"/>
      <w:numFmt w:val="decimal"/>
      <w:lvlText w:val="%1.%2)%3.%4.%5.%6.%7.%8.%9."/>
      <w:lvlJc w:val="left"/>
      <w:pPr>
        <w:ind w:left="9000" w:hanging="1800"/>
      </w:pPr>
      <w:rPr>
        <w:rFonts w:cstheme="minorBidi" w:hint="default"/>
      </w:rPr>
    </w:lvl>
  </w:abstractNum>
  <w:abstractNum w:abstractNumId="2" w15:restartNumberingAfterBreak="0">
    <w:nsid w:val="0EF205FA"/>
    <w:multiLevelType w:val="hybridMultilevel"/>
    <w:tmpl w:val="F43E840C"/>
    <w:lvl w:ilvl="0" w:tplc="4DA89354">
      <w:start w:val="1"/>
      <w:numFmt w:val="decimal"/>
      <w:lvlText w:val="%1."/>
      <w:lvlJc w:val="left"/>
      <w:pPr>
        <w:ind w:left="-180" w:hanging="360"/>
      </w:pPr>
      <w:rPr>
        <w:rFonts w:cs="Cordia New" w:hint="default"/>
        <w:color w:val="000000" w:themeColor="text1"/>
        <w:sz w:val="24"/>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 w15:restartNumberingAfterBreak="0">
    <w:nsid w:val="14B64060"/>
    <w:multiLevelType w:val="multilevel"/>
    <w:tmpl w:val="E36E7284"/>
    <w:lvl w:ilvl="0">
      <w:start w:val="1"/>
      <w:numFmt w:val="decimal"/>
      <w:lvlText w:val="%1."/>
      <w:lvlJc w:val="left"/>
      <w:pPr>
        <w:ind w:left="720" w:hanging="360"/>
      </w:pPr>
      <w:rPr>
        <w:rFonts w:cstheme="minorBid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0C3147"/>
    <w:multiLevelType w:val="hybridMultilevel"/>
    <w:tmpl w:val="4838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1A632C"/>
    <w:multiLevelType w:val="multilevel"/>
    <w:tmpl w:val="B8D08084"/>
    <w:lvl w:ilvl="0">
      <w:start w:val="4"/>
      <w:numFmt w:val="decimal"/>
      <w:lvlText w:val="%1."/>
      <w:lvlJc w:val="left"/>
      <w:pPr>
        <w:ind w:left="900" w:hanging="360"/>
      </w:pPr>
      <w:rPr>
        <w:rFonts w:cstheme="minorBidi" w:hint="default"/>
      </w:rPr>
    </w:lvl>
    <w:lvl w:ilvl="1">
      <w:start w:val="1"/>
      <w:numFmt w:val="decimal"/>
      <w:lvlText w:val="%1.%2)"/>
      <w:lvlJc w:val="left"/>
      <w:pPr>
        <w:ind w:left="1620" w:hanging="720"/>
      </w:pPr>
      <w:rPr>
        <w:rFonts w:cstheme="minorBidi" w:hint="default"/>
      </w:rPr>
    </w:lvl>
    <w:lvl w:ilvl="2">
      <w:start w:val="1"/>
      <w:numFmt w:val="decimal"/>
      <w:lvlText w:val="%1.%2)%3."/>
      <w:lvlJc w:val="left"/>
      <w:pPr>
        <w:ind w:left="1980" w:hanging="720"/>
      </w:pPr>
      <w:rPr>
        <w:rFonts w:cstheme="minorBidi" w:hint="default"/>
      </w:rPr>
    </w:lvl>
    <w:lvl w:ilvl="3">
      <w:start w:val="1"/>
      <w:numFmt w:val="decimal"/>
      <w:lvlText w:val="%1.%2)%3.%4."/>
      <w:lvlJc w:val="left"/>
      <w:pPr>
        <w:ind w:left="2700" w:hanging="1080"/>
      </w:pPr>
      <w:rPr>
        <w:rFonts w:cstheme="minorBidi" w:hint="default"/>
      </w:rPr>
    </w:lvl>
    <w:lvl w:ilvl="4">
      <w:start w:val="1"/>
      <w:numFmt w:val="decimal"/>
      <w:lvlText w:val="%1.%2)%3.%4.%5."/>
      <w:lvlJc w:val="left"/>
      <w:pPr>
        <w:ind w:left="3060" w:hanging="1080"/>
      </w:pPr>
      <w:rPr>
        <w:rFonts w:cstheme="minorBidi" w:hint="default"/>
      </w:rPr>
    </w:lvl>
    <w:lvl w:ilvl="5">
      <w:start w:val="1"/>
      <w:numFmt w:val="decimal"/>
      <w:lvlText w:val="%1.%2)%3.%4.%5.%6."/>
      <w:lvlJc w:val="left"/>
      <w:pPr>
        <w:ind w:left="3780" w:hanging="1440"/>
      </w:pPr>
      <w:rPr>
        <w:rFonts w:cstheme="minorBidi" w:hint="default"/>
      </w:rPr>
    </w:lvl>
    <w:lvl w:ilvl="6">
      <w:start w:val="1"/>
      <w:numFmt w:val="decimal"/>
      <w:lvlText w:val="%1.%2)%3.%4.%5.%6.%7."/>
      <w:lvlJc w:val="left"/>
      <w:pPr>
        <w:ind w:left="4140" w:hanging="1440"/>
      </w:pPr>
      <w:rPr>
        <w:rFonts w:cstheme="minorBidi" w:hint="default"/>
      </w:rPr>
    </w:lvl>
    <w:lvl w:ilvl="7">
      <w:start w:val="1"/>
      <w:numFmt w:val="decimal"/>
      <w:lvlText w:val="%1.%2)%3.%4.%5.%6.%7.%8."/>
      <w:lvlJc w:val="left"/>
      <w:pPr>
        <w:ind w:left="4860" w:hanging="1800"/>
      </w:pPr>
      <w:rPr>
        <w:rFonts w:cstheme="minorBidi" w:hint="default"/>
      </w:rPr>
    </w:lvl>
    <w:lvl w:ilvl="8">
      <w:start w:val="1"/>
      <w:numFmt w:val="decimal"/>
      <w:lvlText w:val="%1.%2)%3.%4.%5.%6.%7.%8.%9."/>
      <w:lvlJc w:val="left"/>
      <w:pPr>
        <w:ind w:left="5220" w:hanging="1800"/>
      </w:pPr>
      <w:rPr>
        <w:rFonts w:cstheme="minorBidi" w:hint="default"/>
      </w:rPr>
    </w:lvl>
  </w:abstractNum>
  <w:abstractNum w:abstractNumId="6" w15:restartNumberingAfterBreak="0">
    <w:nsid w:val="34E4523C"/>
    <w:multiLevelType w:val="hybridMultilevel"/>
    <w:tmpl w:val="26D4FFA2"/>
    <w:lvl w:ilvl="0" w:tplc="6F8AA50E">
      <w:start w:val="1"/>
      <w:numFmt w:val="lowerLetter"/>
      <w:lvlText w:val="(%1)"/>
      <w:lvlJc w:val="left"/>
      <w:pPr>
        <w:ind w:left="900" w:hanging="360"/>
      </w:pPr>
      <w:rPr>
        <w:rFonts w:hint="default"/>
      </w:rPr>
    </w:lvl>
    <w:lvl w:ilvl="1" w:tplc="B00411A0">
      <w:start w:val="2"/>
      <w:numFmt w:val="bullet"/>
      <w:lvlText w:val="-"/>
      <w:lvlJc w:val="left"/>
      <w:pPr>
        <w:ind w:left="1620" w:hanging="360"/>
      </w:pPr>
      <w:rPr>
        <w:rFonts w:ascii="Arial" w:eastAsia="Calibri" w:hAnsi="Arial" w:cs="Arial"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5C72737"/>
    <w:multiLevelType w:val="hybridMultilevel"/>
    <w:tmpl w:val="57CCBF36"/>
    <w:lvl w:ilvl="0" w:tplc="010A5E4E">
      <w:start w:val="1"/>
      <w:numFmt w:val="lowerLetter"/>
      <w:lvlText w:val="(%1)"/>
      <w:lvlJc w:val="left"/>
      <w:pPr>
        <w:ind w:left="900" w:hanging="360"/>
      </w:pPr>
      <w:rPr>
        <w:rFonts w:hint="default"/>
        <w:color w:val="auto"/>
      </w:rPr>
    </w:lvl>
    <w:lvl w:ilvl="1" w:tplc="B00411A0">
      <w:start w:val="2"/>
      <w:numFmt w:val="bullet"/>
      <w:lvlText w:val="-"/>
      <w:lvlJc w:val="left"/>
      <w:pPr>
        <w:ind w:left="1620" w:hanging="360"/>
      </w:pPr>
      <w:rPr>
        <w:rFonts w:ascii="Arial" w:eastAsia="Calibri" w:hAnsi="Arial" w:cs="Arial"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615422DA"/>
    <w:multiLevelType w:val="multilevel"/>
    <w:tmpl w:val="79D2D36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622D1205"/>
    <w:multiLevelType w:val="multilevel"/>
    <w:tmpl w:val="4EAE0392"/>
    <w:lvl w:ilvl="0">
      <w:start w:val="3"/>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AD535FA"/>
    <w:multiLevelType w:val="hybridMultilevel"/>
    <w:tmpl w:val="1FBA7510"/>
    <w:lvl w:ilvl="0" w:tplc="884C3F7C">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B31234"/>
    <w:multiLevelType w:val="hybridMultilevel"/>
    <w:tmpl w:val="E5547CD8"/>
    <w:lvl w:ilvl="0" w:tplc="09E4B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D0658E"/>
    <w:multiLevelType w:val="multilevel"/>
    <w:tmpl w:val="ADF28FF4"/>
    <w:lvl w:ilvl="0">
      <w:start w:val="3"/>
      <w:numFmt w:val="decimal"/>
      <w:lvlText w:val="%1."/>
      <w:lvlJc w:val="left"/>
      <w:pPr>
        <w:ind w:left="372" w:hanging="372"/>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4" w15:restartNumberingAfterBreak="0">
    <w:nsid w:val="7D04644A"/>
    <w:multiLevelType w:val="hybridMultilevel"/>
    <w:tmpl w:val="63B0E468"/>
    <w:lvl w:ilvl="0" w:tplc="ACD6123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2"/>
  </w:num>
  <w:num w:numId="3">
    <w:abstractNumId w:val="7"/>
  </w:num>
  <w:num w:numId="4">
    <w:abstractNumId w:val="6"/>
  </w:num>
  <w:num w:numId="5">
    <w:abstractNumId w:val="12"/>
  </w:num>
  <w:num w:numId="6">
    <w:abstractNumId w:val="10"/>
  </w:num>
  <w:num w:numId="7">
    <w:abstractNumId w:val="3"/>
  </w:num>
  <w:num w:numId="8">
    <w:abstractNumId w:val="5"/>
  </w:num>
  <w:num w:numId="9">
    <w:abstractNumId w:val="1"/>
  </w:num>
  <w:num w:numId="10">
    <w:abstractNumId w:val="13"/>
  </w:num>
  <w:num w:numId="11">
    <w:abstractNumId w:val="4"/>
  </w:num>
  <w:num w:numId="12">
    <w:abstractNumId w:val="8"/>
  </w:num>
  <w:num w:numId="13">
    <w:abstractNumId w:val="0"/>
  </w:num>
  <w:num w:numId="14">
    <w:abstractNumId w:val="9"/>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83D"/>
    <w:rsid w:val="00003F09"/>
    <w:rsid w:val="000161C4"/>
    <w:rsid w:val="00017382"/>
    <w:rsid w:val="00032B03"/>
    <w:rsid w:val="000330F9"/>
    <w:rsid w:val="00041C87"/>
    <w:rsid w:val="00044E4C"/>
    <w:rsid w:val="000537E0"/>
    <w:rsid w:val="00054C8C"/>
    <w:rsid w:val="0005728C"/>
    <w:rsid w:val="00065963"/>
    <w:rsid w:val="00070248"/>
    <w:rsid w:val="00072DD7"/>
    <w:rsid w:val="00072F21"/>
    <w:rsid w:val="0007383D"/>
    <w:rsid w:val="00074928"/>
    <w:rsid w:val="00074ECA"/>
    <w:rsid w:val="0007572D"/>
    <w:rsid w:val="000904CB"/>
    <w:rsid w:val="0009492D"/>
    <w:rsid w:val="00097F5D"/>
    <w:rsid w:val="000A2B61"/>
    <w:rsid w:val="000A3DDD"/>
    <w:rsid w:val="000A77C1"/>
    <w:rsid w:val="000B2F0C"/>
    <w:rsid w:val="000B3215"/>
    <w:rsid w:val="000B321F"/>
    <w:rsid w:val="000C71FC"/>
    <w:rsid w:val="000C7D30"/>
    <w:rsid w:val="000D15CB"/>
    <w:rsid w:val="00103873"/>
    <w:rsid w:val="0010736D"/>
    <w:rsid w:val="0011480F"/>
    <w:rsid w:val="00122963"/>
    <w:rsid w:val="001239D8"/>
    <w:rsid w:val="00133449"/>
    <w:rsid w:val="00135F98"/>
    <w:rsid w:val="001363D3"/>
    <w:rsid w:val="00143BBD"/>
    <w:rsid w:val="0015140C"/>
    <w:rsid w:val="0015492F"/>
    <w:rsid w:val="001619D5"/>
    <w:rsid w:val="00177BAD"/>
    <w:rsid w:val="0019108A"/>
    <w:rsid w:val="001A5683"/>
    <w:rsid w:val="001B2D1E"/>
    <w:rsid w:val="001B5471"/>
    <w:rsid w:val="001B5F4B"/>
    <w:rsid w:val="001B5F95"/>
    <w:rsid w:val="001B724D"/>
    <w:rsid w:val="001C04E2"/>
    <w:rsid w:val="001C0760"/>
    <w:rsid w:val="001C608D"/>
    <w:rsid w:val="001C6A13"/>
    <w:rsid w:val="001C7EDE"/>
    <w:rsid w:val="001D3CC9"/>
    <w:rsid w:val="001D4430"/>
    <w:rsid w:val="001D7C19"/>
    <w:rsid w:val="001F40AC"/>
    <w:rsid w:val="0020776F"/>
    <w:rsid w:val="00211565"/>
    <w:rsid w:val="00224725"/>
    <w:rsid w:val="00231A3F"/>
    <w:rsid w:val="00232A51"/>
    <w:rsid w:val="00234554"/>
    <w:rsid w:val="00245554"/>
    <w:rsid w:val="00254BBC"/>
    <w:rsid w:val="00255C69"/>
    <w:rsid w:val="0026290F"/>
    <w:rsid w:val="00262DC4"/>
    <w:rsid w:val="00265E0D"/>
    <w:rsid w:val="00272DE6"/>
    <w:rsid w:val="002730D8"/>
    <w:rsid w:val="002758BC"/>
    <w:rsid w:val="00283F8B"/>
    <w:rsid w:val="00284B4C"/>
    <w:rsid w:val="002950EE"/>
    <w:rsid w:val="002A1BEF"/>
    <w:rsid w:val="002A5FB0"/>
    <w:rsid w:val="002B4095"/>
    <w:rsid w:val="002B4F4C"/>
    <w:rsid w:val="002C0B36"/>
    <w:rsid w:val="002D731D"/>
    <w:rsid w:val="002E05EE"/>
    <w:rsid w:val="002E4D63"/>
    <w:rsid w:val="002E7AEB"/>
    <w:rsid w:val="002F7D62"/>
    <w:rsid w:val="0030339B"/>
    <w:rsid w:val="00306930"/>
    <w:rsid w:val="00310495"/>
    <w:rsid w:val="003129FD"/>
    <w:rsid w:val="003201D9"/>
    <w:rsid w:val="00323179"/>
    <w:rsid w:val="00330F8D"/>
    <w:rsid w:val="00337952"/>
    <w:rsid w:val="00342ADB"/>
    <w:rsid w:val="0034757A"/>
    <w:rsid w:val="00350DAF"/>
    <w:rsid w:val="003537AE"/>
    <w:rsid w:val="00355B7A"/>
    <w:rsid w:val="0036193A"/>
    <w:rsid w:val="00365FD2"/>
    <w:rsid w:val="00367BCC"/>
    <w:rsid w:val="00371414"/>
    <w:rsid w:val="00373394"/>
    <w:rsid w:val="00376D5B"/>
    <w:rsid w:val="00381A87"/>
    <w:rsid w:val="00392000"/>
    <w:rsid w:val="0039209C"/>
    <w:rsid w:val="00394A4C"/>
    <w:rsid w:val="003A54D2"/>
    <w:rsid w:val="003B5BDC"/>
    <w:rsid w:val="003C277E"/>
    <w:rsid w:val="003C5C81"/>
    <w:rsid w:val="003C7969"/>
    <w:rsid w:val="003D1514"/>
    <w:rsid w:val="003D34FC"/>
    <w:rsid w:val="003D5E00"/>
    <w:rsid w:val="003E327B"/>
    <w:rsid w:val="003E3CE5"/>
    <w:rsid w:val="003E5023"/>
    <w:rsid w:val="003E7832"/>
    <w:rsid w:val="003E79CD"/>
    <w:rsid w:val="00412D24"/>
    <w:rsid w:val="0042099A"/>
    <w:rsid w:val="004255AE"/>
    <w:rsid w:val="0042637B"/>
    <w:rsid w:val="0044420A"/>
    <w:rsid w:val="0044484E"/>
    <w:rsid w:val="00453329"/>
    <w:rsid w:val="00455A15"/>
    <w:rsid w:val="00461B7E"/>
    <w:rsid w:val="00464204"/>
    <w:rsid w:val="004677CF"/>
    <w:rsid w:val="004709DF"/>
    <w:rsid w:val="00482F67"/>
    <w:rsid w:val="004A23EA"/>
    <w:rsid w:val="004A3E25"/>
    <w:rsid w:val="004B6274"/>
    <w:rsid w:val="004B685C"/>
    <w:rsid w:val="004E3814"/>
    <w:rsid w:val="004E3A79"/>
    <w:rsid w:val="004E6D8D"/>
    <w:rsid w:val="004F2276"/>
    <w:rsid w:val="005057F3"/>
    <w:rsid w:val="00513E40"/>
    <w:rsid w:val="0051470B"/>
    <w:rsid w:val="005147BD"/>
    <w:rsid w:val="00515149"/>
    <w:rsid w:val="00553270"/>
    <w:rsid w:val="00557F3F"/>
    <w:rsid w:val="00563D1C"/>
    <w:rsid w:val="00564DAD"/>
    <w:rsid w:val="00572125"/>
    <w:rsid w:val="0057648C"/>
    <w:rsid w:val="005836A4"/>
    <w:rsid w:val="005942C2"/>
    <w:rsid w:val="005A016A"/>
    <w:rsid w:val="005A4D83"/>
    <w:rsid w:val="005A5C60"/>
    <w:rsid w:val="005B2454"/>
    <w:rsid w:val="005C0057"/>
    <w:rsid w:val="005D25E2"/>
    <w:rsid w:val="005D5EA3"/>
    <w:rsid w:val="005E1850"/>
    <w:rsid w:val="005E1FFD"/>
    <w:rsid w:val="005E4023"/>
    <w:rsid w:val="005E4DEE"/>
    <w:rsid w:val="005E78BB"/>
    <w:rsid w:val="00613FBA"/>
    <w:rsid w:val="006211A1"/>
    <w:rsid w:val="00626C53"/>
    <w:rsid w:val="00626EE8"/>
    <w:rsid w:val="00634BC2"/>
    <w:rsid w:val="00637438"/>
    <w:rsid w:val="00641B28"/>
    <w:rsid w:val="00646021"/>
    <w:rsid w:val="006516D2"/>
    <w:rsid w:val="00652AD3"/>
    <w:rsid w:val="0066201C"/>
    <w:rsid w:val="00670D0C"/>
    <w:rsid w:val="00671039"/>
    <w:rsid w:val="00672FD4"/>
    <w:rsid w:val="00673EFC"/>
    <w:rsid w:val="00681045"/>
    <w:rsid w:val="0068308B"/>
    <w:rsid w:val="006842C5"/>
    <w:rsid w:val="0069245E"/>
    <w:rsid w:val="0069329C"/>
    <w:rsid w:val="006A4F65"/>
    <w:rsid w:val="006A57FE"/>
    <w:rsid w:val="006A5C4E"/>
    <w:rsid w:val="006B1D3F"/>
    <w:rsid w:val="006C012A"/>
    <w:rsid w:val="006C0A2D"/>
    <w:rsid w:val="006C257A"/>
    <w:rsid w:val="006C5109"/>
    <w:rsid w:val="006C7306"/>
    <w:rsid w:val="006D1135"/>
    <w:rsid w:val="006D2033"/>
    <w:rsid w:val="006D4435"/>
    <w:rsid w:val="006E53DB"/>
    <w:rsid w:val="006E71C7"/>
    <w:rsid w:val="006F0076"/>
    <w:rsid w:val="006F2601"/>
    <w:rsid w:val="006F75B1"/>
    <w:rsid w:val="006F7786"/>
    <w:rsid w:val="00700E9B"/>
    <w:rsid w:val="00710B80"/>
    <w:rsid w:val="00712ACF"/>
    <w:rsid w:val="007272D1"/>
    <w:rsid w:val="007329A2"/>
    <w:rsid w:val="00737875"/>
    <w:rsid w:val="00737ABF"/>
    <w:rsid w:val="0074042A"/>
    <w:rsid w:val="00741B64"/>
    <w:rsid w:val="007447BF"/>
    <w:rsid w:val="00745EEF"/>
    <w:rsid w:val="00746590"/>
    <w:rsid w:val="00750B1E"/>
    <w:rsid w:val="00757115"/>
    <w:rsid w:val="007571A2"/>
    <w:rsid w:val="00765BC8"/>
    <w:rsid w:val="0077321A"/>
    <w:rsid w:val="00775358"/>
    <w:rsid w:val="00777C5F"/>
    <w:rsid w:val="00783ED4"/>
    <w:rsid w:val="0078695D"/>
    <w:rsid w:val="00793822"/>
    <w:rsid w:val="00794D63"/>
    <w:rsid w:val="007A03CF"/>
    <w:rsid w:val="007B4CB1"/>
    <w:rsid w:val="007B6093"/>
    <w:rsid w:val="007C53C2"/>
    <w:rsid w:val="007C62DA"/>
    <w:rsid w:val="007D3622"/>
    <w:rsid w:val="007D6A73"/>
    <w:rsid w:val="007E5DDB"/>
    <w:rsid w:val="007F213A"/>
    <w:rsid w:val="007F21B7"/>
    <w:rsid w:val="00810167"/>
    <w:rsid w:val="00814A7C"/>
    <w:rsid w:val="00815750"/>
    <w:rsid w:val="00817648"/>
    <w:rsid w:val="00833822"/>
    <w:rsid w:val="008417B0"/>
    <w:rsid w:val="00841D41"/>
    <w:rsid w:val="008609C0"/>
    <w:rsid w:val="008648FF"/>
    <w:rsid w:val="00880750"/>
    <w:rsid w:val="00890992"/>
    <w:rsid w:val="00892E64"/>
    <w:rsid w:val="008A09EC"/>
    <w:rsid w:val="008A562E"/>
    <w:rsid w:val="008B20B0"/>
    <w:rsid w:val="008B2620"/>
    <w:rsid w:val="008B5EB1"/>
    <w:rsid w:val="008D4809"/>
    <w:rsid w:val="008D791B"/>
    <w:rsid w:val="008E1DB0"/>
    <w:rsid w:val="008E2001"/>
    <w:rsid w:val="008E71A0"/>
    <w:rsid w:val="008E7735"/>
    <w:rsid w:val="00903C34"/>
    <w:rsid w:val="00912F68"/>
    <w:rsid w:val="00913470"/>
    <w:rsid w:val="00915587"/>
    <w:rsid w:val="00920919"/>
    <w:rsid w:val="00933539"/>
    <w:rsid w:val="00937091"/>
    <w:rsid w:val="00942578"/>
    <w:rsid w:val="00943746"/>
    <w:rsid w:val="00950F7F"/>
    <w:rsid w:val="00954B32"/>
    <w:rsid w:val="009614E6"/>
    <w:rsid w:val="00970C3E"/>
    <w:rsid w:val="00980647"/>
    <w:rsid w:val="00987B99"/>
    <w:rsid w:val="009966B4"/>
    <w:rsid w:val="0099749E"/>
    <w:rsid w:val="009978AD"/>
    <w:rsid w:val="009A2519"/>
    <w:rsid w:val="009A64EE"/>
    <w:rsid w:val="009A6610"/>
    <w:rsid w:val="009A7BA2"/>
    <w:rsid w:val="009B4FB7"/>
    <w:rsid w:val="009C048C"/>
    <w:rsid w:val="009C6C63"/>
    <w:rsid w:val="009D09E1"/>
    <w:rsid w:val="009F0978"/>
    <w:rsid w:val="009F30EC"/>
    <w:rsid w:val="009F4CEA"/>
    <w:rsid w:val="00A034F7"/>
    <w:rsid w:val="00A0737B"/>
    <w:rsid w:val="00A148E0"/>
    <w:rsid w:val="00A21370"/>
    <w:rsid w:val="00A41707"/>
    <w:rsid w:val="00A42804"/>
    <w:rsid w:val="00A43DF4"/>
    <w:rsid w:val="00A457A9"/>
    <w:rsid w:val="00A46A59"/>
    <w:rsid w:val="00A729B0"/>
    <w:rsid w:val="00A737B2"/>
    <w:rsid w:val="00A81049"/>
    <w:rsid w:val="00A8751C"/>
    <w:rsid w:val="00A954CD"/>
    <w:rsid w:val="00AA71C4"/>
    <w:rsid w:val="00AA7788"/>
    <w:rsid w:val="00AB1A33"/>
    <w:rsid w:val="00AB32BF"/>
    <w:rsid w:val="00AB7463"/>
    <w:rsid w:val="00AC1506"/>
    <w:rsid w:val="00AC4D64"/>
    <w:rsid w:val="00AC70EF"/>
    <w:rsid w:val="00AE103B"/>
    <w:rsid w:val="00AE288B"/>
    <w:rsid w:val="00AE5168"/>
    <w:rsid w:val="00B01BF6"/>
    <w:rsid w:val="00B11D21"/>
    <w:rsid w:val="00B52036"/>
    <w:rsid w:val="00B62434"/>
    <w:rsid w:val="00B63062"/>
    <w:rsid w:val="00B670C9"/>
    <w:rsid w:val="00B7141D"/>
    <w:rsid w:val="00B71FCB"/>
    <w:rsid w:val="00B72268"/>
    <w:rsid w:val="00B75EA8"/>
    <w:rsid w:val="00B819B9"/>
    <w:rsid w:val="00B84BE0"/>
    <w:rsid w:val="00B86A47"/>
    <w:rsid w:val="00B87C68"/>
    <w:rsid w:val="00B91DB5"/>
    <w:rsid w:val="00B93C7A"/>
    <w:rsid w:val="00B956C4"/>
    <w:rsid w:val="00BA052A"/>
    <w:rsid w:val="00BA13F2"/>
    <w:rsid w:val="00BA20C8"/>
    <w:rsid w:val="00BA2E16"/>
    <w:rsid w:val="00BA5ADA"/>
    <w:rsid w:val="00BB2B47"/>
    <w:rsid w:val="00BB749B"/>
    <w:rsid w:val="00BB7C94"/>
    <w:rsid w:val="00BB7D36"/>
    <w:rsid w:val="00BC6F9C"/>
    <w:rsid w:val="00BD2C87"/>
    <w:rsid w:val="00BF00C6"/>
    <w:rsid w:val="00BF40CD"/>
    <w:rsid w:val="00BF4B1A"/>
    <w:rsid w:val="00C015EF"/>
    <w:rsid w:val="00C13E96"/>
    <w:rsid w:val="00C2023D"/>
    <w:rsid w:val="00C30FEF"/>
    <w:rsid w:val="00C31793"/>
    <w:rsid w:val="00C34DFE"/>
    <w:rsid w:val="00C37038"/>
    <w:rsid w:val="00C40B5B"/>
    <w:rsid w:val="00C545F4"/>
    <w:rsid w:val="00C54D05"/>
    <w:rsid w:val="00C676C0"/>
    <w:rsid w:val="00C75A86"/>
    <w:rsid w:val="00C82A04"/>
    <w:rsid w:val="00C85935"/>
    <w:rsid w:val="00C94292"/>
    <w:rsid w:val="00C94C24"/>
    <w:rsid w:val="00CA20A0"/>
    <w:rsid w:val="00CA3365"/>
    <w:rsid w:val="00CA4DE1"/>
    <w:rsid w:val="00CB05DA"/>
    <w:rsid w:val="00CC1B7D"/>
    <w:rsid w:val="00CD1F6E"/>
    <w:rsid w:val="00CE5AA8"/>
    <w:rsid w:val="00CE78B6"/>
    <w:rsid w:val="00CF0F67"/>
    <w:rsid w:val="00D01C9A"/>
    <w:rsid w:val="00D01E5E"/>
    <w:rsid w:val="00D1075A"/>
    <w:rsid w:val="00D11677"/>
    <w:rsid w:val="00D1262C"/>
    <w:rsid w:val="00D16AFC"/>
    <w:rsid w:val="00D21DA5"/>
    <w:rsid w:val="00D25070"/>
    <w:rsid w:val="00D2519E"/>
    <w:rsid w:val="00D34E8B"/>
    <w:rsid w:val="00D56EF6"/>
    <w:rsid w:val="00D6158D"/>
    <w:rsid w:val="00D65804"/>
    <w:rsid w:val="00D66900"/>
    <w:rsid w:val="00D672BF"/>
    <w:rsid w:val="00D83049"/>
    <w:rsid w:val="00DA0570"/>
    <w:rsid w:val="00DA250C"/>
    <w:rsid w:val="00DC199C"/>
    <w:rsid w:val="00DC45B9"/>
    <w:rsid w:val="00DD20A7"/>
    <w:rsid w:val="00DD3597"/>
    <w:rsid w:val="00DD367E"/>
    <w:rsid w:val="00DD5E9A"/>
    <w:rsid w:val="00DE49C4"/>
    <w:rsid w:val="00DF00AD"/>
    <w:rsid w:val="00DF7260"/>
    <w:rsid w:val="00DF792E"/>
    <w:rsid w:val="00DF7C7A"/>
    <w:rsid w:val="00E0627A"/>
    <w:rsid w:val="00E14F09"/>
    <w:rsid w:val="00E253E6"/>
    <w:rsid w:val="00E2621F"/>
    <w:rsid w:val="00E318C6"/>
    <w:rsid w:val="00E33474"/>
    <w:rsid w:val="00E35A27"/>
    <w:rsid w:val="00E515E1"/>
    <w:rsid w:val="00E52480"/>
    <w:rsid w:val="00E53490"/>
    <w:rsid w:val="00E54A99"/>
    <w:rsid w:val="00E60EB6"/>
    <w:rsid w:val="00E7048D"/>
    <w:rsid w:val="00E80B34"/>
    <w:rsid w:val="00E844FB"/>
    <w:rsid w:val="00E85ABC"/>
    <w:rsid w:val="00E93DFB"/>
    <w:rsid w:val="00EA0DC2"/>
    <w:rsid w:val="00EB12DC"/>
    <w:rsid w:val="00EB6B86"/>
    <w:rsid w:val="00EC06BD"/>
    <w:rsid w:val="00EC1A3B"/>
    <w:rsid w:val="00ED43E9"/>
    <w:rsid w:val="00EE2459"/>
    <w:rsid w:val="00EE461E"/>
    <w:rsid w:val="00EF38F2"/>
    <w:rsid w:val="00EF6734"/>
    <w:rsid w:val="00F16027"/>
    <w:rsid w:val="00F20B7D"/>
    <w:rsid w:val="00F31259"/>
    <w:rsid w:val="00F344B0"/>
    <w:rsid w:val="00F37A59"/>
    <w:rsid w:val="00F52D50"/>
    <w:rsid w:val="00F52F4E"/>
    <w:rsid w:val="00F6588E"/>
    <w:rsid w:val="00F7479E"/>
    <w:rsid w:val="00F81B50"/>
    <w:rsid w:val="00F8436C"/>
    <w:rsid w:val="00F85FEB"/>
    <w:rsid w:val="00F94358"/>
    <w:rsid w:val="00FA1385"/>
    <w:rsid w:val="00FA1F42"/>
    <w:rsid w:val="00FB4D9D"/>
    <w:rsid w:val="00FB524E"/>
    <w:rsid w:val="00FB6724"/>
    <w:rsid w:val="00FC4E7A"/>
    <w:rsid w:val="00FD1044"/>
    <w:rsid w:val="00FE30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E7D6AF9-A07D-44BE-B49C-16057C1E6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383D"/>
    <w:pPr>
      <w:overflowPunct w:val="0"/>
      <w:autoSpaceDE w:val="0"/>
      <w:autoSpaceDN w:val="0"/>
      <w:adjustRightInd w:val="0"/>
      <w:spacing w:before="0" w:after="0" w:line="240" w:lineRule="auto"/>
      <w:ind w:right="0"/>
      <w:jc w:val="left"/>
      <w:textAlignment w:val="baseline"/>
    </w:pPr>
    <w:rPr>
      <w:rFonts w:ascii="Times New Roman" w:eastAsia="Times New Roman" w:hAnsi="Times New Roman" w:cs="Angsana New"/>
      <w:sz w:val="28"/>
      <w:szCs w:val="2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7383D"/>
    <w:pPr>
      <w:jc w:val="both"/>
    </w:pPr>
    <w:rPr>
      <w:sz w:val="24"/>
      <w:lang w:val="en-US"/>
    </w:rPr>
  </w:style>
  <w:style w:type="character" w:customStyle="1" w:styleId="BodyTextChar">
    <w:name w:val="Body Text Char"/>
    <w:basedOn w:val="DefaultParagraphFont"/>
    <w:link w:val="BodyText"/>
    <w:rsid w:val="0007383D"/>
    <w:rPr>
      <w:rFonts w:ascii="Times New Roman" w:eastAsia="Times New Roman" w:hAnsi="Times New Roman" w:cs="Angsana New"/>
      <w:sz w:val="24"/>
      <w:szCs w:val="20"/>
    </w:rPr>
  </w:style>
  <w:style w:type="paragraph" w:styleId="BodyTextIndent">
    <w:name w:val="Body Text Indent"/>
    <w:basedOn w:val="Normal"/>
    <w:link w:val="BodyTextIndentChar"/>
    <w:rsid w:val="0007383D"/>
    <w:pPr>
      <w:spacing w:before="70" w:after="70" w:line="380" w:lineRule="exact"/>
      <w:ind w:right="54"/>
      <w:jc w:val="both"/>
    </w:pPr>
    <w:rPr>
      <w:rFonts w:ascii="Angsana New" w:hAnsi="Angsana New"/>
      <w:sz w:val="34"/>
      <w:lang w:val="en-US"/>
    </w:rPr>
  </w:style>
  <w:style w:type="character" w:customStyle="1" w:styleId="BodyTextIndentChar">
    <w:name w:val="Body Text Indent Char"/>
    <w:basedOn w:val="DefaultParagraphFont"/>
    <w:link w:val="BodyTextIndent"/>
    <w:rsid w:val="0007383D"/>
    <w:rPr>
      <w:rFonts w:ascii="Angsana New" w:eastAsia="Times New Roman" w:hAnsi="Angsana New" w:cs="Angsana New"/>
      <w:sz w:val="34"/>
      <w:szCs w:val="20"/>
    </w:rPr>
  </w:style>
  <w:style w:type="paragraph" w:styleId="BodyText3">
    <w:name w:val="Body Text 3"/>
    <w:basedOn w:val="Normal"/>
    <w:link w:val="BodyText3Char"/>
    <w:rsid w:val="0007383D"/>
    <w:pPr>
      <w:spacing w:before="120" w:after="120" w:line="380" w:lineRule="exact"/>
      <w:jc w:val="both"/>
    </w:pPr>
    <w:rPr>
      <w:rFonts w:ascii="Angsana New" w:hAnsi="Angsana New"/>
      <w:sz w:val="34"/>
      <w:lang w:val="en-US"/>
    </w:rPr>
  </w:style>
  <w:style w:type="character" w:customStyle="1" w:styleId="BodyText3Char">
    <w:name w:val="Body Text 3 Char"/>
    <w:basedOn w:val="DefaultParagraphFont"/>
    <w:link w:val="BodyText3"/>
    <w:rsid w:val="0007383D"/>
    <w:rPr>
      <w:rFonts w:ascii="Angsana New" w:eastAsia="Times New Roman" w:hAnsi="Angsana New" w:cs="Angsana New"/>
      <w:sz w:val="34"/>
      <w:szCs w:val="20"/>
    </w:rPr>
  </w:style>
  <w:style w:type="paragraph" w:styleId="BalloonText">
    <w:name w:val="Balloon Text"/>
    <w:basedOn w:val="Normal"/>
    <w:link w:val="BalloonTextChar"/>
    <w:uiPriority w:val="99"/>
    <w:semiHidden/>
    <w:unhideWhenUsed/>
    <w:rsid w:val="0034757A"/>
    <w:rPr>
      <w:rFonts w:ascii="Tahoma" w:hAnsi="Tahoma"/>
      <w:sz w:val="16"/>
    </w:rPr>
  </w:style>
  <w:style w:type="character" w:customStyle="1" w:styleId="BalloonTextChar">
    <w:name w:val="Balloon Text Char"/>
    <w:basedOn w:val="DefaultParagraphFont"/>
    <w:link w:val="BalloonText"/>
    <w:uiPriority w:val="99"/>
    <w:semiHidden/>
    <w:rsid w:val="0034757A"/>
    <w:rPr>
      <w:rFonts w:ascii="Tahoma" w:eastAsia="Times New Roman" w:hAnsi="Tahoma" w:cs="Angsana New"/>
      <w:sz w:val="16"/>
      <w:szCs w:val="20"/>
      <w:lang w:val="th-TH"/>
    </w:rPr>
  </w:style>
  <w:style w:type="paragraph" w:styleId="BodyText2">
    <w:name w:val="Body Text 2"/>
    <w:basedOn w:val="Normal"/>
    <w:link w:val="BodyText2Char"/>
    <w:uiPriority w:val="99"/>
    <w:semiHidden/>
    <w:unhideWhenUsed/>
    <w:rsid w:val="00A034F7"/>
    <w:pPr>
      <w:spacing w:after="120" w:line="480" w:lineRule="auto"/>
    </w:pPr>
  </w:style>
  <w:style w:type="character" w:customStyle="1" w:styleId="BodyText2Char">
    <w:name w:val="Body Text 2 Char"/>
    <w:basedOn w:val="DefaultParagraphFont"/>
    <w:link w:val="BodyText2"/>
    <w:uiPriority w:val="99"/>
    <w:semiHidden/>
    <w:rsid w:val="00A034F7"/>
    <w:rPr>
      <w:rFonts w:ascii="Times New Roman" w:eastAsia="Times New Roman" w:hAnsi="Times New Roman" w:cs="Angsana New"/>
      <w:sz w:val="28"/>
      <w:szCs w:val="20"/>
      <w:lang w:val="th-TH"/>
    </w:rPr>
  </w:style>
  <w:style w:type="paragraph" w:customStyle="1" w:styleId="ps-000-normal">
    <w:name w:val="ps-000-normal"/>
    <w:basedOn w:val="Normal"/>
    <w:rsid w:val="00A034F7"/>
    <w:pPr>
      <w:overflowPunct/>
      <w:autoSpaceDE/>
      <w:autoSpaceDN/>
      <w:adjustRightInd/>
      <w:spacing w:after="120"/>
      <w:textAlignment w:val="auto"/>
    </w:pPr>
    <w:rPr>
      <w:rFonts w:ascii="Verdana" w:hAnsi="Verdana" w:cs="Times New Roman"/>
      <w:color w:val="000000"/>
      <w:sz w:val="20"/>
      <w:lang w:val="en-US"/>
    </w:rPr>
  </w:style>
  <w:style w:type="paragraph" w:styleId="Header">
    <w:name w:val="header"/>
    <w:basedOn w:val="Normal"/>
    <w:link w:val="HeaderChar"/>
    <w:unhideWhenUsed/>
    <w:rsid w:val="00A034F7"/>
    <w:pPr>
      <w:tabs>
        <w:tab w:val="center" w:pos="4513"/>
        <w:tab w:val="right" w:pos="9026"/>
      </w:tabs>
    </w:pPr>
  </w:style>
  <w:style w:type="character" w:customStyle="1" w:styleId="HeaderChar">
    <w:name w:val="Header Char"/>
    <w:basedOn w:val="DefaultParagraphFont"/>
    <w:link w:val="Header"/>
    <w:rsid w:val="00A034F7"/>
    <w:rPr>
      <w:rFonts w:ascii="Times New Roman" w:eastAsia="Times New Roman" w:hAnsi="Times New Roman" w:cs="Angsana New"/>
      <w:sz w:val="28"/>
      <w:szCs w:val="20"/>
      <w:lang w:val="th-TH"/>
    </w:rPr>
  </w:style>
  <w:style w:type="paragraph" w:styleId="Footer">
    <w:name w:val="footer"/>
    <w:basedOn w:val="Normal"/>
    <w:link w:val="FooterChar"/>
    <w:uiPriority w:val="99"/>
    <w:unhideWhenUsed/>
    <w:rsid w:val="00A034F7"/>
    <w:pPr>
      <w:tabs>
        <w:tab w:val="center" w:pos="4513"/>
        <w:tab w:val="right" w:pos="9026"/>
      </w:tabs>
    </w:pPr>
  </w:style>
  <w:style w:type="character" w:customStyle="1" w:styleId="FooterChar">
    <w:name w:val="Footer Char"/>
    <w:basedOn w:val="DefaultParagraphFont"/>
    <w:link w:val="Footer"/>
    <w:uiPriority w:val="99"/>
    <w:rsid w:val="00A034F7"/>
    <w:rPr>
      <w:rFonts w:ascii="Times New Roman" w:eastAsia="Times New Roman" w:hAnsi="Times New Roman" w:cs="Angsana New"/>
      <w:sz w:val="28"/>
      <w:szCs w:val="20"/>
      <w:lang w:val="th-TH"/>
    </w:rPr>
  </w:style>
  <w:style w:type="character" w:styleId="PageNumber">
    <w:name w:val="page number"/>
    <w:basedOn w:val="DefaultParagraphFont"/>
    <w:rsid w:val="006F7786"/>
  </w:style>
  <w:style w:type="paragraph" w:styleId="ListParagraph">
    <w:name w:val="List Paragraph"/>
    <w:basedOn w:val="Normal"/>
    <w:uiPriority w:val="34"/>
    <w:qFormat/>
    <w:rsid w:val="001D7C19"/>
    <w:pPr>
      <w:ind w:left="720"/>
      <w:contextualSpacing/>
    </w:pPr>
  </w:style>
  <w:style w:type="paragraph" w:customStyle="1" w:styleId="Ps-000-normal0">
    <w:name w:val="Ps-000-normal"/>
    <w:basedOn w:val="Normal"/>
    <w:uiPriority w:val="99"/>
    <w:rsid w:val="00FD1044"/>
    <w:pPr>
      <w:overflowPunct/>
      <w:autoSpaceDE/>
      <w:autoSpaceDN/>
      <w:adjustRightInd/>
      <w:spacing w:after="120"/>
      <w:textAlignment w:val="auto"/>
    </w:pPr>
    <w:rPr>
      <w:rFonts w:ascii="Verdana" w:hAnsi="Verdana" w:cs="Times New Roman"/>
      <w:color w:val="000000"/>
      <w:sz w:val="20"/>
      <w:lang w:val="en-US"/>
    </w:rPr>
  </w:style>
  <w:style w:type="paragraph" w:customStyle="1" w:styleId="04Normal">
    <w:name w:val="04_Normal"/>
    <w:basedOn w:val="Normal"/>
    <w:link w:val="04NormalChar"/>
    <w:qFormat/>
    <w:rsid w:val="00FB4D9D"/>
    <w:pPr>
      <w:tabs>
        <w:tab w:val="left" w:pos="1440"/>
        <w:tab w:val="left" w:pos="2880"/>
        <w:tab w:val="left" w:pos="3240"/>
        <w:tab w:val="center" w:pos="6120"/>
        <w:tab w:val="left" w:pos="6300"/>
      </w:tabs>
      <w:spacing w:before="120" w:after="120" w:line="380" w:lineRule="exact"/>
      <w:ind w:left="540" w:hanging="533"/>
      <w:jc w:val="thaiDistribute"/>
    </w:pPr>
    <w:rPr>
      <w:rFonts w:ascii="Arial" w:hAnsi="Arial"/>
      <w:bCs/>
      <w:sz w:val="22"/>
      <w:szCs w:val="22"/>
      <w:lang w:val="en-US"/>
    </w:rPr>
  </w:style>
  <w:style w:type="character" w:customStyle="1" w:styleId="04NormalChar">
    <w:name w:val="04_Normal Char"/>
    <w:link w:val="04Normal"/>
    <w:rsid w:val="00FB4D9D"/>
    <w:rPr>
      <w:rFonts w:ascii="Arial" w:eastAsia="Times New Roman" w:hAnsi="Arial" w:cs="Angsana New"/>
      <w:bCs/>
      <w:szCs w:val="22"/>
    </w:rPr>
  </w:style>
  <w:style w:type="character" w:styleId="IntenseEmphasis">
    <w:name w:val="Intense Emphasis"/>
    <w:basedOn w:val="DefaultParagraphFont"/>
    <w:uiPriority w:val="21"/>
    <w:qFormat/>
    <w:rsid w:val="00355B7A"/>
    <w:rPr>
      <w:b/>
      <w:bCs/>
      <w:i/>
      <w:iCs/>
      <w:color w:val="4F81BD"/>
    </w:rPr>
  </w:style>
  <w:style w:type="paragraph" w:styleId="NormalWeb">
    <w:name w:val="Normal (Web)"/>
    <w:basedOn w:val="Normal"/>
    <w:uiPriority w:val="99"/>
    <w:unhideWhenUsed/>
    <w:rsid w:val="00355B7A"/>
    <w:pPr>
      <w:overflowPunct/>
      <w:autoSpaceDE/>
      <w:autoSpaceDN/>
      <w:adjustRightInd/>
      <w:spacing w:before="100" w:after="100" w:line="276" w:lineRule="auto"/>
      <w:textAlignment w:val="auto"/>
    </w:pPr>
    <w:rPr>
      <w:rFonts w:asciiTheme="minorHAnsi" w:eastAsia="Calibri" w:hAnsiTheme="minorHAnsi"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588775">
      <w:bodyDiv w:val="1"/>
      <w:marLeft w:val="0"/>
      <w:marRight w:val="0"/>
      <w:marTop w:val="0"/>
      <w:marBottom w:val="0"/>
      <w:divBdr>
        <w:top w:val="none" w:sz="0" w:space="0" w:color="auto"/>
        <w:left w:val="none" w:sz="0" w:space="0" w:color="auto"/>
        <w:bottom w:val="none" w:sz="0" w:space="0" w:color="auto"/>
        <w:right w:val="none" w:sz="0" w:space="0" w:color="auto"/>
      </w:divBdr>
    </w:div>
    <w:div w:id="202601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68EE3-A8E1-49F2-B983-B6C5FDA5E27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52230</vt:lpwstr>
  </property>
  <property fmtid="{D5CDD505-2E9C-101B-9397-08002B2CF9AE}" pid="4" name="OptimizationTime">
    <vt:lpwstr>20180731_1531</vt:lpwstr>
  </property>
</Properties>
</file>

<file path=docProps/app.xml><?xml version="1.0" encoding="utf-8"?>
<Properties xmlns="http://schemas.openxmlformats.org/officeDocument/2006/extended-properties" xmlns:vt="http://schemas.openxmlformats.org/officeDocument/2006/docPropsVTypes">
  <Template>Normal.dotm</Template>
  <TotalTime>540</TotalTime>
  <Pages>23</Pages>
  <Words>6663</Words>
  <Characters>37981</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44555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Kamolwan Theeravetch</cp:lastModifiedBy>
  <cp:revision>44</cp:revision>
  <cp:lastPrinted>2018-07-31T04:14:00Z</cp:lastPrinted>
  <dcterms:created xsi:type="dcterms:W3CDTF">2018-02-27T12:21:00Z</dcterms:created>
  <dcterms:modified xsi:type="dcterms:W3CDTF">2018-07-31T04:14:00Z</dcterms:modified>
</cp:coreProperties>
</file>