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BF033E" w:rsidRPr="00BF033E" w:rsidTr="006D2433">
        <w:trPr>
          <w:trHeight w:val="2865"/>
        </w:trPr>
        <w:tc>
          <w:tcPr>
            <w:tcW w:w="2268" w:type="dxa"/>
          </w:tcPr>
          <w:p w:rsidR="00BF033E" w:rsidRPr="00E42D18" w:rsidRDefault="00BF033E" w:rsidP="006D2433">
            <w:pPr>
              <w:rPr>
                <w:rFonts w:ascii="Angsana New" w:hAnsi="Angsana New" w:cs="Angsana New"/>
                <w:sz w:val="36"/>
                <w:szCs w:val="36"/>
                <w:cs/>
              </w:rPr>
            </w:pPr>
          </w:p>
        </w:tc>
        <w:tc>
          <w:tcPr>
            <w:tcW w:w="7290" w:type="dxa"/>
            <w:vAlign w:val="center"/>
          </w:tcPr>
          <w:p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Company Limited and its subsidiary</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Review report and interim financial statements</w:t>
            </w:r>
          </w:p>
          <w:p w:rsidR="00BF033E" w:rsidRPr="00BF033E" w:rsidRDefault="00BF033E" w:rsidP="00B52B24">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the three-month </w:t>
            </w:r>
            <w:r w:rsidR="00B52B24">
              <w:rPr>
                <w:rFonts w:cs="Times New Roman"/>
                <w:color w:val="7F7E82"/>
                <w:sz w:val="27"/>
                <w:szCs w:val="27"/>
                <w:lang w:val="en-US"/>
              </w:rPr>
              <w:t>and six-month periods</w:t>
            </w:r>
            <w:r w:rsidRPr="00BF033E">
              <w:rPr>
                <w:rFonts w:cs="Times New Roman"/>
                <w:color w:val="7F7E82"/>
                <w:sz w:val="27"/>
                <w:szCs w:val="27"/>
                <w:lang w:val="en-US"/>
              </w:rPr>
              <w:t xml:space="preserve"> ended </w:t>
            </w:r>
            <w:r w:rsidR="00B52B24">
              <w:rPr>
                <w:rFonts w:cs="Times New Roman"/>
                <w:color w:val="7F7E82"/>
                <w:sz w:val="27"/>
                <w:szCs w:val="27"/>
                <w:lang w:val="en-US"/>
              </w:rPr>
              <w:t>30 June</w:t>
            </w:r>
            <w:r w:rsidRPr="00BF033E">
              <w:rPr>
                <w:rFonts w:cs="Times New Roman"/>
                <w:color w:val="7F7E82"/>
                <w:sz w:val="27"/>
                <w:szCs w:val="27"/>
                <w:lang w:val="en-US"/>
              </w:rPr>
              <w:t xml:space="preserve"> </w:t>
            </w:r>
            <w:r w:rsidR="00FD0AD0">
              <w:rPr>
                <w:rFonts w:cs="Times New Roman"/>
                <w:color w:val="7F7E82"/>
                <w:sz w:val="27"/>
                <w:szCs w:val="27"/>
                <w:lang w:val="en-US"/>
              </w:rPr>
              <w:t>2018</w:t>
            </w:r>
          </w:p>
        </w:tc>
      </w:tr>
    </w:tbl>
    <w:p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lastRenderedPageBreak/>
        <w:t>Independent Auditor's Report on Review of Interim Financial Information</w:t>
      </w:r>
    </w:p>
    <w:p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Pr>
          <w:rFonts w:ascii="Arial" w:hAnsi="Arial" w:cs="Arial"/>
          <w:sz w:val="22"/>
          <w:szCs w:val="22"/>
        </w:rPr>
        <w:t>and its subsidiary</w:t>
      </w:r>
      <w:r w:rsidRPr="00107D4D">
        <w:rPr>
          <w:rFonts w:ascii="Arial" w:hAnsi="Arial"/>
          <w:sz w:val="22"/>
          <w:szCs w:val="22"/>
        </w:rPr>
        <w:t xml:space="preserve"> as at </w:t>
      </w:r>
      <w:r w:rsidR="00B52B24">
        <w:rPr>
          <w:rFonts w:ascii="Arial" w:hAnsi="Arial"/>
          <w:sz w:val="22"/>
          <w:szCs w:val="22"/>
        </w:rPr>
        <w:t>30 June</w:t>
      </w:r>
      <w:r w:rsidRPr="00107D4D">
        <w:rPr>
          <w:rFonts w:ascii="Arial" w:hAnsi="Arial"/>
          <w:sz w:val="22"/>
          <w:szCs w:val="22"/>
        </w:rPr>
        <w:t xml:space="preserve"> </w:t>
      </w:r>
      <w:r w:rsidR="00FD0AD0">
        <w:rPr>
          <w:rFonts w:ascii="Arial" w:hAnsi="Arial"/>
          <w:sz w:val="22"/>
          <w:szCs w:val="22"/>
        </w:rPr>
        <w:t>2018</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w:t>
      </w:r>
      <w:r w:rsidR="0069595C" w:rsidRPr="0069595C">
        <w:rPr>
          <w:rFonts w:ascii="Arial" w:hAnsi="Arial"/>
          <w:sz w:val="22"/>
          <w:szCs w:val="22"/>
        </w:rPr>
        <w:t xml:space="preserve"> </w:t>
      </w:r>
      <w:r w:rsidR="0069595C" w:rsidRPr="00107D4D">
        <w:rPr>
          <w:rFonts w:ascii="Arial" w:hAnsi="Arial"/>
          <w:sz w:val="22"/>
          <w:szCs w:val="22"/>
        </w:rPr>
        <w:t xml:space="preserve">for the </w:t>
      </w:r>
      <w:r w:rsidR="0069595C">
        <w:rPr>
          <w:rFonts w:ascii="Arial" w:hAnsi="Arial"/>
          <w:sz w:val="22"/>
          <w:szCs w:val="22"/>
        </w:rPr>
        <w:t>three-month and six-month periods</w:t>
      </w:r>
      <w:r w:rsidR="0069595C" w:rsidRPr="00107D4D">
        <w:rPr>
          <w:rFonts w:ascii="Arial" w:hAnsi="Arial"/>
          <w:sz w:val="22"/>
          <w:szCs w:val="22"/>
        </w:rPr>
        <w:t xml:space="preserve"> ended</w:t>
      </w:r>
      <w:r w:rsidR="0069595C">
        <w:rPr>
          <w:rFonts w:ascii="Arial" w:hAnsi="Arial" w:hint="cs"/>
          <w:sz w:val="22"/>
          <w:szCs w:val="22"/>
          <w:cs/>
        </w:rPr>
        <w:t xml:space="preserve"> </w:t>
      </w:r>
      <w:r w:rsidR="0069595C">
        <w:rPr>
          <w:rFonts w:ascii="Arial" w:hAnsi="Arial"/>
          <w:sz w:val="22"/>
          <w:szCs w:val="22"/>
        </w:rPr>
        <w:t>30 June</w:t>
      </w:r>
      <w:r w:rsidR="0069595C" w:rsidRPr="00107D4D">
        <w:rPr>
          <w:rFonts w:ascii="Arial" w:hAnsi="Arial"/>
          <w:sz w:val="22"/>
          <w:szCs w:val="22"/>
        </w:rPr>
        <w:t xml:space="preserve"> </w:t>
      </w:r>
      <w:r w:rsidR="0069595C">
        <w:rPr>
          <w:rFonts w:ascii="Arial" w:hAnsi="Arial"/>
          <w:sz w:val="22"/>
          <w:szCs w:val="22"/>
        </w:rPr>
        <w:t>2018,</w:t>
      </w:r>
      <w:r w:rsidR="0069595C">
        <w:rPr>
          <w:rFonts w:ascii="Arial" w:hAnsi="Arial" w:hint="cs"/>
          <w:sz w:val="22"/>
          <w:szCs w:val="22"/>
          <w:cs/>
        </w:rPr>
        <w:t xml:space="preserve"> </w:t>
      </w:r>
      <w:r w:rsidR="0069595C">
        <w:rPr>
          <w:rFonts w:ascii="Arial" w:hAnsi="Arial"/>
          <w:sz w:val="22"/>
          <w:szCs w:val="22"/>
        </w:rPr>
        <w:t xml:space="preserve">and the related consolidated statements of </w:t>
      </w:r>
      <w:r w:rsidRPr="00107D4D">
        <w:rPr>
          <w:rFonts w:ascii="Arial" w:hAnsi="Arial"/>
          <w:sz w:val="22"/>
          <w:szCs w:val="22"/>
        </w:rPr>
        <w:t>changes in shareholders’ equity</w:t>
      </w:r>
      <w:r>
        <w:rPr>
          <w:rFonts w:ascii="Arial" w:hAnsi="Arial"/>
          <w:sz w:val="22"/>
          <w:szCs w:val="22"/>
        </w:rPr>
        <w:t>,</w:t>
      </w:r>
      <w:r w:rsidRPr="00107D4D">
        <w:rPr>
          <w:rFonts w:ascii="Arial" w:hAnsi="Arial"/>
          <w:sz w:val="22"/>
          <w:szCs w:val="22"/>
        </w:rPr>
        <w:t xml:space="preserve"> and cash flows for the </w:t>
      </w:r>
      <w:r w:rsidR="00A155A4">
        <w:rPr>
          <w:rFonts w:ascii="Arial" w:hAnsi="Arial"/>
          <w:sz w:val="22"/>
          <w:szCs w:val="22"/>
        </w:rPr>
        <w:t>six-month period</w:t>
      </w:r>
      <w:bookmarkStart w:id="0" w:name="_GoBack"/>
      <w:bookmarkEnd w:id="0"/>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69595C">
        <w:rPr>
          <w:rFonts w:ascii="Arial" w:hAnsi="Arial"/>
          <w:sz w:val="22"/>
          <w:szCs w:val="22"/>
        </w:rPr>
        <w:t>s</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rsidR="002E154D" w:rsidRPr="00155614" w:rsidRDefault="002E154D"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Arial"/>
          <w:sz w:val="22"/>
          <w:szCs w:val="22"/>
          <w:lang w:val="en-US"/>
        </w:rPr>
      </w:pPr>
    </w:p>
    <w:p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rsidR="00FC6860" w:rsidRPr="00155614" w:rsidRDefault="003F59A0" w:rsidP="000E43CD">
      <w:pPr>
        <w:tabs>
          <w:tab w:val="left" w:pos="720"/>
          <w:tab w:val="center" w:pos="5760"/>
        </w:tabs>
        <w:spacing w:line="380" w:lineRule="exact"/>
        <w:jc w:val="both"/>
        <w:rPr>
          <w:rFonts w:ascii="Arial" w:eastAsia="Arial Unicode MS" w:hAnsi="Arial" w:cs="Arial"/>
          <w:sz w:val="22"/>
          <w:szCs w:val="22"/>
          <w:lang w:val="en-US"/>
        </w:rPr>
      </w:pPr>
      <w:proofErr w:type="spellStart"/>
      <w:r>
        <w:rPr>
          <w:rFonts w:ascii="Arial" w:eastAsia="Arial Unicode MS" w:hAnsi="Arial" w:cs="Arial"/>
          <w:sz w:val="22"/>
          <w:szCs w:val="22"/>
          <w:lang w:val="en-US"/>
        </w:rPr>
        <w:t>Rungnapa</w:t>
      </w:r>
      <w:proofErr w:type="spellEnd"/>
      <w:r>
        <w:rPr>
          <w:rFonts w:ascii="Arial" w:eastAsia="Arial Unicode MS" w:hAnsi="Arial" w:cs="Arial"/>
          <w:sz w:val="22"/>
          <w:szCs w:val="22"/>
          <w:lang w:val="en-US"/>
        </w:rPr>
        <w:t xml:space="preserve"> </w:t>
      </w:r>
      <w:proofErr w:type="spellStart"/>
      <w:r>
        <w:rPr>
          <w:rFonts w:ascii="Arial" w:eastAsia="Arial Unicode MS" w:hAnsi="Arial" w:cs="Arial"/>
          <w:sz w:val="22"/>
          <w:szCs w:val="22"/>
          <w:lang w:val="en-US"/>
        </w:rPr>
        <w:t>Lertsuwankul</w:t>
      </w:r>
      <w:proofErr w:type="spellEnd"/>
    </w:p>
    <w:p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69595C">
        <w:rPr>
          <w:rFonts w:ascii="Arial" w:eastAsia="Arial Unicode MS" w:hAnsi="Arial" w:cs="Browallia New"/>
          <w:sz w:val="22"/>
          <w:lang w:val="en-US"/>
        </w:rPr>
        <w:t>8 August</w:t>
      </w:r>
      <w:r w:rsidR="00847D7B">
        <w:rPr>
          <w:rFonts w:ascii="Arial" w:eastAsia="Arial Unicode MS" w:hAnsi="Arial" w:cs="Arial"/>
          <w:sz w:val="22"/>
          <w:szCs w:val="22"/>
          <w:lang w:val="en-US"/>
        </w:rPr>
        <w:t xml:space="preserve"> </w:t>
      </w:r>
      <w:r w:rsidR="00FD0AD0">
        <w:rPr>
          <w:rFonts w:ascii="Arial" w:eastAsia="Arial Unicode MS" w:hAnsi="Arial" w:cs="Arial"/>
          <w:sz w:val="22"/>
          <w:szCs w:val="22"/>
          <w:lang w:val="en-US"/>
        </w:rPr>
        <w:t>2018</w:t>
      </w:r>
    </w:p>
    <w:sectPr w:rsidR="00FC6860" w:rsidRPr="00155614" w:rsidSect="008B2A9D">
      <w:footerReference w:type="first" r:id="rId9"/>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EDB" w:rsidRDefault="00274EDB" w:rsidP="00A27E35">
      <w:pPr>
        <w:rPr>
          <w:rFonts w:cs="Times New Roman"/>
          <w:cs/>
        </w:rPr>
      </w:pPr>
      <w:r>
        <w:separator/>
      </w:r>
    </w:p>
  </w:endnote>
  <w:endnote w:type="continuationSeparator" w:id="0">
    <w:p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3E" w:rsidRPr="00A1503E" w:rsidRDefault="00BF033E" w:rsidP="00A1503E">
    <w:pPr>
      <w:pStyle w:val="Footer"/>
      <w:jc w:val="right"/>
      <w:rPr>
        <w:rFonts w:ascii="Arial" w:hAnsi="Arial" w:cs="Arial"/>
        <w:sz w:val="22"/>
        <w:szCs w:val="22"/>
        <w:cs/>
      </w:rPr>
    </w:pPr>
  </w:p>
  <w:p w:rsidR="00BF033E" w:rsidRDefault="00BF033E">
    <w:pPr>
      <w:pStyle w:val="Footer"/>
      <w:rPr>
        <w:rFonts w:cs="Times New Roman"/>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rsidR="00BF033E" w:rsidRDefault="00BF033E">
    <w:pPr>
      <w:pStyle w:val="Foote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9D" w:rsidRPr="008B2A9D" w:rsidRDefault="008B2A9D">
    <w:pPr>
      <w:pStyle w:val="Footer"/>
      <w:jc w:val="right"/>
      <w:rPr>
        <w:rFonts w:ascii="Arial" w:hAnsi="Arial" w:cs="Arial"/>
        <w:sz w:val="22"/>
        <w:szCs w:val="22"/>
        <w:cs/>
      </w:rPr>
    </w:pPr>
  </w:p>
  <w:p w:rsidR="008B2A9D" w:rsidRDefault="008B2A9D">
    <w:pPr>
      <w:pStyle w:val="Footer"/>
      <w:rPr>
        <w:rFonts w:cs="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EDB" w:rsidRDefault="00274EDB" w:rsidP="00A27E35">
      <w:pPr>
        <w:rPr>
          <w:rFonts w:cs="Times New Roman"/>
          <w:cs/>
        </w:rPr>
      </w:pPr>
      <w:r>
        <w:separator/>
      </w:r>
    </w:p>
  </w:footnote>
  <w:footnote w:type="continuationSeparator" w:id="0">
    <w:p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D639F"/>
    <w:rsid w:val="000E43CD"/>
    <w:rsid w:val="000E5892"/>
    <w:rsid w:val="00110B0D"/>
    <w:rsid w:val="00121893"/>
    <w:rsid w:val="00146AD5"/>
    <w:rsid w:val="00155614"/>
    <w:rsid w:val="001928D0"/>
    <w:rsid w:val="00195E46"/>
    <w:rsid w:val="001B6870"/>
    <w:rsid w:val="001D20CA"/>
    <w:rsid w:val="001D4EC4"/>
    <w:rsid w:val="001F70E6"/>
    <w:rsid w:val="002150C0"/>
    <w:rsid w:val="002261FB"/>
    <w:rsid w:val="002510C3"/>
    <w:rsid w:val="00255978"/>
    <w:rsid w:val="00274EDB"/>
    <w:rsid w:val="00276C8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1A72"/>
    <w:rsid w:val="00686777"/>
    <w:rsid w:val="0069595C"/>
    <w:rsid w:val="006B1E2C"/>
    <w:rsid w:val="006B5277"/>
    <w:rsid w:val="006B5DD6"/>
    <w:rsid w:val="006D72C2"/>
    <w:rsid w:val="006F24F9"/>
    <w:rsid w:val="00701AFB"/>
    <w:rsid w:val="0070439F"/>
    <w:rsid w:val="0071017F"/>
    <w:rsid w:val="00714EF0"/>
    <w:rsid w:val="00757D08"/>
    <w:rsid w:val="007911CC"/>
    <w:rsid w:val="007972C3"/>
    <w:rsid w:val="007A150E"/>
    <w:rsid w:val="007A252B"/>
    <w:rsid w:val="007B4315"/>
    <w:rsid w:val="007C1F7E"/>
    <w:rsid w:val="007C2439"/>
    <w:rsid w:val="007D18F0"/>
    <w:rsid w:val="007E274D"/>
    <w:rsid w:val="007F6C50"/>
    <w:rsid w:val="008150AB"/>
    <w:rsid w:val="0081670E"/>
    <w:rsid w:val="00824E77"/>
    <w:rsid w:val="00835D84"/>
    <w:rsid w:val="00836AED"/>
    <w:rsid w:val="0083702C"/>
    <w:rsid w:val="00847D7B"/>
    <w:rsid w:val="00850B33"/>
    <w:rsid w:val="00856891"/>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155A4"/>
    <w:rsid w:val="00A235B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31E"/>
    <w:rsid w:val="00B476B3"/>
    <w:rsid w:val="00B52B24"/>
    <w:rsid w:val="00B8478F"/>
    <w:rsid w:val="00B966C8"/>
    <w:rsid w:val="00BA0655"/>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2C808-F9DF-487F-96D5-8C2CBEDF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64</cp:revision>
  <cp:lastPrinted>2018-08-02T06:36:00Z</cp:lastPrinted>
  <dcterms:created xsi:type="dcterms:W3CDTF">2013-05-02T02:52:00Z</dcterms:created>
  <dcterms:modified xsi:type="dcterms:W3CDTF">2018-08-02T06:36:00Z</dcterms:modified>
</cp:coreProperties>
</file>