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90086A" w:rsidTr="00DE3B5E">
        <w:trPr>
          <w:trHeight w:val="2865"/>
        </w:trPr>
        <w:tc>
          <w:tcPr>
            <w:tcW w:w="2268" w:type="dxa"/>
          </w:tcPr>
          <w:p w:rsidR="0090086A" w:rsidRPr="00E42D18" w:rsidRDefault="0090086A" w:rsidP="00E80211">
            <w:pPr>
              <w:rPr>
                <w:rFonts w:ascii="Angsana New" w:hAnsi="Angsana New"/>
                <w:sz w:val="36"/>
                <w:szCs w:val="36"/>
                <w:cs/>
              </w:rPr>
            </w:pPr>
          </w:p>
        </w:tc>
        <w:tc>
          <w:tcPr>
            <w:tcW w:w="7290" w:type="dxa"/>
            <w:vAlign w:val="center"/>
          </w:tcPr>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Total Access Communication Public Company Limited</w:t>
            </w:r>
          </w:p>
          <w:p w:rsidR="00D70924" w:rsidRPr="00BA32DC" w:rsidRDefault="005A64C4" w:rsidP="00D70924">
            <w:pPr>
              <w:spacing w:line="380" w:lineRule="exact"/>
              <w:ind w:left="14"/>
              <w:rPr>
                <w:rFonts w:cs="Times New Roman"/>
                <w:color w:val="7F7E82"/>
                <w:sz w:val="27"/>
                <w:szCs w:val="27"/>
              </w:rPr>
            </w:pPr>
            <w:r w:rsidRPr="00BA32DC">
              <w:rPr>
                <w:rFonts w:cstheme="minorBidi" w:hint="cs"/>
                <w:color w:val="7F7E82"/>
                <w:sz w:val="27"/>
                <w:szCs w:val="27"/>
                <w:cs/>
              </w:rPr>
              <w:t xml:space="preserve">     </w:t>
            </w:r>
            <w:r w:rsidR="00D70924" w:rsidRPr="00BA32DC">
              <w:rPr>
                <w:rFonts w:cs="Times New Roman"/>
                <w:color w:val="7F7E82"/>
                <w:sz w:val="27"/>
                <w:szCs w:val="27"/>
              </w:rPr>
              <w:t>and its subsidiaries</w:t>
            </w:r>
          </w:p>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Review report and consolidated interim financial statements</w:t>
            </w:r>
          </w:p>
          <w:p w:rsidR="0090086A" w:rsidRPr="002D0F12" w:rsidRDefault="00D70924" w:rsidP="00AD04DE">
            <w:pPr>
              <w:spacing w:line="380" w:lineRule="exact"/>
              <w:ind w:left="14"/>
              <w:rPr>
                <w:rFonts w:cs="Times New Roman"/>
                <w:color w:val="7F7E82"/>
                <w:sz w:val="27"/>
                <w:szCs w:val="27"/>
              </w:rPr>
            </w:pPr>
            <w:r w:rsidRPr="00BA32DC">
              <w:rPr>
                <w:rFonts w:cs="Times New Roman"/>
                <w:color w:val="7F7E82"/>
                <w:sz w:val="27"/>
                <w:szCs w:val="27"/>
              </w:rPr>
              <w:t xml:space="preserve">For the </w:t>
            </w:r>
            <w:r w:rsidR="00AD04DE">
              <w:rPr>
                <w:rFonts w:cs="Times New Roman"/>
                <w:color w:val="7F7E82"/>
                <w:sz w:val="27"/>
                <w:szCs w:val="27"/>
              </w:rPr>
              <w:t>nine-month period</w:t>
            </w:r>
            <w:r w:rsidRPr="00BA32DC">
              <w:rPr>
                <w:rFonts w:cs="Times New Roman"/>
                <w:color w:val="7F7E82"/>
                <w:sz w:val="27"/>
                <w:szCs w:val="27"/>
              </w:rPr>
              <w:t xml:space="preserve"> ended </w:t>
            </w:r>
            <w:r w:rsidR="003F5B55" w:rsidRPr="00BA32DC">
              <w:rPr>
                <w:rFonts w:cs="Times New Roman"/>
                <w:color w:val="7F7E82"/>
                <w:sz w:val="27"/>
                <w:szCs w:val="27"/>
              </w:rPr>
              <w:t xml:space="preserve">30 </w:t>
            </w:r>
            <w:r w:rsidR="00AD04DE">
              <w:rPr>
                <w:rFonts w:cs="Times New Roman"/>
                <w:color w:val="7F7E82"/>
                <w:sz w:val="27"/>
                <w:szCs w:val="27"/>
              </w:rPr>
              <w:t>September</w:t>
            </w:r>
            <w:r w:rsidRPr="00BA32DC">
              <w:rPr>
                <w:rFonts w:cs="Times New Roman"/>
                <w:color w:val="7F7E82"/>
                <w:sz w:val="27"/>
                <w:szCs w:val="27"/>
              </w:rPr>
              <w:t xml:space="preserve"> </w:t>
            </w:r>
            <w:r w:rsidR="001E4E45" w:rsidRPr="00BA32DC">
              <w:rPr>
                <w:rFonts w:cs="Times New Roman"/>
                <w:color w:val="7F7E82"/>
                <w:sz w:val="27"/>
                <w:szCs w:val="27"/>
              </w:rPr>
              <w:t>2018</w:t>
            </w:r>
          </w:p>
        </w:tc>
      </w:tr>
    </w:tbl>
    <w:p w:rsidR="0090086A" w:rsidRDefault="0090086A" w:rsidP="0090086A">
      <w:pPr>
        <w:sectPr w:rsidR="0090086A" w:rsidSect="00DE3B5E">
          <w:footerReference w:type="default" r:id="rId7"/>
          <w:footerReference w:type="first" r:id="rId8"/>
          <w:pgSz w:w="11907" w:h="16840" w:code="9"/>
          <w:pgMar w:top="1728" w:right="1080" w:bottom="11520" w:left="360" w:header="720" w:footer="720" w:gutter="0"/>
          <w:cols w:space="720"/>
          <w:docGrid w:linePitch="360"/>
        </w:sectPr>
      </w:pPr>
    </w:p>
    <w:p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lastRenderedPageBreak/>
        <w:t>Independent Auditor</w:t>
      </w:r>
      <w:r>
        <w:rPr>
          <w:rFonts w:ascii="Arial" w:eastAsia="Arial Unicode MS" w:hAnsi="Arial" w:cs="Arial Unicode MS"/>
          <w:b/>
          <w:sz w:val="22"/>
          <w:szCs w:val="22"/>
        </w:rPr>
        <w:t>'s Report on Review of Interim Financial Information</w:t>
      </w:r>
    </w:p>
    <w:p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2D0F12" w:rsidRPr="00525FAC" w:rsidRDefault="002D0F12" w:rsidP="002D0F12">
      <w:pPr>
        <w:pStyle w:val="BodyText"/>
        <w:spacing w:before="24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3F5B55">
        <w:rPr>
          <w:rFonts w:ascii="Arial" w:hAnsi="Arial" w:cs="Arial"/>
          <w:sz w:val="22"/>
          <w:szCs w:val="22"/>
        </w:rPr>
        <w:t xml:space="preserve">30 </w:t>
      </w:r>
      <w:r w:rsidR="00AD04DE">
        <w:rPr>
          <w:rFonts w:ascii="Arial" w:hAnsi="Arial" w:cs="Arial"/>
          <w:sz w:val="22"/>
          <w:szCs w:val="22"/>
        </w:rPr>
        <w:t>September</w:t>
      </w:r>
      <w:r>
        <w:rPr>
          <w:rFonts w:ascii="Arial" w:hAnsi="Arial" w:cs="Arial"/>
          <w:sz w:val="22"/>
          <w:szCs w:val="22"/>
        </w:rPr>
        <w:t xml:space="preserve"> </w:t>
      </w:r>
      <w:r w:rsidR="001E4E45">
        <w:rPr>
          <w:rFonts w:ascii="Arial" w:hAnsi="Arial" w:cs="Arial"/>
          <w:sz w:val="22"/>
          <w:szCs w:val="22"/>
        </w:rPr>
        <w:t>2018</w:t>
      </w:r>
      <w:r w:rsidRPr="009F3AE0">
        <w:rPr>
          <w:rFonts w:ascii="Arial" w:hAnsi="Arial" w:cs="Cordia New"/>
          <w:sz w:val="22"/>
          <w:szCs w:val="22"/>
        </w:rPr>
        <w:t xml:space="preserve">, </w:t>
      </w:r>
      <w:r w:rsidR="006A35F3">
        <w:rPr>
          <w:rFonts w:ascii="Arial" w:hAnsi="Arial" w:cs="Cordia New"/>
          <w:sz w:val="22"/>
          <w:szCs w:val="22"/>
        </w:rPr>
        <w:t xml:space="preserve">and </w:t>
      </w:r>
      <w:r w:rsidRPr="009F3AE0">
        <w:rPr>
          <w:rFonts w:ascii="Arial" w:hAnsi="Arial" w:cs="Arial"/>
          <w:sz w:val="22"/>
          <w:szCs w:val="22"/>
        </w:rPr>
        <w:t>the related con</w:t>
      </w:r>
      <w:r>
        <w:rPr>
          <w:rFonts w:ascii="Arial" w:hAnsi="Arial" w:cs="Arial"/>
          <w:sz w:val="22"/>
          <w:szCs w:val="22"/>
        </w:rPr>
        <w:t>solidated statements of income, comprehensive income</w:t>
      </w:r>
      <w:r w:rsidR="005A64C4">
        <w:rPr>
          <w:rFonts w:ascii="Arial" w:hAnsi="Arial" w:cstheme="minorBidi" w:hint="cs"/>
          <w:sz w:val="22"/>
          <w:szCs w:val="22"/>
          <w:cs/>
        </w:rPr>
        <w:t xml:space="preserve"> </w:t>
      </w:r>
      <w:r w:rsidR="005A64C4" w:rsidRPr="009F3AE0">
        <w:rPr>
          <w:rFonts w:ascii="Arial" w:hAnsi="Arial" w:cs="Arial"/>
          <w:sz w:val="22"/>
          <w:szCs w:val="22"/>
        </w:rPr>
        <w:t xml:space="preserve">for the </w:t>
      </w:r>
      <w:r w:rsidR="00D30564">
        <w:rPr>
          <w:rFonts w:ascii="Arial" w:hAnsi="Arial" w:cs="Arial"/>
          <w:sz w:val="22"/>
          <w:szCs w:val="22"/>
        </w:rPr>
        <w:t xml:space="preserve">three-month and </w:t>
      </w:r>
      <w:r w:rsidR="00E4455E">
        <w:rPr>
          <w:rFonts w:ascii="Arial" w:hAnsi="Arial" w:cs="Arial"/>
          <w:sz w:val="22"/>
          <w:szCs w:val="22"/>
        </w:rPr>
        <w:t xml:space="preserve">     </w:t>
      </w:r>
      <w:r w:rsidR="00AD04DE">
        <w:rPr>
          <w:rFonts w:ascii="Arial" w:hAnsi="Arial" w:cs="Arial"/>
          <w:sz w:val="22"/>
          <w:szCs w:val="22"/>
        </w:rPr>
        <w:t>nine-month period</w:t>
      </w:r>
      <w:r w:rsidR="00D30564">
        <w:rPr>
          <w:rFonts w:ascii="Arial" w:hAnsi="Arial" w:cs="Arial"/>
          <w:sz w:val="22"/>
          <w:szCs w:val="22"/>
        </w:rPr>
        <w:t>s</w:t>
      </w:r>
      <w:r w:rsidR="005A64C4">
        <w:rPr>
          <w:rFonts w:ascii="Arial" w:hAnsi="Arial" w:cstheme="minorBidi" w:hint="cs"/>
          <w:sz w:val="22"/>
          <w:szCs w:val="22"/>
          <w:cs/>
        </w:rPr>
        <w:t xml:space="preserve"> </w:t>
      </w:r>
      <w:r w:rsidR="005A64C4">
        <w:rPr>
          <w:rFonts w:ascii="Arial" w:hAnsi="Arial" w:cstheme="minorBidi"/>
          <w:sz w:val="22"/>
          <w:szCs w:val="22"/>
        </w:rPr>
        <w:t xml:space="preserve">ended </w:t>
      </w:r>
      <w:r w:rsidR="005A64C4">
        <w:rPr>
          <w:rFonts w:ascii="Arial" w:hAnsi="Arial" w:cs="Arial"/>
          <w:sz w:val="22"/>
          <w:szCs w:val="22"/>
        </w:rPr>
        <w:t xml:space="preserve">30 </w:t>
      </w:r>
      <w:r w:rsidR="00AD04DE">
        <w:rPr>
          <w:rFonts w:ascii="Arial" w:hAnsi="Arial" w:cs="Arial"/>
          <w:sz w:val="22"/>
          <w:szCs w:val="22"/>
        </w:rPr>
        <w:t>September</w:t>
      </w:r>
      <w:r w:rsidR="005A64C4">
        <w:rPr>
          <w:rFonts w:ascii="Arial" w:hAnsi="Arial" w:cs="Arial"/>
          <w:sz w:val="22"/>
          <w:szCs w:val="22"/>
        </w:rPr>
        <w:t xml:space="preserve"> 2018</w:t>
      </w:r>
      <w:r>
        <w:rPr>
          <w:rFonts w:ascii="Arial" w:hAnsi="Arial" w:cs="Arial"/>
          <w:sz w:val="22"/>
          <w:szCs w:val="22"/>
        </w:rPr>
        <w:t xml:space="preserve">, </w:t>
      </w:r>
      <w:r w:rsidR="005A64C4">
        <w:rPr>
          <w:rFonts w:ascii="Arial" w:hAnsi="Arial" w:cs="Arial"/>
          <w:sz w:val="22"/>
          <w:szCs w:val="22"/>
        </w:rPr>
        <w:t xml:space="preserve">and the related consolidated statements of </w:t>
      </w:r>
      <w:r>
        <w:rPr>
          <w:rFonts w:ascii="Arial" w:hAnsi="Arial" w:cs="Arial"/>
          <w:sz w:val="22"/>
          <w:szCs w:val="22"/>
        </w:rPr>
        <w:t xml:space="preserve">changes in </w:t>
      </w:r>
      <w:r w:rsidRPr="009F3AE0">
        <w:rPr>
          <w:rFonts w:ascii="Arial" w:hAnsi="Arial" w:cs="Arial"/>
          <w:sz w:val="22"/>
          <w:szCs w:val="22"/>
        </w:rPr>
        <w:t xml:space="preserve">shareholders’ equity, and cash flows for the </w:t>
      </w:r>
      <w:r w:rsidR="00AD04DE">
        <w:rPr>
          <w:rFonts w:ascii="Arial" w:hAnsi="Arial" w:cs="Arial"/>
          <w:sz w:val="22"/>
          <w:szCs w:val="22"/>
        </w:rPr>
        <w:t>nine</w:t>
      </w:r>
      <w:r w:rsidR="003F5B55">
        <w:rPr>
          <w:rFonts w:ascii="Arial" w:hAnsi="Arial" w:cs="Arial"/>
          <w:sz w:val="22"/>
          <w:szCs w:val="22"/>
        </w:rPr>
        <w:t>-month periods</w:t>
      </w:r>
      <w:r w:rsidRPr="009F3AE0">
        <w:rPr>
          <w:rFonts w:ascii="Arial" w:hAnsi="Arial" w:cs="Arial"/>
          <w:sz w:val="22"/>
          <w:szCs w:val="22"/>
        </w:rPr>
        <w:t xml:space="preserve"> </w:t>
      </w:r>
      <w:r>
        <w:rPr>
          <w:rFonts w:ascii="Arial" w:hAnsi="Arial" w:cs="Arial"/>
          <w:sz w:val="22"/>
          <w:szCs w:val="22"/>
        </w:rPr>
        <w:t>then ended</w:t>
      </w:r>
      <w:r w:rsidRPr="009F3AE0">
        <w:rPr>
          <w:rFonts w:ascii="Arial" w:hAnsi="Arial" w:cs="Arial"/>
          <w:sz w:val="22"/>
          <w:szCs w:val="22"/>
        </w:rPr>
        <w:t>,</w:t>
      </w:r>
      <w:r>
        <w:rPr>
          <w:rFonts w:ascii="Arial" w:hAnsi="Arial" w:cs="Arial"/>
          <w:sz w:val="22"/>
          <w:szCs w:val="22"/>
        </w:rPr>
        <w:t xml:space="preserve"> as well as the condensed notes to the 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 Total Access Communication Public Company Limited for the same period</w:t>
      </w:r>
      <w:r>
        <w:rPr>
          <w:rFonts w:ascii="Arial" w:eastAsia="Arial Unicode MS" w:hAnsi="Arial" w:cs="Arial Unicode MS"/>
          <w:sz w:val="22"/>
          <w:szCs w:val="22"/>
        </w:rPr>
        <w:t xml:space="preserve">. Management is responsible for the preparation and presentation of 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 xml:space="preserve">. </w:t>
      </w:r>
      <w:r w:rsidR="00E4455E">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 xml:space="preserve">to express a conclusion on this interim financial information based on </w:t>
      </w:r>
      <w:r w:rsidR="00E4455E">
        <w:rPr>
          <w:rFonts w:ascii="Arial" w:eastAsia="Arial Unicode MS" w:hAnsi="Arial" w:cs="Arial Unicode MS"/>
          <w:sz w:val="22"/>
          <w:szCs w:val="22"/>
        </w:rPr>
        <w:t xml:space="preserve">                   </w:t>
      </w:r>
      <w:r>
        <w:rPr>
          <w:rFonts w:ascii="Arial" w:eastAsia="Arial Unicode MS" w:hAnsi="Arial" w:cs="Arial Unicode MS"/>
          <w:sz w:val="22"/>
          <w:szCs w:val="22"/>
        </w:rPr>
        <w:t>my review.</w:t>
      </w:r>
      <w:r w:rsidRPr="00525FAC">
        <w:rPr>
          <w:rFonts w:ascii="Arial" w:eastAsia="Arial Unicode MS" w:hAnsi="Arial" w:cs="Arial Unicode MS"/>
          <w:sz w:val="22"/>
          <w:szCs w:val="22"/>
          <w:cs/>
        </w:rPr>
        <w:t xml:space="preserve"> </w:t>
      </w:r>
    </w:p>
    <w:p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 xml:space="preserve">t </w:t>
      </w:r>
      <w:r w:rsidRPr="00282727">
        <w:rPr>
          <w:rFonts w:ascii="Arial" w:hAnsi="Arial" w:cs="Arial"/>
          <w:sz w:val="22"/>
          <w:szCs w:val="22"/>
        </w:rPr>
        <w:t>I would become aware of all significant matters that might be identified in an audit. Accordingly, I do not express an audit opinion.</w:t>
      </w: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rsidR="00924A01" w:rsidRDefault="00924A01" w:rsidP="00A1503E">
      <w:pPr>
        <w:pStyle w:val="ps-000-normal"/>
        <w:spacing w:before="120" w:line="380" w:lineRule="exact"/>
        <w:rPr>
          <w:rFonts w:ascii="Arial" w:hAnsi="Arial" w:cs="Arial"/>
          <w:sz w:val="22"/>
          <w:szCs w:val="22"/>
        </w:rPr>
        <w:sectPr w:rsidR="00924A01" w:rsidSect="00924A01">
          <w:footerReference w:type="default" r:id="rId9"/>
          <w:footerReference w:type="first" r:id="rId10"/>
          <w:pgSz w:w="11909" w:h="16834" w:code="9"/>
          <w:pgMar w:top="3600" w:right="1080" w:bottom="1080" w:left="1296" w:header="706" w:footer="706" w:gutter="0"/>
          <w:pgNumType w:start="1"/>
          <w:cols w:space="720"/>
          <w:titlePg/>
        </w:sectPr>
      </w:pPr>
    </w:p>
    <w:p w:rsidR="005C0205" w:rsidRDefault="005C0205" w:rsidP="002D0F12">
      <w:pPr>
        <w:spacing w:before="120" w:after="120" w:line="380" w:lineRule="exact"/>
        <w:rPr>
          <w:rFonts w:ascii="Arial" w:hAnsi="Arial" w:cs="Arial"/>
          <w:b/>
          <w:bCs/>
          <w:sz w:val="22"/>
          <w:szCs w:val="22"/>
        </w:rPr>
      </w:pPr>
    </w:p>
    <w:p w:rsidR="005C0205" w:rsidRDefault="005C0205" w:rsidP="002D0F12">
      <w:pPr>
        <w:spacing w:before="120" w:after="120" w:line="380" w:lineRule="exact"/>
        <w:rPr>
          <w:rFonts w:ascii="Arial" w:hAnsi="Arial" w:cs="Arial"/>
          <w:b/>
          <w:bCs/>
          <w:sz w:val="22"/>
          <w:szCs w:val="22"/>
        </w:rPr>
      </w:pP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Emphasis of matters</w:t>
      </w:r>
    </w:p>
    <w:p w:rsidR="002D0F12" w:rsidRDefault="002D0F12" w:rsidP="002D0F12">
      <w:pPr>
        <w:spacing w:before="240" w:after="120" w:line="380" w:lineRule="exact"/>
        <w:rPr>
          <w:rFonts w:ascii="Arial" w:hAnsi="Arial" w:cs="Arial"/>
          <w:sz w:val="22"/>
          <w:szCs w:val="22"/>
        </w:rPr>
      </w:pPr>
      <w:r w:rsidRPr="00A37B0F">
        <w:rPr>
          <w:rFonts w:ascii="Arial" w:hAnsi="Arial" w:cs="Arial"/>
          <w:sz w:val="22"/>
          <w:szCs w:val="22"/>
        </w:rPr>
        <w:t xml:space="preserve">Without </w:t>
      </w:r>
      <w:r>
        <w:rPr>
          <w:rFonts w:ascii="Arial" w:hAnsi="Arial" w:cs="Arial"/>
          <w:sz w:val="22"/>
          <w:szCs w:val="22"/>
        </w:rPr>
        <w:t>expressing a qualified conclusion on the aforementioned interim financial information, I draw attention to the following matters:</w:t>
      </w:r>
    </w:p>
    <w:p w:rsidR="00306E9C" w:rsidRPr="00D00F1A"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t>Significant legal cases and commercial disputes</w:t>
      </w:r>
    </w:p>
    <w:p w:rsidR="00306E9C" w:rsidRPr="00525FAC" w:rsidRDefault="00306E9C"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900" w:hanging="900"/>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t>A</w:t>
      </w:r>
      <w:r w:rsidRPr="00525FAC">
        <w:rPr>
          <w:rFonts w:ascii="Arial" w:eastAsia="Arial Unicode MS" w:hAnsi="Arial" w:cs="Arial Unicode MS"/>
          <w:sz w:val="22"/>
          <w:szCs w:val="22"/>
        </w:rPr>
        <w:t xml:space="preserve">s discussed in Note </w:t>
      </w:r>
      <w:r w:rsidR="005A64C4">
        <w:rPr>
          <w:rFonts w:ascii="Arial" w:eastAsia="Arial Unicode MS" w:hAnsi="Arial" w:cs="Arial Unicode MS"/>
          <w:sz w:val="22"/>
          <w:szCs w:val="22"/>
        </w:rPr>
        <w:t>26</w:t>
      </w:r>
      <w:r>
        <w:rPr>
          <w:rFonts w:ascii="Arial" w:eastAsia="Arial Unicode MS" w:hAnsi="Arial" w:cs="Arial Unicode MS"/>
          <w:sz w:val="22"/>
          <w:szCs w:val="22"/>
        </w:rPr>
        <w:t xml:space="preserve"> to </w:t>
      </w:r>
      <w:r w:rsidRPr="00525FAC">
        <w:rPr>
          <w:rFonts w:ascii="Arial" w:eastAsia="Arial Unicode MS" w:hAnsi="Arial" w:cs="Arial Unicode MS"/>
          <w:sz w:val="22"/>
          <w:szCs w:val="22"/>
        </w:rPr>
        <w:t>the</w:t>
      </w:r>
      <w:r>
        <w:rPr>
          <w:rFonts w:ascii="Arial" w:eastAsia="Arial Unicode MS" w:hAnsi="Arial" w:cs="Arial Unicode MS"/>
          <w:sz w:val="22"/>
          <w:szCs w:val="22"/>
        </w:rPr>
        <w:t xml:space="preserve"> consolidated</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interim financial statements, the Company is involved in proceedings</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 xml:space="preserve">and commercial disputes with </w:t>
      </w:r>
      <w:r w:rsidRPr="00525FAC">
        <w:rPr>
          <w:rFonts w:ascii="Arial" w:eastAsia="Arial Unicode MS" w:hAnsi="Arial" w:cs="Arial Unicode MS"/>
          <w:sz w:val="22"/>
          <w:szCs w:val="22"/>
        </w:rPr>
        <w:t>TOT Public Company Limited (“TOT”)</w:t>
      </w:r>
      <w:r>
        <w:rPr>
          <w:rFonts w:ascii="Arial" w:eastAsia="Arial Unicode MS" w:hAnsi="Arial" w:cs="Arial Unicode MS"/>
          <w:sz w:val="22"/>
          <w:szCs w:val="22"/>
        </w:rPr>
        <w:t xml:space="preserve"> in relation to the access charge payment. F</w:t>
      </w:r>
      <w:r w:rsidRPr="00525FAC">
        <w:rPr>
          <w:rFonts w:ascii="Arial" w:eastAsia="Arial Unicode MS" w:hAnsi="Arial" w:cs="Arial Unicode MS"/>
          <w:color w:val="000000"/>
          <w:sz w:val="22"/>
          <w:szCs w:val="22"/>
        </w:rPr>
        <w:t xml:space="preserve">or the period </w:t>
      </w:r>
      <w:r>
        <w:rPr>
          <w:rFonts w:ascii="Arial" w:eastAsia="Arial Unicode MS" w:hAnsi="Arial" w:cs="Arial Unicode MS"/>
          <w:color w:val="000000"/>
          <w:sz w:val="22"/>
          <w:szCs w:val="22"/>
        </w:rPr>
        <w:t>from 18</w:t>
      </w:r>
      <w:r w:rsidRPr="00525FAC">
        <w:rPr>
          <w:rFonts w:ascii="Arial" w:eastAsia="Arial Unicode MS" w:hAnsi="Arial" w:cs="Arial Unicode MS"/>
          <w:color w:val="000000"/>
          <w:sz w:val="22"/>
          <w:szCs w:val="22"/>
        </w:rPr>
        <w:t xml:space="preserve"> November 2006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7 November 2007</w:t>
      </w:r>
      <w:r>
        <w:rPr>
          <w:rFonts w:ascii="Arial" w:eastAsia="Arial Unicode MS" w:hAnsi="Arial" w:cs="Arial Unicode MS"/>
          <w:color w:val="000000"/>
          <w:sz w:val="22"/>
          <w:szCs w:val="22"/>
        </w:rPr>
        <w:t>,</w:t>
      </w:r>
      <w:r w:rsidRPr="00525FAC">
        <w:rPr>
          <w:rFonts w:ascii="Arial" w:eastAsia="Arial Unicode MS" w:hAnsi="Arial" w:cs="Arial Unicode MS"/>
          <w:color w:val="000000"/>
          <w:sz w:val="22"/>
          <w:szCs w:val="22"/>
        </w:rPr>
        <w:t xml:space="preserve"> </w:t>
      </w:r>
      <w:r>
        <w:rPr>
          <w:rFonts w:ascii="Arial" w:eastAsia="Arial Unicode MS" w:hAnsi="Arial" w:cs="Arial Unicode MS"/>
          <w:sz w:val="22"/>
          <w:szCs w:val="22"/>
        </w:rPr>
        <w:t>t</w:t>
      </w:r>
      <w:r w:rsidRPr="00525FAC">
        <w:rPr>
          <w:rFonts w:ascii="Arial" w:eastAsia="Arial Unicode MS" w:hAnsi="Arial" w:cs="Arial Unicode MS"/>
          <w:color w:val="000000"/>
          <w:sz w:val="22"/>
          <w:szCs w:val="22"/>
        </w:rPr>
        <w:t xml:space="preserve">he Company accrued </w:t>
      </w:r>
      <w:r>
        <w:rPr>
          <w:rFonts w:ascii="Arial" w:eastAsia="Arial Unicode MS" w:hAnsi="Arial" w:cs="Arial Unicode MS"/>
          <w:color w:val="000000"/>
          <w:sz w:val="22"/>
          <w:szCs w:val="22"/>
        </w:rPr>
        <w:t xml:space="preserve">the access charge in the financial statements at the </w:t>
      </w:r>
      <w:r w:rsidRPr="00525FAC">
        <w:rPr>
          <w:rFonts w:ascii="Arial" w:eastAsia="Arial Unicode MS" w:hAnsi="Arial" w:cs="Arial Unicode MS"/>
          <w:color w:val="000000"/>
          <w:sz w:val="22"/>
          <w:szCs w:val="22"/>
        </w:rPr>
        <w:t>interconnection charge</w:t>
      </w:r>
      <w:r>
        <w:rPr>
          <w:rFonts w:ascii="Arial" w:eastAsia="Arial Unicode MS" w:hAnsi="Arial" w:cs="Arial Unicode MS"/>
          <w:color w:val="000000"/>
          <w:sz w:val="22"/>
          <w:szCs w:val="22"/>
        </w:rPr>
        <w:t xml:space="preserve"> rate payable,</w:t>
      </w:r>
      <w:r w:rsidRPr="00525FAC">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and this </w:t>
      </w:r>
      <w:r w:rsidRPr="00525FAC">
        <w:rPr>
          <w:rFonts w:ascii="Arial" w:eastAsia="Arial Unicode MS" w:hAnsi="Arial" w:cs="Arial Unicode MS"/>
          <w:color w:val="000000"/>
          <w:sz w:val="22"/>
          <w:szCs w:val="22"/>
        </w:rPr>
        <w:t>amount</w:t>
      </w:r>
      <w:r>
        <w:rPr>
          <w:rFonts w:ascii="Arial" w:eastAsia="Arial Unicode MS" w:hAnsi="Arial" w:cs="Arial Unicode MS"/>
          <w:color w:val="000000"/>
          <w:sz w:val="22"/>
          <w:szCs w:val="22"/>
        </w:rPr>
        <w:t>ed</w:t>
      </w:r>
      <w:r w:rsidRPr="00525FAC">
        <w:rPr>
          <w:rFonts w:ascii="Arial" w:eastAsia="Arial Unicode MS" w:hAnsi="Arial" w:cs="Arial Unicode MS"/>
          <w:color w:val="000000"/>
          <w:sz w:val="22"/>
          <w:szCs w:val="22"/>
        </w:rPr>
        <w:t xml:space="preserve">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Baht 1,973 million</w:t>
      </w:r>
      <w:r>
        <w:rPr>
          <w:rFonts w:ascii="Arial" w:eastAsia="Arial Unicode MS" w:hAnsi="Arial" w:cs="Arial Unicode MS"/>
          <w:color w:val="000000"/>
          <w:sz w:val="22"/>
          <w:szCs w:val="22"/>
        </w:rPr>
        <w:t>. O</w:t>
      </w:r>
      <w:r w:rsidRPr="00525FAC">
        <w:rPr>
          <w:rFonts w:ascii="Arial" w:eastAsia="Arial Unicode MS" w:hAnsi="Arial" w:cs="Arial Unicode MS"/>
          <w:color w:val="000000"/>
          <w:sz w:val="22"/>
          <w:szCs w:val="22"/>
        </w:rPr>
        <w:t>n</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8 November 2007, the Company sent TOT a notice to terminate the two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greements, </w:t>
      </w:r>
      <w:r>
        <w:rPr>
          <w:rFonts w:ascii="Arial" w:eastAsia="Arial Unicode MS" w:hAnsi="Arial" w:cs="Arial Unicode MS"/>
          <w:color w:val="000000"/>
          <w:sz w:val="22"/>
          <w:szCs w:val="22"/>
        </w:rPr>
        <w:t xml:space="preserve">and so </w:t>
      </w:r>
      <w:r w:rsidRPr="00525FAC">
        <w:rPr>
          <w:rFonts w:ascii="Arial" w:eastAsia="Arial Unicode MS" w:hAnsi="Arial" w:cs="Arial Unicode MS"/>
          <w:color w:val="000000"/>
          <w:sz w:val="22"/>
          <w:szCs w:val="22"/>
        </w:rPr>
        <w:t xml:space="preserve">from 8 November 2007 to </w:t>
      </w:r>
      <w:r w:rsidR="003F5B55">
        <w:rPr>
          <w:rFonts w:ascii="Arial" w:eastAsia="Arial Unicode MS" w:hAnsi="Arial" w:cs="Arial Unicode MS"/>
          <w:color w:val="000000"/>
          <w:sz w:val="22"/>
          <w:szCs w:val="22"/>
        </w:rPr>
        <w:t xml:space="preserve">30 </w:t>
      </w:r>
      <w:r w:rsidR="00AD04DE">
        <w:rPr>
          <w:rFonts w:ascii="Arial" w:eastAsia="Arial Unicode MS" w:hAnsi="Arial" w:cs="Arial Unicode MS"/>
          <w:color w:val="000000"/>
          <w:sz w:val="22"/>
          <w:szCs w:val="22"/>
        </w:rPr>
        <w:t>September</w:t>
      </w:r>
      <w:r>
        <w:rPr>
          <w:rFonts w:ascii="Arial" w:eastAsia="Arial Unicode MS" w:hAnsi="Arial" w:cs="Arial Unicode MS"/>
          <w:color w:val="000000"/>
          <w:sz w:val="22"/>
          <w:szCs w:val="22"/>
        </w:rPr>
        <w:t xml:space="preserve"> </w:t>
      </w:r>
      <w:r w:rsidR="001E4E45">
        <w:rPr>
          <w:rFonts w:ascii="Arial" w:eastAsia="Arial Unicode MS" w:hAnsi="Arial" w:cs="Arial Unicode MS"/>
          <w:color w:val="000000"/>
          <w:sz w:val="22"/>
          <w:szCs w:val="22"/>
        </w:rPr>
        <w:t>2018</w:t>
      </w:r>
      <w:r w:rsidRPr="00525FAC">
        <w:rPr>
          <w:rFonts w:ascii="Arial" w:eastAsia="Arial Unicode MS" w:hAnsi="Arial" w:cs="Arial Unicode MS"/>
          <w:color w:val="000000"/>
          <w:sz w:val="22"/>
          <w:szCs w:val="22"/>
        </w:rPr>
        <w:t xml:space="preserve"> the Company did not accrue the access charge in its financial statements because </w:t>
      </w:r>
      <w:r>
        <w:rPr>
          <w:rFonts w:ascii="Arial" w:eastAsia="Arial Unicode MS" w:hAnsi="Arial" w:cs="Arial Unicode MS"/>
          <w:color w:val="000000"/>
          <w:sz w:val="22"/>
          <w:szCs w:val="22"/>
        </w:rPr>
        <w:t xml:space="preserve">the Company’s management believes that its obligation to pay access charges under </w:t>
      </w:r>
      <w:r w:rsidRPr="00525FAC">
        <w:rPr>
          <w:rFonts w:ascii="Arial" w:eastAsia="Arial Unicode MS" w:hAnsi="Arial" w:cs="Arial Unicode MS"/>
          <w:color w:val="000000"/>
          <w:sz w:val="22"/>
          <w:szCs w:val="22"/>
        </w:rPr>
        <w:t xml:space="preserve">the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Agreements is ended. To date, TOT has not entered into an interconnection charge agreement with the Company. In addition, on 9</w:t>
      </w:r>
      <w:r w:rsidRPr="00133874">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May </w:t>
      </w:r>
      <w:r w:rsidRPr="00133874">
        <w:rPr>
          <w:rFonts w:ascii="Arial" w:eastAsia="Arial Unicode MS" w:hAnsi="Arial" w:cs="Arial Unicode MS"/>
          <w:color w:val="000000"/>
          <w:sz w:val="22"/>
          <w:szCs w:val="22"/>
        </w:rPr>
        <w:t>2011,</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TOT </w:t>
      </w:r>
      <w:r>
        <w:rPr>
          <w:rFonts w:ascii="Arial" w:eastAsia="Arial Unicode MS" w:hAnsi="Arial" w:cs="Arial Unicode MS"/>
          <w:color w:val="000000"/>
          <w:sz w:val="22"/>
          <w:szCs w:val="22"/>
        </w:rPr>
        <w:t xml:space="preserve">had </w:t>
      </w:r>
      <w:r w:rsidRPr="00133874">
        <w:rPr>
          <w:rFonts w:ascii="Arial" w:eastAsia="Arial Unicode MS" w:hAnsi="Arial" w:cs="Arial Unicode MS"/>
          <w:color w:val="000000"/>
          <w:sz w:val="22"/>
          <w:szCs w:val="22"/>
        </w:rPr>
        <w:t xml:space="preserve">filed a plaint </w:t>
      </w:r>
      <w:r>
        <w:rPr>
          <w:rFonts w:ascii="Arial" w:eastAsia="Arial Unicode MS" w:hAnsi="Arial" w:cs="Arial Unicode MS"/>
          <w:color w:val="000000"/>
          <w:sz w:val="22"/>
          <w:szCs w:val="22"/>
        </w:rPr>
        <w:t xml:space="preserve">with </w:t>
      </w:r>
      <w:r w:rsidRPr="00133874">
        <w:rPr>
          <w:rFonts w:ascii="Arial" w:eastAsia="Arial Unicode MS" w:hAnsi="Arial" w:cs="Arial Unicode MS"/>
          <w:color w:val="000000"/>
          <w:sz w:val="22"/>
          <w:szCs w:val="22"/>
        </w:rPr>
        <w:t>the Central Administrative Court</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and a petition to amend the plaint </w:t>
      </w:r>
      <w:r>
        <w:rPr>
          <w:rFonts w:ascii="Arial" w:eastAsia="Arial Unicode MS" w:hAnsi="Arial" w:cs="Arial Unicode MS"/>
          <w:color w:val="000000"/>
          <w:sz w:val="22"/>
          <w:szCs w:val="22"/>
        </w:rPr>
        <w:t xml:space="preserve">on </w:t>
      </w:r>
      <w:r w:rsidRPr="00133874">
        <w:rPr>
          <w:rFonts w:ascii="Arial" w:eastAsia="Arial Unicode MS" w:hAnsi="Arial" w:cs="Arial Unicode MS"/>
          <w:color w:val="000000"/>
          <w:sz w:val="22"/>
          <w:szCs w:val="22"/>
        </w:rPr>
        <w:t xml:space="preserve">7 </w:t>
      </w:r>
      <w:r>
        <w:rPr>
          <w:rFonts w:ascii="Arial" w:eastAsia="Arial Unicode MS" w:hAnsi="Arial" w:cs="Arial Unicode MS"/>
          <w:color w:val="000000"/>
          <w:sz w:val="22"/>
          <w:szCs w:val="22"/>
        </w:rPr>
        <w:t>September</w:t>
      </w:r>
      <w:r w:rsidRPr="00133874">
        <w:rPr>
          <w:rFonts w:ascii="Arial" w:eastAsia="Arial Unicode MS" w:hAnsi="Arial" w:cs="Arial Unicode MS"/>
          <w:color w:val="000000"/>
          <w:sz w:val="22"/>
          <w:szCs w:val="22"/>
        </w:rPr>
        <w:t xml:space="preserve"> 2011</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demanding </w:t>
      </w:r>
      <w:r>
        <w:rPr>
          <w:rFonts w:ascii="Arial" w:eastAsia="Arial Unicode MS" w:hAnsi="Arial" w:cs="Arial Unicode MS"/>
          <w:color w:val="000000"/>
          <w:sz w:val="22"/>
          <w:szCs w:val="22"/>
        </w:rPr>
        <w:t xml:space="preserve">that </w:t>
      </w:r>
      <w:r w:rsidRPr="00133874">
        <w:rPr>
          <w:rFonts w:ascii="Arial" w:eastAsia="Arial Unicode MS" w:hAnsi="Arial" w:cs="Arial Unicode MS"/>
          <w:color w:val="000000"/>
          <w:sz w:val="22"/>
          <w:szCs w:val="22"/>
        </w:rPr>
        <w:t xml:space="preserve">CAT </w:t>
      </w:r>
      <w:r>
        <w:rPr>
          <w:rFonts w:ascii="Arial" w:eastAsia="Arial Unicode MS" w:hAnsi="Arial" w:cs="Arial Unicode MS"/>
          <w:color w:val="000000"/>
          <w:sz w:val="22"/>
          <w:szCs w:val="22"/>
        </w:rPr>
        <w:t xml:space="preserve">Telecom Public Company Limited (“CAT”) </w:t>
      </w:r>
      <w:r w:rsidRPr="00133874">
        <w:rPr>
          <w:rFonts w:ascii="Arial" w:eastAsia="Arial Unicode MS" w:hAnsi="Arial" w:cs="Arial Unicode MS"/>
          <w:color w:val="000000"/>
          <w:sz w:val="22"/>
          <w:szCs w:val="22"/>
        </w:rPr>
        <w:t xml:space="preserve">and the Company jointly pay damages </w:t>
      </w:r>
      <w:r>
        <w:rPr>
          <w:rFonts w:ascii="Arial" w:eastAsia="Arial Unicode MS" w:hAnsi="Arial" w:cs="Arial Unicode MS"/>
          <w:color w:val="000000"/>
          <w:sz w:val="22"/>
          <w:szCs w:val="22"/>
        </w:rPr>
        <w:t xml:space="preserve">resulting </w:t>
      </w:r>
      <w:r w:rsidRPr="00133874">
        <w:rPr>
          <w:rFonts w:ascii="Arial" w:eastAsia="Arial Unicode MS" w:hAnsi="Arial" w:cs="Arial Unicode MS"/>
          <w:color w:val="000000"/>
          <w:sz w:val="22"/>
          <w:szCs w:val="22"/>
        </w:rPr>
        <w:t xml:space="preserve">from the access charge </w:t>
      </w:r>
      <w:r>
        <w:rPr>
          <w:rFonts w:ascii="Arial" w:eastAsia="Arial Unicode MS" w:hAnsi="Arial" w:cs="Arial Unicode MS"/>
          <w:color w:val="000000"/>
          <w:sz w:val="22"/>
          <w:szCs w:val="22"/>
        </w:rPr>
        <w:t xml:space="preserve">up </w:t>
      </w:r>
      <w:r w:rsidRPr="00133874">
        <w:rPr>
          <w:rFonts w:ascii="Arial" w:eastAsia="Arial Unicode MS" w:hAnsi="Arial" w:cs="Arial Unicode MS"/>
          <w:color w:val="000000"/>
          <w:sz w:val="22"/>
          <w:szCs w:val="22"/>
        </w:rPr>
        <w:t>to</w:t>
      </w:r>
      <w:r>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9 May 2011 (the filing date of the plaint)</w:t>
      </w:r>
      <w:r>
        <w:rPr>
          <w:rFonts w:ascii="Arial" w:eastAsia="Arial Unicode MS" w:hAnsi="Arial" w:cs="Arial Unicode MS"/>
          <w:color w:val="000000"/>
          <w:sz w:val="22"/>
          <w:szCs w:val="22"/>
        </w:rPr>
        <w:t xml:space="preserve"> which,</w:t>
      </w:r>
      <w:r w:rsidRPr="00133874">
        <w:rPr>
          <w:rFonts w:ascii="Arial" w:eastAsia="Arial Unicode MS" w:hAnsi="Arial" w:cs="Arial Unicode MS"/>
          <w:color w:val="000000"/>
          <w:sz w:val="22"/>
          <w:szCs w:val="22"/>
        </w:rPr>
        <w:t xml:space="preserve"> including VAT and default interest</w:t>
      </w:r>
      <w:r>
        <w:rPr>
          <w:rFonts w:ascii="Arial" w:eastAsia="Arial Unicode MS" w:hAnsi="Arial" w:cs="Arial Unicode MS"/>
          <w:color w:val="000000"/>
          <w:sz w:val="22"/>
          <w:szCs w:val="22"/>
        </w:rPr>
        <w:t>, amounted to</w:t>
      </w:r>
      <w:r w:rsidRPr="00133874">
        <w:rPr>
          <w:rFonts w:ascii="Arial" w:eastAsia="Arial Unicode MS" w:hAnsi="Arial" w:cs="Arial Unicode MS"/>
          <w:color w:val="000000"/>
          <w:sz w:val="22"/>
          <w:szCs w:val="22"/>
        </w:rPr>
        <w:t xml:space="preserve"> Baht 113,319 million</w:t>
      </w:r>
      <w:r>
        <w:rPr>
          <w:rFonts w:ascii="Arial" w:eastAsia="Arial Unicode MS" w:hAnsi="Arial" w:cs="Arial Unicode MS"/>
          <w:color w:val="000000"/>
          <w:sz w:val="22"/>
          <w:szCs w:val="22"/>
        </w:rPr>
        <w:t xml:space="preserve">. Subsequently, on 31 July 2014, TOT additionally filed a petition to amend the plaint to adjust the amount of damages claimed up to 10 July 2014, including VAT and default interest, to Baht 245,638 million. </w:t>
      </w:r>
      <w:r w:rsidRPr="008864D9">
        <w:rPr>
          <w:rFonts w:ascii="Arial" w:eastAsia="Arial Unicode MS" w:hAnsi="Arial" w:cs="Arial Unicode MS"/>
          <w:color w:val="000000"/>
          <w:sz w:val="22"/>
          <w:szCs w:val="22"/>
        </w:rPr>
        <w:t>Based on advice from the Company’s legal counsel, the Company’s management is confident that the Company is not obliged to make payment of access charge under the agreements because the Company’s management believes that such agreements do not comply with current legal principles (N</w:t>
      </w:r>
      <w:r w:rsidR="008566BB">
        <w:rPr>
          <w:rFonts w:ascii="Arial" w:eastAsia="Arial Unicode MS" w:hAnsi="Arial" w:cs="Arial Unicode MS"/>
          <w:color w:val="000000"/>
          <w:sz w:val="22"/>
          <w:szCs w:val="22"/>
        </w:rPr>
        <w:t>B</w:t>
      </w:r>
      <w:r w:rsidRPr="008864D9">
        <w:rPr>
          <w:rFonts w:ascii="Arial" w:eastAsia="Arial Unicode MS" w:hAnsi="Arial" w:cs="Arial Unicode MS"/>
          <w:color w:val="000000"/>
          <w:sz w:val="22"/>
          <w:szCs w:val="22"/>
        </w:rPr>
        <w:t>TC notification) and the Company has already terminated the Access Charge Agreements.</w:t>
      </w:r>
      <w:r>
        <w:rPr>
          <w:rFonts w:ascii="Arial" w:eastAsia="Arial Unicode MS" w:hAnsi="Arial" w:cs="Arial Unicode MS"/>
          <w:color w:val="000000"/>
          <w:sz w:val="22"/>
          <w:szCs w:val="22"/>
        </w:rPr>
        <w:t xml:space="preserve"> Currently, the commercial dispute is in the legal process, and litigation is under court proceedings. The outcome of the dispute cannot be determined and depends on the results of the future proceedings as part of the legal and judicial processes.</w:t>
      </w:r>
    </w:p>
    <w:p w:rsidR="008E2BEB" w:rsidRDefault="00306E9C" w:rsidP="00306E9C">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p>
    <w:p w:rsidR="008E2BEB" w:rsidRDefault="008E2BEB" w:rsidP="00306E9C">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p>
    <w:p w:rsidR="008E2BEB" w:rsidRDefault="008E2BEB" w:rsidP="00306E9C">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p>
    <w:p w:rsidR="00306E9C" w:rsidRDefault="00306E9C" w:rsidP="00306E9C">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t>b)</w:t>
      </w:r>
      <w:r>
        <w:rPr>
          <w:rFonts w:ascii="Arial" w:eastAsia="Arial Unicode MS" w:hAnsi="Arial" w:cs="Arial Unicode MS"/>
          <w:color w:val="000000"/>
          <w:sz w:val="22"/>
          <w:szCs w:val="22"/>
        </w:rPr>
        <w:tab/>
      </w:r>
      <w:r w:rsidRPr="00133874">
        <w:rPr>
          <w:rFonts w:ascii="Arial" w:eastAsia="Arial Unicode MS" w:hAnsi="Arial" w:cs="Arial Unicode MS"/>
          <w:color w:val="000000"/>
          <w:sz w:val="22"/>
          <w:szCs w:val="22"/>
        </w:rPr>
        <w:t xml:space="preserve">As discussed in Note </w:t>
      </w:r>
      <w:r w:rsidR="005A64C4">
        <w:rPr>
          <w:rFonts w:ascii="Arial" w:eastAsia="Arial Unicode MS" w:hAnsi="Arial" w:cs="Arial Unicode MS"/>
          <w:color w:val="000000"/>
          <w:sz w:val="22"/>
          <w:szCs w:val="22"/>
        </w:rPr>
        <w:t>27</w:t>
      </w:r>
      <w:r w:rsidR="00D30564">
        <w:rPr>
          <w:rFonts w:ascii="Arial" w:eastAsia="Arial Unicode MS" w:hAnsi="Arial" w:cs="Arial Unicode MS"/>
          <w:color w:val="000000"/>
          <w:sz w:val="22"/>
          <w:szCs w:val="22"/>
        </w:rPr>
        <w:t>.2</w:t>
      </w:r>
      <w:r w:rsidRPr="00133874">
        <w:rPr>
          <w:rFonts w:ascii="Arial" w:eastAsia="Arial Unicode MS" w:hAnsi="Arial" w:cs="Arial Unicode MS"/>
          <w:color w:val="000000"/>
          <w:sz w:val="22"/>
          <w:szCs w:val="22"/>
        </w:rPr>
        <w:t xml:space="preserve"> to the </w:t>
      </w:r>
      <w:r w:rsidRPr="00A6365B">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w:t>
      </w:r>
      <w:r w:rsidRPr="00133874">
        <w:rPr>
          <w:rFonts w:ascii="Arial" w:eastAsia="Arial Unicode MS" w:hAnsi="Arial" w:cs="Arial Unicode MS"/>
          <w:color w:val="000000"/>
          <w:sz w:val="22"/>
          <w:szCs w:val="22"/>
        </w:rPr>
        <w:t xml:space="preserve">financial statements, the Company </w:t>
      </w:r>
      <w:r>
        <w:rPr>
          <w:rFonts w:ascii="Arial" w:eastAsia="Arial Unicode MS" w:hAnsi="Arial" w:cs="Arial Unicode MS"/>
          <w:color w:val="000000"/>
          <w:sz w:val="22"/>
          <w:szCs w:val="22"/>
        </w:rPr>
        <w:t>and one subsidiary have</w:t>
      </w:r>
      <w:r w:rsidRPr="00133874">
        <w:rPr>
          <w:rFonts w:ascii="Arial" w:eastAsia="Arial Unicode MS" w:hAnsi="Arial" w:cs="Arial Unicode MS"/>
          <w:color w:val="000000"/>
          <w:sz w:val="22"/>
          <w:szCs w:val="22"/>
        </w:rPr>
        <w:t xml:space="preserve"> significant outstanding commercial disputes</w:t>
      </w:r>
      <w:r>
        <w:rPr>
          <w:rFonts w:ascii="Arial" w:eastAsia="Arial Unicode MS" w:hAnsi="Arial" w:cs="Arial Unicode MS"/>
          <w:color w:val="000000"/>
          <w:sz w:val="22"/>
          <w:szCs w:val="22"/>
        </w:rPr>
        <w:t xml:space="preserve"> with CAT in relation to revenue sharing from services provided under the agreements to operate cellular telephone services of the Company. </w:t>
      </w:r>
      <w:r w:rsidRPr="00133874">
        <w:rPr>
          <w:rFonts w:ascii="Arial" w:eastAsia="Arial Unicode MS" w:hAnsi="Arial" w:cs="Arial Unicode MS"/>
          <w:color w:val="000000"/>
          <w:sz w:val="22"/>
          <w:szCs w:val="22"/>
        </w:rPr>
        <w:t>At present, such disputes are under legal and formal arbitration proceedings. Their outcomes cannot be determined and depend on the future judicial process</w:t>
      </w:r>
      <w:r>
        <w:rPr>
          <w:rFonts w:ascii="Arial" w:eastAsia="Arial Unicode MS" w:hAnsi="Arial" w:cs="Arial Unicode MS"/>
          <w:color w:val="000000"/>
          <w:sz w:val="22"/>
          <w:szCs w:val="22"/>
        </w:rPr>
        <w:t>es</w:t>
      </w:r>
      <w:r w:rsidRPr="00133874">
        <w:rPr>
          <w:rFonts w:ascii="Arial" w:eastAsia="Arial Unicode MS" w:hAnsi="Arial" w:cs="Arial Unicode MS"/>
          <w:color w:val="000000"/>
          <w:sz w:val="22"/>
          <w:szCs w:val="22"/>
        </w:rPr>
        <w:t>.</w:t>
      </w:r>
    </w:p>
    <w:p w:rsidR="00306E9C" w:rsidRPr="004A55BA" w:rsidRDefault="00306E9C" w:rsidP="00306E9C">
      <w:pPr>
        <w:pStyle w:val="BodyText2"/>
        <w:ind w:left="900" w:right="-43" w:hanging="360"/>
        <w:jc w:val="left"/>
        <w:rPr>
          <w:rFonts w:ascii="Arial" w:eastAsia="Arial Unicode MS" w:hAnsi="Arial" w:cs="Arial Unicode MS"/>
          <w:color w:val="000000"/>
          <w:sz w:val="22"/>
          <w:szCs w:val="22"/>
        </w:rPr>
      </w:pPr>
      <w:r>
        <w:rPr>
          <w:rFonts w:ascii="Arial" w:eastAsia="Arial Unicode MS" w:hAnsi="Arial" w:cs="Arial Unicode MS"/>
          <w:color w:val="000000"/>
          <w:sz w:val="22"/>
          <w:szCs w:val="22"/>
        </w:rPr>
        <w:t>c)</w:t>
      </w:r>
      <w:r>
        <w:rPr>
          <w:rFonts w:ascii="Arial" w:eastAsia="Arial Unicode MS" w:hAnsi="Arial" w:cs="Arial Unicode MS"/>
          <w:color w:val="000000"/>
          <w:sz w:val="22"/>
          <w:szCs w:val="22"/>
        </w:rPr>
        <w:tab/>
      </w:r>
      <w:r w:rsidRPr="004A55BA">
        <w:rPr>
          <w:rFonts w:ascii="Arial" w:eastAsia="Arial Unicode MS" w:hAnsi="Arial" w:cs="Arial Unicode MS"/>
          <w:color w:val="000000"/>
          <w:sz w:val="22"/>
          <w:szCs w:val="22"/>
        </w:rPr>
        <w:t xml:space="preserve">As discussed in Note </w:t>
      </w:r>
      <w:r w:rsidR="005A64C4">
        <w:rPr>
          <w:rFonts w:ascii="Arial" w:eastAsia="Arial Unicode MS" w:hAnsi="Arial" w:cs="Arial Unicode MS"/>
          <w:color w:val="000000"/>
          <w:sz w:val="22"/>
          <w:szCs w:val="22"/>
        </w:rPr>
        <w:t>28</w:t>
      </w:r>
      <w:r w:rsidRPr="004A55BA">
        <w:rPr>
          <w:rFonts w:ascii="Arial" w:eastAsia="Arial Unicode MS" w:hAnsi="Arial" w:cs="Arial Unicode MS"/>
          <w:color w:val="000000"/>
          <w:sz w:val="22"/>
          <w:szCs w:val="22"/>
        </w:rPr>
        <w:t xml:space="preserve"> to the consolidated </w:t>
      </w:r>
      <w:r>
        <w:rPr>
          <w:rFonts w:ascii="Arial" w:eastAsia="Arial Unicode MS" w:hAnsi="Arial" w:cs="Arial Unicode MS"/>
          <w:color w:val="000000"/>
          <w:sz w:val="22"/>
          <w:szCs w:val="22"/>
        </w:rPr>
        <w:t xml:space="preserve">interim </w:t>
      </w:r>
      <w:r w:rsidRPr="004A55BA">
        <w:rPr>
          <w:rFonts w:ascii="Arial" w:eastAsia="Arial Unicode MS" w:hAnsi="Arial" w:cs="Arial Unicode MS"/>
          <w:color w:val="000000"/>
          <w:sz w:val="22"/>
          <w:szCs w:val="22"/>
        </w:rPr>
        <w:t>financial statements, the Company is involved in a dispute with CAT regarding the concessionary equipment because the Company installed and connected the 2.1 GHz devices and equipment of a subsidiary on the concessionary equipment. At present, such dispute is under formal arbitration proceeding. The outcome cannot be determined and depend on future judicial proceeding.</w:t>
      </w:r>
    </w:p>
    <w:p w:rsidR="002D0F12" w:rsidRDefault="00306E9C" w:rsidP="006559A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A</w:t>
      </w:r>
      <w:r w:rsidRPr="00417962">
        <w:rPr>
          <w:rFonts w:ascii="Arial" w:eastAsia="Arial Unicode MS" w:hAnsi="Arial" w:cs="Arial Unicode MS"/>
          <w:color w:val="000000"/>
          <w:sz w:val="22"/>
          <w:szCs w:val="22"/>
        </w:rPr>
        <w:t xml:space="preserve">s discussed in Note </w:t>
      </w:r>
      <w:r w:rsidR="0087334B">
        <w:rPr>
          <w:rFonts w:ascii="Arial" w:eastAsia="Arial Unicode MS" w:hAnsi="Arial" w:cs="Arial Unicode MS"/>
          <w:color w:val="000000"/>
          <w:sz w:val="22"/>
          <w:szCs w:val="22"/>
        </w:rPr>
        <w:t>29</w:t>
      </w:r>
      <w:r w:rsidRPr="00417962">
        <w:rPr>
          <w:rFonts w:ascii="Arial" w:eastAsia="Arial Unicode MS" w:hAnsi="Arial" w:cs="Arial Unicode MS"/>
          <w:color w:val="000000"/>
          <w:sz w:val="22"/>
          <w:szCs w:val="22"/>
        </w:rPr>
        <w:t xml:space="preserve"> to the </w:t>
      </w:r>
      <w:r w:rsidRPr="00981CA8">
        <w:rPr>
          <w:rFonts w:ascii="Arial" w:eastAsia="Arial Unicode MS" w:hAnsi="Arial" w:cs="Arial Unicode MS"/>
          <w:color w:val="000000"/>
          <w:sz w:val="22"/>
          <w:szCs w:val="22"/>
        </w:rPr>
        <w:t xml:space="preserve">consolidated </w:t>
      </w:r>
      <w:r w:rsidR="0007426F">
        <w:rPr>
          <w:rFonts w:ascii="Arial" w:eastAsia="Arial Unicode MS" w:hAnsi="Arial" w:cs="Arial Unicode MS"/>
          <w:color w:val="000000"/>
          <w:sz w:val="22"/>
          <w:szCs w:val="22"/>
        </w:rPr>
        <w:t>interim financial statements, the Company and its subsidiary is susceptible to</w:t>
      </w:r>
      <w:r>
        <w:rPr>
          <w:rFonts w:ascii="Arial" w:eastAsia="Arial Unicode MS" w:hAnsi="Arial" w:cs="Arial Unicode MS"/>
          <w:color w:val="000000"/>
          <w:sz w:val="22"/>
          <w:szCs w:val="22"/>
        </w:rPr>
        <w:t xml:space="preserve"> </w:t>
      </w:r>
      <w:r w:rsidRPr="00981CA8">
        <w:rPr>
          <w:rFonts w:ascii="Arial" w:eastAsia="Arial Unicode MS" w:hAnsi="Arial" w:cs="Arial Unicode MS"/>
          <w:color w:val="000000"/>
          <w:sz w:val="22"/>
          <w:szCs w:val="22"/>
        </w:rPr>
        <w:t>regulatory risk</w:t>
      </w:r>
      <w:r w:rsidR="009607F0">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concerning</w:t>
      </w:r>
      <w:r w:rsidR="009607F0">
        <w:rPr>
          <w:rFonts w:ascii="Arial" w:eastAsia="Arial Unicode MS" w:hAnsi="Arial" w:cs="Arial Unicode MS"/>
          <w:color w:val="000000"/>
          <w:sz w:val="22"/>
          <w:szCs w:val="22"/>
        </w:rPr>
        <w:t xml:space="preserve"> the telecommunication</w:t>
      </w:r>
      <w:r>
        <w:rPr>
          <w:rFonts w:ascii="Arial" w:eastAsia="Arial Unicode MS" w:hAnsi="Arial" w:cs="Arial Unicode MS"/>
          <w:color w:val="000000"/>
          <w:sz w:val="22"/>
          <w:szCs w:val="22"/>
        </w:rPr>
        <w:t xml:space="preserve">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Pr="00306E9C">
        <w:rPr>
          <w:rFonts w:ascii="Arial" w:eastAsia="Arial Unicode MS" w:hAnsi="Arial" w:cs="Arial Unicode MS"/>
          <w:color w:val="000000"/>
          <w:sz w:val="22"/>
          <w:szCs w:val="22"/>
        </w:rPr>
        <w:t>the process of obtaining sufficient spectrum licenses for use in the mobile telecommunication business o</w:t>
      </w:r>
      <w:bookmarkStart w:id="0" w:name="_GoBack"/>
      <w:bookmarkEnd w:id="0"/>
      <w:r w:rsidRPr="00306E9C">
        <w:rPr>
          <w:rFonts w:ascii="Arial" w:eastAsia="Arial Unicode MS" w:hAnsi="Arial" w:cs="Arial Unicode MS"/>
          <w:color w:val="000000"/>
          <w:sz w:val="22"/>
          <w:szCs w:val="22"/>
        </w:rPr>
        <w:t>perations at an appropriate cost is critical to the Company and its subsidiary’s operations</w:t>
      </w:r>
      <w:r w:rsidR="000F7AEC">
        <w:rPr>
          <w:rFonts w:ascii="Arial" w:eastAsia="Arial Unicode MS" w:hAnsi="Arial" w:cs="Arial Unicode MS"/>
          <w:color w:val="000000"/>
          <w:sz w:val="22"/>
          <w:szCs w:val="22"/>
        </w:rPr>
        <w:t xml:space="preserve"> in telecommunication industry</w:t>
      </w:r>
      <w:r w:rsidRPr="00306E9C">
        <w:rPr>
          <w:rFonts w:ascii="Arial" w:eastAsia="Arial Unicode MS" w:hAnsi="Arial" w:cs="Arial Unicode MS"/>
          <w:color w:val="000000"/>
          <w:sz w:val="22"/>
          <w:szCs w:val="22"/>
        </w:rPr>
        <w:t>.</w:t>
      </w: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Default="002D0F12" w:rsidP="002D0F12">
      <w:pPr>
        <w:pStyle w:val="BodyText2"/>
        <w:spacing w:line="360" w:lineRule="exact"/>
        <w:ind w:right="-43"/>
        <w:jc w:val="left"/>
        <w:rPr>
          <w:rFonts w:ascii="Arial" w:eastAsia="Arial Unicode MS" w:hAnsi="Arial" w:cs="Arial Unicode MS"/>
          <w:sz w:val="22"/>
          <w:szCs w:val="22"/>
        </w:rPr>
      </w:pPr>
    </w:p>
    <w:p w:rsidR="002D0F12" w:rsidRPr="00525FAC" w:rsidRDefault="005C7315" w:rsidP="002D0F12">
      <w:pPr>
        <w:tabs>
          <w:tab w:val="center" w:pos="648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5C7315">
        <w:rPr>
          <w:rFonts w:ascii="Arial" w:eastAsia="Arial Unicode MS" w:hAnsi="Arial" w:cs="Arial Unicode MS"/>
          <w:sz w:val="22"/>
          <w:szCs w:val="22"/>
          <w:lang w:val="en-GB"/>
        </w:rPr>
        <w:t>4496</w:t>
      </w:r>
    </w:p>
    <w:p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rsidR="002D0F12" w:rsidRPr="00525FAC" w:rsidRDefault="002D0F12" w:rsidP="002D0F12">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0F7AEC">
        <w:rPr>
          <w:rFonts w:ascii="Arial" w:eastAsia="Arial Unicode MS" w:hAnsi="Arial" w:cs="Arial Unicode MS"/>
          <w:sz w:val="22"/>
          <w:szCs w:val="22"/>
        </w:rPr>
        <w:t xml:space="preserve">16 October </w:t>
      </w:r>
      <w:r w:rsidR="001E4E45">
        <w:rPr>
          <w:rFonts w:ascii="Arial" w:eastAsia="Arial Unicode MS" w:hAnsi="Arial" w:cs="Arial Unicode MS"/>
          <w:sz w:val="22"/>
          <w:szCs w:val="22"/>
        </w:rPr>
        <w:t>2018</w:t>
      </w:r>
    </w:p>
    <w:p w:rsidR="00CC1192" w:rsidRDefault="005C7315" w:rsidP="005C7315">
      <w:pPr>
        <w:pStyle w:val="ps-000-normal"/>
        <w:tabs>
          <w:tab w:val="left" w:pos="1635"/>
        </w:tabs>
        <w:spacing w:before="120" w:line="380" w:lineRule="exact"/>
      </w:pPr>
      <w:r>
        <w:tab/>
      </w:r>
    </w:p>
    <w:sectPr w:rsidR="00CC1192" w:rsidSect="00710F76">
      <w:footerReference w:type="first" r:id="rId11"/>
      <w:pgSz w:w="11909" w:h="16834" w:code="9"/>
      <w:pgMar w:top="1296" w:right="1080" w:bottom="1080" w:left="1800"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134" w:rsidRDefault="003F7134" w:rsidP="008A2929">
      <w:r>
        <w:separator/>
      </w:r>
    </w:p>
  </w:endnote>
  <w:endnote w:type="continuationSeparator" w:id="0">
    <w:p w:rsidR="003F7134" w:rsidRDefault="003F713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A1503E" w:rsidRDefault="00A15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D98" w:rsidRPr="00A05B9D" w:rsidRDefault="00820D98" w:rsidP="00820D98">
    <w:pPr>
      <w:pStyle w:val="Footer"/>
      <w:framePr w:w="465" w:wrap="around" w:vAnchor="text" w:hAnchor="page" w:x="10126" w:y="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8E2BEB">
      <w:rPr>
        <w:rStyle w:val="PageNumber"/>
        <w:rFonts w:ascii="Arial" w:eastAsia="Arial Unicode MS" w:hAnsi="Arial" w:cs="Arial Unicode MS"/>
        <w:noProof/>
        <w:sz w:val="22"/>
        <w:szCs w:val="22"/>
      </w:rPr>
      <w:t>3</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2F" w:rsidRPr="00A05B9D" w:rsidRDefault="00EB1C10" w:rsidP="00710F76">
    <w:pPr>
      <w:pStyle w:val="Footer"/>
      <w:framePr w:w="465" w:wrap="around" w:vAnchor="text" w:hAnchor="page" w:x="10066" w:y="-1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8E2BEB">
      <w:rPr>
        <w:rStyle w:val="PageNumber"/>
        <w:rFonts w:ascii="Arial" w:eastAsia="Arial Unicode MS" w:hAnsi="Arial" w:cs="Arial Unicode MS"/>
        <w:noProof/>
        <w:sz w:val="22"/>
        <w:szCs w:val="22"/>
      </w:rPr>
      <w:t>2</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1F702F" w:rsidRDefault="008E2B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134" w:rsidRDefault="003F7134" w:rsidP="008A2929">
      <w:r>
        <w:separator/>
      </w:r>
    </w:p>
  </w:footnote>
  <w:footnote w:type="continuationSeparator" w:id="0">
    <w:p w:rsidR="003F7134" w:rsidRDefault="003F7134"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2313B"/>
    <w:rsid w:val="00023BF9"/>
    <w:rsid w:val="000507AB"/>
    <w:rsid w:val="0007426F"/>
    <w:rsid w:val="000B3840"/>
    <w:rsid w:val="000F7AEC"/>
    <w:rsid w:val="001C727D"/>
    <w:rsid w:val="001E4E45"/>
    <w:rsid w:val="001E5929"/>
    <w:rsid w:val="00202ACB"/>
    <w:rsid w:val="00216733"/>
    <w:rsid w:val="0022692C"/>
    <w:rsid w:val="00244C0F"/>
    <w:rsid w:val="00257C8C"/>
    <w:rsid w:val="0026032A"/>
    <w:rsid w:val="00265660"/>
    <w:rsid w:val="002A224E"/>
    <w:rsid w:val="002A7A77"/>
    <w:rsid w:val="002D0F12"/>
    <w:rsid w:val="00306E9C"/>
    <w:rsid w:val="0034412D"/>
    <w:rsid w:val="00393ADC"/>
    <w:rsid w:val="003C274F"/>
    <w:rsid w:val="003F5B55"/>
    <w:rsid w:val="003F7134"/>
    <w:rsid w:val="004742E7"/>
    <w:rsid w:val="0049206B"/>
    <w:rsid w:val="004A7A3E"/>
    <w:rsid w:val="004D226E"/>
    <w:rsid w:val="004D27B4"/>
    <w:rsid w:val="004D5372"/>
    <w:rsid w:val="00535AFF"/>
    <w:rsid w:val="00550343"/>
    <w:rsid w:val="00555896"/>
    <w:rsid w:val="00564551"/>
    <w:rsid w:val="00574BA1"/>
    <w:rsid w:val="00580008"/>
    <w:rsid w:val="005A63BB"/>
    <w:rsid w:val="005A64C4"/>
    <w:rsid w:val="005C0205"/>
    <w:rsid w:val="005C7315"/>
    <w:rsid w:val="005D373B"/>
    <w:rsid w:val="006002A9"/>
    <w:rsid w:val="00612594"/>
    <w:rsid w:val="006559A6"/>
    <w:rsid w:val="006924CA"/>
    <w:rsid w:val="006A35F3"/>
    <w:rsid w:val="006B0799"/>
    <w:rsid w:val="006B42B1"/>
    <w:rsid w:val="006F7CBE"/>
    <w:rsid w:val="00750D1D"/>
    <w:rsid w:val="00750EB5"/>
    <w:rsid w:val="007B3CA6"/>
    <w:rsid w:val="007B5F34"/>
    <w:rsid w:val="007F5860"/>
    <w:rsid w:val="00820D98"/>
    <w:rsid w:val="00834ED5"/>
    <w:rsid w:val="00846550"/>
    <w:rsid w:val="008566BB"/>
    <w:rsid w:val="0087334B"/>
    <w:rsid w:val="00881D96"/>
    <w:rsid w:val="008A20A2"/>
    <w:rsid w:val="008A2929"/>
    <w:rsid w:val="008E2BEB"/>
    <w:rsid w:val="0090086A"/>
    <w:rsid w:val="00924A01"/>
    <w:rsid w:val="0095040C"/>
    <w:rsid w:val="009607F0"/>
    <w:rsid w:val="009A753A"/>
    <w:rsid w:val="009A7BED"/>
    <w:rsid w:val="009B367D"/>
    <w:rsid w:val="009F3D04"/>
    <w:rsid w:val="00A1503E"/>
    <w:rsid w:val="00A62988"/>
    <w:rsid w:val="00A8699B"/>
    <w:rsid w:val="00A90E32"/>
    <w:rsid w:val="00A96982"/>
    <w:rsid w:val="00AA280B"/>
    <w:rsid w:val="00AD04DE"/>
    <w:rsid w:val="00B954EB"/>
    <w:rsid w:val="00BA32DC"/>
    <w:rsid w:val="00BE78E3"/>
    <w:rsid w:val="00BF4910"/>
    <w:rsid w:val="00C01425"/>
    <w:rsid w:val="00C5740A"/>
    <w:rsid w:val="00C5758E"/>
    <w:rsid w:val="00CB5F76"/>
    <w:rsid w:val="00CC1192"/>
    <w:rsid w:val="00D044E2"/>
    <w:rsid w:val="00D30564"/>
    <w:rsid w:val="00D66322"/>
    <w:rsid w:val="00D672F6"/>
    <w:rsid w:val="00D70924"/>
    <w:rsid w:val="00D77962"/>
    <w:rsid w:val="00DA3CF3"/>
    <w:rsid w:val="00DB7DD4"/>
    <w:rsid w:val="00DE3B5E"/>
    <w:rsid w:val="00E04C12"/>
    <w:rsid w:val="00E4455E"/>
    <w:rsid w:val="00E4627D"/>
    <w:rsid w:val="00EB1C10"/>
    <w:rsid w:val="00F13DF4"/>
    <w:rsid w:val="00F414E6"/>
    <w:rsid w:val="00F53078"/>
    <w:rsid w:val="00F71BF9"/>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24802</vt:lpwstr>
  </property>
  <property fmtid="{D5CDD505-2E9C-101B-9397-08002B2CF9AE}" pid="4" name="OptimizationTime">
    <vt:lpwstr>20181016_1631</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4</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Darika Tongprapai</cp:lastModifiedBy>
  <cp:revision>51</cp:revision>
  <cp:lastPrinted>2018-10-16T04:10:00Z</cp:lastPrinted>
  <dcterms:created xsi:type="dcterms:W3CDTF">2014-02-07T07:53:00Z</dcterms:created>
  <dcterms:modified xsi:type="dcterms:W3CDTF">2018-10-16T04:10:00Z</dcterms:modified>
</cp:coreProperties>
</file>