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790517" w:rsidRPr="000851FF" w:rsidP="000D55B0">
      <w:pPr>
        <w:pStyle w:val="Default"/>
        <w:rPr>
          <w:b/>
          <w:bCs/>
          <w:color w:val="C00000"/>
          <w:sz w:val="30"/>
          <w:szCs w:val="30"/>
        </w:rPr>
      </w:pPr>
      <w:r w:rsidRPr="000851FF">
        <w:rPr>
          <w:b/>
          <w:bCs/>
          <w:color w:val="C00000"/>
          <w:sz w:val="30"/>
          <w:szCs w:val="30"/>
        </w:rPr>
        <w:t>I</w:t>
      </w:r>
      <w:r w:rsidRPr="000851FF" w:rsidR="00886FDA">
        <w:rPr>
          <w:b/>
          <w:bCs/>
          <w:color w:val="C00000"/>
          <w:sz w:val="30"/>
          <w:szCs w:val="30"/>
        </w:rPr>
        <w:t>ndependent</w:t>
      </w:r>
      <w:r w:rsidRPr="000851FF">
        <w:rPr>
          <w:b/>
          <w:bCs/>
          <w:color w:val="C00000"/>
          <w:sz w:val="30"/>
          <w:szCs w:val="30"/>
        </w:rPr>
        <w:t xml:space="preserve"> </w:t>
      </w:r>
      <w:r w:rsidRPr="000851FF" w:rsidR="008E0FC2">
        <w:rPr>
          <w:b/>
          <w:bCs/>
          <w:color w:val="C00000"/>
          <w:sz w:val="30"/>
          <w:szCs w:val="30"/>
        </w:rPr>
        <w:t>A</w:t>
      </w:r>
      <w:r w:rsidRPr="000851FF" w:rsidR="00886FDA">
        <w:rPr>
          <w:b/>
          <w:bCs/>
          <w:color w:val="C00000"/>
          <w:sz w:val="30"/>
          <w:szCs w:val="30"/>
        </w:rPr>
        <w:t>uditor</w:t>
      </w:r>
      <w:r w:rsidRPr="000851FF">
        <w:rPr>
          <w:b/>
          <w:bCs/>
          <w:color w:val="C00000"/>
          <w:sz w:val="30"/>
          <w:szCs w:val="30"/>
        </w:rPr>
        <w:t>’</w:t>
      </w:r>
      <w:r w:rsidRPr="000851FF" w:rsidR="00886FDA">
        <w:rPr>
          <w:b/>
          <w:bCs/>
          <w:color w:val="C00000"/>
          <w:sz w:val="30"/>
          <w:szCs w:val="30"/>
        </w:rPr>
        <w:t xml:space="preserve">s </w:t>
      </w:r>
      <w:r w:rsidRPr="000851FF" w:rsidR="008E0FC2">
        <w:rPr>
          <w:b/>
          <w:bCs/>
          <w:color w:val="C00000"/>
          <w:sz w:val="30"/>
          <w:szCs w:val="30"/>
        </w:rPr>
        <w:t>R</w:t>
      </w:r>
      <w:r w:rsidRPr="000851FF" w:rsidR="00886FDA">
        <w:rPr>
          <w:b/>
          <w:bCs/>
          <w:color w:val="C00000"/>
          <w:sz w:val="30"/>
          <w:szCs w:val="30"/>
        </w:rPr>
        <w:t>eport</w:t>
      </w:r>
      <w:r w:rsidRPr="000851FF">
        <w:rPr>
          <w:b/>
          <w:bCs/>
          <w:color w:val="C00000"/>
          <w:sz w:val="30"/>
          <w:szCs w:val="30"/>
        </w:rPr>
        <w:t xml:space="preserve"> </w:t>
      </w:r>
    </w:p>
    <w:p w:rsidR="000D55B0" w:rsidRPr="000851FF" w:rsidP="000D55B0">
      <w:pPr>
        <w:pStyle w:val="Default"/>
        <w:rPr>
          <w:b/>
          <w:bCs/>
          <w:color w:val="C00000"/>
          <w:sz w:val="20"/>
          <w:szCs w:val="20"/>
        </w:rPr>
      </w:pPr>
    </w:p>
    <w:p w:rsidR="000D55B0" w:rsidRPr="000851FF" w:rsidP="000D55B0">
      <w:pPr>
        <w:pStyle w:val="Default"/>
        <w:rPr>
          <w:color w:val="C00000"/>
          <w:sz w:val="20"/>
          <w:szCs w:val="20"/>
        </w:rPr>
      </w:pPr>
    </w:p>
    <w:p w:rsidR="00790517" w:rsidRPr="000851FF" w:rsidP="00C952B0">
      <w:pPr>
        <w:pStyle w:val="Default"/>
        <w:jc w:val="both"/>
        <w:rPr>
          <w:color w:val="C00000"/>
          <w:sz w:val="22"/>
          <w:szCs w:val="22"/>
        </w:rPr>
      </w:pPr>
      <w:r w:rsidRPr="000851FF" w:rsidR="00E07F94">
        <w:rPr>
          <w:color w:val="C00000"/>
          <w:sz w:val="22"/>
          <w:szCs w:val="22"/>
        </w:rPr>
        <w:t>To the s</w:t>
      </w:r>
      <w:r w:rsidRPr="000851FF">
        <w:rPr>
          <w:color w:val="C00000"/>
          <w:sz w:val="22"/>
          <w:szCs w:val="22"/>
        </w:rPr>
        <w:t xml:space="preserve">hareholders </w:t>
      </w:r>
      <w:r w:rsidRPr="000851FF" w:rsidR="00D11F81">
        <w:rPr>
          <w:color w:val="C00000"/>
          <w:sz w:val="22"/>
          <w:szCs w:val="22"/>
        </w:rPr>
        <w:t>and the Board of Directors</w:t>
      </w:r>
      <w:r w:rsidRPr="000851FF" w:rsidR="005F1C97">
        <w:rPr>
          <w:color w:val="C00000"/>
          <w:sz w:val="22"/>
          <w:szCs w:val="22"/>
        </w:rPr>
        <w:t xml:space="preserve"> of</w:t>
      </w:r>
      <w:r w:rsidRPr="000851FF" w:rsidR="008059B7">
        <w:rPr>
          <w:color w:val="C00000"/>
          <w:sz w:val="22"/>
          <w:szCs w:val="22"/>
        </w:rPr>
        <w:t xml:space="preserve"> B.Grimm Power Public Company Limited</w:t>
      </w:r>
      <w:r w:rsidRPr="000851FF">
        <w:rPr>
          <w:color w:val="C00000"/>
          <w:sz w:val="22"/>
          <w:szCs w:val="22"/>
        </w:rPr>
        <w:t xml:space="preserve"> </w:t>
      </w:r>
    </w:p>
    <w:p w:rsidR="00790517" w:rsidRPr="000851FF" w:rsidP="000D55B0">
      <w:pPr>
        <w:pStyle w:val="Default"/>
        <w:rPr>
          <w:b/>
          <w:bCs/>
          <w:color w:val="C00000"/>
          <w:sz w:val="20"/>
          <w:szCs w:val="20"/>
        </w:rPr>
      </w:pPr>
    </w:p>
    <w:p w:rsidR="00790517" w:rsidRPr="00247322" w:rsidP="000D55B0">
      <w:pPr>
        <w:pStyle w:val="Default"/>
        <w:rPr>
          <w:b/>
          <w:bCs/>
          <w:color w:val="C00000"/>
          <w:sz w:val="20"/>
          <w:szCs w:val="20"/>
        </w:rPr>
      </w:pPr>
    </w:p>
    <w:p w:rsidR="00256DBB" w:rsidRPr="000851FF" w:rsidP="00256DBB">
      <w:pPr>
        <w:pStyle w:val="Default"/>
        <w:jc w:val="both"/>
        <w:rPr>
          <w:b/>
          <w:bCs/>
          <w:color w:val="C00000"/>
          <w:sz w:val="22"/>
          <w:szCs w:val="22"/>
        </w:rPr>
      </w:pPr>
      <w:r w:rsidRPr="000851FF">
        <w:rPr>
          <w:b/>
          <w:bCs/>
          <w:color w:val="C00000"/>
          <w:sz w:val="22"/>
          <w:szCs w:val="22"/>
        </w:rPr>
        <w:t xml:space="preserve">My opinion </w:t>
      </w:r>
    </w:p>
    <w:p w:rsidR="00256DBB" w:rsidRPr="00F82A21" w:rsidP="00256DBB">
      <w:pPr>
        <w:pStyle w:val="Default"/>
        <w:jc w:val="both"/>
        <w:rPr>
          <w:b/>
          <w:bCs/>
          <w:color w:val="auto"/>
          <w:sz w:val="12"/>
          <w:szCs w:val="12"/>
        </w:rPr>
      </w:pPr>
    </w:p>
    <w:p w:rsidR="00DF4E00" w:rsidRPr="00F82A21" w:rsidP="00256DBB">
      <w:pPr>
        <w:spacing w:after="0" w:line="240" w:lineRule="auto"/>
        <w:jc w:val="both"/>
        <w:rPr>
          <w:rFonts w:ascii="Arial" w:hAnsi="Arial" w:cs="Arial"/>
          <w:sz w:val="20"/>
          <w:szCs w:val="20"/>
        </w:rPr>
      </w:pPr>
      <w:r w:rsidRPr="00F82A21">
        <w:rPr>
          <w:rFonts w:ascii="Arial" w:hAnsi="Arial" w:cs="Arial"/>
          <w:sz w:val="20"/>
          <w:szCs w:val="20"/>
        </w:rPr>
        <w:t>In my opinion, the consolidated financial statements of B.Grimm Power Public Company Limited</w:t>
      </w:r>
      <w:r w:rsidR="00FB5CD5">
        <w:rPr>
          <w:rFonts w:ascii="Arial" w:hAnsi="Arial" w:cs="Arial"/>
          <w:sz w:val="20"/>
          <w:szCs w:val="20"/>
        </w:rPr>
        <w:t xml:space="preserve"> </w:t>
        <w:br/>
      </w:r>
      <w:r w:rsidRPr="00F82A21">
        <w:rPr>
          <w:rFonts w:ascii="Arial" w:hAnsi="Arial" w:cs="Arial"/>
          <w:sz w:val="20"/>
          <w:szCs w:val="20"/>
        </w:rPr>
        <w:t xml:space="preserve">(the Company) and its subsidiaries (the Group) and the separate financial statements of the Company present fairly, in all material respects, the consolidated and separate financial position of the Group </w:t>
      </w:r>
      <w:r w:rsidRPr="00247322">
        <w:rPr>
          <w:rFonts w:ascii="Arial" w:hAnsi="Arial" w:cs="Arial"/>
          <w:spacing w:val="-4"/>
          <w:sz w:val="20"/>
          <w:szCs w:val="20"/>
        </w:rPr>
        <w:t xml:space="preserve">and of the Company as at 31 December </w:t>
      </w:r>
      <w:r w:rsidRPr="00247322" w:rsidR="006F0626">
        <w:rPr>
          <w:rFonts w:ascii="Arial" w:hAnsi="Arial" w:cs="Arial"/>
          <w:spacing w:val="-4"/>
          <w:sz w:val="20"/>
          <w:szCs w:val="20"/>
        </w:rPr>
        <w:t>2018</w:t>
      </w:r>
      <w:r w:rsidRPr="00247322">
        <w:rPr>
          <w:rFonts w:ascii="Arial" w:hAnsi="Arial" w:cs="Arial"/>
          <w:spacing w:val="-4"/>
          <w:sz w:val="20"/>
          <w:szCs w:val="20"/>
        </w:rPr>
        <w:t>, and its consolidated and separate financial performance</w:t>
      </w:r>
      <w:r w:rsidRPr="00F82A21">
        <w:rPr>
          <w:rFonts w:ascii="Arial" w:hAnsi="Arial" w:cs="Arial"/>
          <w:sz w:val="20"/>
          <w:szCs w:val="20"/>
        </w:rPr>
        <w:t xml:space="preserve"> and its consolidated and separate cash flows for the year then ended in accordance with Thai Financial Reporting Standards (TFRSs).</w:t>
      </w:r>
    </w:p>
    <w:p w:rsidR="00256DBB" w:rsidRPr="00F82A21" w:rsidP="00256DBB">
      <w:pPr>
        <w:spacing w:after="0" w:line="240" w:lineRule="auto"/>
        <w:jc w:val="both"/>
        <w:rPr>
          <w:rFonts w:ascii="Arial" w:hAnsi="Arial" w:cs="Arial"/>
          <w:sz w:val="20"/>
          <w:szCs w:val="20"/>
        </w:rPr>
      </w:pPr>
    </w:p>
    <w:p w:rsidR="00256DBB" w:rsidRPr="000851FF" w:rsidP="00256DBB">
      <w:pPr>
        <w:pStyle w:val="Default"/>
        <w:jc w:val="both"/>
        <w:rPr>
          <w:b/>
          <w:bCs/>
          <w:color w:val="C00000"/>
          <w:sz w:val="22"/>
          <w:szCs w:val="22"/>
        </w:rPr>
      </w:pPr>
      <w:r w:rsidRPr="000851FF">
        <w:rPr>
          <w:b/>
          <w:bCs/>
          <w:color w:val="C00000"/>
          <w:sz w:val="22"/>
          <w:szCs w:val="22"/>
        </w:rPr>
        <w:t>What I have audited</w:t>
      </w:r>
    </w:p>
    <w:p w:rsidR="00256DBB" w:rsidRPr="00F82A21" w:rsidP="00256DBB">
      <w:pPr>
        <w:pStyle w:val="Default"/>
        <w:jc w:val="both"/>
        <w:rPr>
          <w:b/>
          <w:bCs/>
          <w:color w:val="auto"/>
          <w:sz w:val="12"/>
          <w:szCs w:val="12"/>
        </w:rPr>
      </w:pPr>
    </w:p>
    <w:p w:rsidR="00F82A21" w:rsidP="00F82A21">
      <w:pPr>
        <w:spacing w:after="0" w:line="240" w:lineRule="auto"/>
        <w:jc w:val="both"/>
        <w:rPr>
          <w:rFonts w:ascii="Arial" w:hAnsi="Arial" w:cs="Arial"/>
          <w:sz w:val="20"/>
          <w:szCs w:val="20"/>
        </w:rPr>
      </w:pPr>
      <w:r w:rsidRPr="00F82A21">
        <w:rPr>
          <w:rFonts w:ascii="Arial" w:hAnsi="Arial" w:cs="Arial"/>
          <w:sz w:val="20"/>
          <w:szCs w:val="20"/>
        </w:rPr>
        <w:t>The consolidated financial statements and the separate financial statements comprise:</w:t>
      </w:r>
    </w:p>
    <w:p w:rsidR="000760EB" w:rsidRPr="000760EB" w:rsidP="00F82A21">
      <w:pPr>
        <w:spacing w:after="0" w:line="240" w:lineRule="auto"/>
        <w:jc w:val="both"/>
        <w:rPr>
          <w:rFonts w:ascii="Arial" w:hAnsi="Arial" w:cs="Arial"/>
          <w:sz w:val="12"/>
          <w:szCs w:val="12"/>
        </w:rPr>
      </w:pPr>
    </w:p>
    <w:p w:rsidR="00F82A21" w:rsidRPr="00F82A21" w:rsidP="004D7C8D">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 xml:space="preserve">the consolidated and separate statements of financial position as at 31 December </w:t>
      </w:r>
      <w:r w:rsidR="006F0626">
        <w:rPr>
          <w:rFonts w:ascii="Arial" w:hAnsi="Arial" w:cs="Arial"/>
          <w:sz w:val="20"/>
          <w:szCs w:val="20"/>
        </w:rPr>
        <w:t>2018</w:t>
      </w:r>
      <w:r w:rsidRPr="004D7C8D">
        <w:rPr>
          <w:rFonts w:ascii="Arial" w:hAnsi="Arial" w:cs="Arial"/>
          <w:sz w:val="20"/>
          <w:szCs w:val="20"/>
        </w:rPr>
        <w:t>;</w:t>
      </w:r>
    </w:p>
    <w:p w:rsidR="00F82A21" w:rsidRPr="00F82A21" w:rsidP="004D7C8D">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the consolidated and separate statements of comprehensive income for the year then ended;</w:t>
      </w:r>
    </w:p>
    <w:p w:rsidR="00F82A21" w:rsidRPr="00F82A21" w:rsidP="004D7C8D">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the consolidated and separate statements of changes in equity for the year then ended;</w:t>
      </w:r>
    </w:p>
    <w:p w:rsidR="00F82A21" w:rsidRPr="00F82A21" w:rsidP="004D7C8D">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the consolidated and separate statements of cash flows for the year then end</w:t>
      </w:r>
      <w:r w:rsidR="00B226A5">
        <w:rPr>
          <w:rFonts w:ascii="Arial" w:hAnsi="Arial" w:cs="Arial"/>
          <w:sz w:val="20"/>
          <w:szCs w:val="20"/>
        </w:rPr>
        <w:t>ed</w:t>
      </w:r>
      <w:r w:rsidRPr="00F82A21">
        <w:rPr>
          <w:rFonts w:ascii="Arial" w:hAnsi="Arial" w:cs="Arial"/>
          <w:sz w:val="20"/>
          <w:szCs w:val="20"/>
        </w:rPr>
        <w:t>; and</w:t>
      </w:r>
    </w:p>
    <w:p w:rsidR="00F82A21" w:rsidRPr="00F82A21" w:rsidP="004D7C8D">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 xml:space="preserve">the notes to the consolidated and separate financial statements, which include a summary of significant accounting policies. </w:t>
      </w:r>
    </w:p>
    <w:p w:rsidR="00256DBB" w:rsidRPr="00F82A21" w:rsidP="00256DBB">
      <w:pPr>
        <w:spacing w:after="0" w:line="240" w:lineRule="auto"/>
        <w:jc w:val="both"/>
        <w:rPr>
          <w:rFonts w:ascii="Arial" w:hAnsi="Arial" w:cs="Arial"/>
          <w:sz w:val="20"/>
          <w:szCs w:val="20"/>
        </w:rPr>
      </w:pPr>
    </w:p>
    <w:p w:rsidR="00256DBB" w:rsidRPr="000851FF" w:rsidP="00256DBB">
      <w:pPr>
        <w:pStyle w:val="Default"/>
        <w:jc w:val="both"/>
        <w:rPr>
          <w:b/>
          <w:bCs/>
          <w:color w:val="C00000"/>
          <w:sz w:val="22"/>
          <w:szCs w:val="22"/>
        </w:rPr>
      </w:pPr>
      <w:r w:rsidRPr="000851FF">
        <w:rPr>
          <w:b/>
          <w:bCs/>
          <w:color w:val="C00000"/>
          <w:sz w:val="22"/>
          <w:szCs w:val="22"/>
        </w:rPr>
        <w:t xml:space="preserve">Basis for opinion </w:t>
      </w:r>
    </w:p>
    <w:p w:rsidR="00256DBB" w:rsidRPr="00F82A21" w:rsidP="00256DBB">
      <w:pPr>
        <w:pStyle w:val="Default"/>
        <w:jc w:val="both"/>
        <w:rPr>
          <w:b/>
          <w:bCs/>
          <w:color w:val="auto"/>
          <w:sz w:val="12"/>
          <w:szCs w:val="12"/>
        </w:rPr>
      </w:pPr>
    </w:p>
    <w:p w:rsidR="00F82A21" w:rsidRPr="00F82A21" w:rsidP="00317836">
      <w:pPr>
        <w:pStyle w:val="Default"/>
        <w:jc w:val="thaiDistribute"/>
        <w:rPr>
          <w:color w:val="auto"/>
          <w:sz w:val="20"/>
          <w:szCs w:val="20"/>
        </w:rPr>
      </w:pPr>
      <w:r w:rsidRPr="00F82A21">
        <w:rPr>
          <w:color w:val="auto"/>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under the Royal Patronage of </w:t>
      </w:r>
      <w:r w:rsidRPr="00247322">
        <w:rPr>
          <w:color w:val="auto"/>
          <w:spacing w:val="-2"/>
          <w:sz w:val="20"/>
          <w:szCs w:val="20"/>
        </w:rPr>
        <w:t>his Majesty the King’s Code of Ethics for Professional Accountants together with the ethical requirements</w:t>
      </w:r>
      <w:r w:rsidRPr="00F82A21">
        <w:rPr>
          <w:color w:val="auto"/>
          <w:sz w:val="20"/>
          <w:szCs w:val="20"/>
        </w:rPr>
        <w:t xml:space="preserve"> that are relevant to my audit of the consolidated and separate financial statements, and I have fulfilled </w:t>
      </w:r>
      <w:r w:rsidRPr="00247322">
        <w:rPr>
          <w:color w:val="auto"/>
          <w:spacing w:val="-2"/>
          <w:sz w:val="20"/>
          <w:szCs w:val="20"/>
        </w:rPr>
        <w:t>my other ethical responsibilities in accordance with these requirements. I believe that the audit evidence</w:t>
      </w:r>
      <w:r w:rsidRPr="00F82A21">
        <w:rPr>
          <w:color w:val="auto"/>
          <w:sz w:val="20"/>
          <w:szCs w:val="20"/>
        </w:rPr>
        <w:t xml:space="preserve"> I have obtained is sufficient and appropriate to provide a basis for my opinion. </w:t>
      </w:r>
    </w:p>
    <w:p w:rsidR="00F82A21" w:rsidP="00F82A21">
      <w:pPr>
        <w:spacing w:after="0" w:line="240" w:lineRule="auto"/>
        <w:jc w:val="both"/>
        <w:rPr>
          <w:rFonts w:ascii="Arial" w:hAnsi="Arial" w:cs="Arial"/>
          <w:sz w:val="20"/>
          <w:szCs w:val="20"/>
        </w:rPr>
      </w:pPr>
    </w:p>
    <w:p w:rsidR="00F82A21" w:rsidRPr="00D863A3" w:rsidP="00F82A21">
      <w:pPr>
        <w:spacing w:after="0" w:line="240" w:lineRule="auto"/>
        <w:jc w:val="both"/>
        <w:rPr>
          <w:rFonts w:ascii="Arial" w:hAnsi="Arial" w:cs="Arial"/>
          <w:b/>
          <w:bCs/>
          <w:color w:val="C00000"/>
          <w:szCs w:val="22"/>
        </w:rPr>
      </w:pPr>
      <w:r w:rsidRPr="00D863A3">
        <w:rPr>
          <w:rFonts w:ascii="Arial" w:hAnsi="Arial" w:cs="Arial"/>
          <w:b/>
          <w:bCs/>
          <w:color w:val="C00000"/>
          <w:szCs w:val="22"/>
        </w:rPr>
        <w:t>Key audit matters</w:t>
      </w:r>
    </w:p>
    <w:p w:rsidR="00F82A21" w:rsidRPr="0039371A" w:rsidP="00F82A21">
      <w:pPr>
        <w:spacing w:after="0" w:line="240" w:lineRule="auto"/>
        <w:jc w:val="both"/>
        <w:rPr>
          <w:rFonts w:ascii="Arial" w:hAnsi="Arial" w:cs="Arial"/>
          <w:b/>
          <w:bCs/>
          <w:sz w:val="12"/>
          <w:szCs w:val="12"/>
        </w:rPr>
      </w:pPr>
    </w:p>
    <w:p w:rsidR="00F82A21" w:rsidRPr="000851FF" w:rsidP="00F82A21">
      <w:pPr>
        <w:spacing w:after="0" w:line="240" w:lineRule="auto"/>
        <w:jc w:val="both"/>
        <w:rPr>
          <w:rFonts w:ascii="Arial" w:hAnsi="Arial" w:cs="Arial"/>
          <w:sz w:val="20"/>
          <w:szCs w:val="20"/>
        </w:rPr>
      </w:pPr>
      <w:r w:rsidRPr="000851FF">
        <w:rPr>
          <w:rFonts w:ascii="Arial" w:hAnsi="Arial" w:cs="Arial"/>
          <w:sz w:val="20"/>
          <w:szCs w:val="20"/>
        </w:rPr>
        <w:t xml:space="preserve">Key audit matters are those matters that, in my professional judgment, were </w:t>
      </w:r>
      <w:r w:rsidRPr="005919E4">
        <w:rPr>
          <w:rFonts w:ascii="Arial" w:hAnsi="Arial" w:cs="Arial"/>
          <w:sz w:val="20"/>
          <w:szCs w:val="20"/>
        </w:rPr>
        <w:t xml:space="preserve">of most significance in my audit of the consolidated and separate financial statements of the current period. </w:t>
      </w:r>
      <w:r w:rsidRPr="005919E4" w:rsidR="000851FF">
        <w:rPr>
          <w:rFonts w:ascii="Arial" w:hAnsi="Arial" w:cs="Arial"/>
          <w:sz w:val="20"/>
          <w:szCs w:val="20"/>
        </w:rPr>
        <w:t xml:space="preserve">I determine one key audit matter: </w:t>
      </w:r>
      <w:r w:rsidR="001A6AA0">
        <w:rPr>
          <w:rFonts w:ascii="Arial" w:hAnsi="Arial" w:cs="Arial"/>
          <w:sz w:val="20"/>
          <w:szCs w:val="20"/>
        </w:rPr>
        <w:t>step-acquisition in B.Grimm Yanhee Solar Power Limited</w:t>
      </w:r>
      <w:r w:rsidRPr="005919E4" w:rsidR="000851FF">
        <w:rPr>
          <w:rFonts w:ascii="Arial" w:hAnsi="Arial" w:cs="Arial"/>
          <w:sz w:val="20"/>
          <w:szCs w:val="20"/>
        </w:rPr>
        <w:t>. The matter was</w:t>
      </w:r>
      <w:r w:rsidRPr="005919E4">
        <w:rPr>
          <w:rFonts w:ascii="Arial" w:hAnsi="Arial" w:cs="Arial"/>
          <w:sz w:val="20"/>
          <w:szCs w:val="20"/>
        </w:rPr>
        <w:t xml:space="preserve"> addressed in the context of my audit of the consolidated and separate financial statements as a whole, and in forming my opinion</w:t>
      </w:r>
      <w:r w:rsidRPr="000851FF">
        <w:rPr>
          <w:rFonts w:ascii="Arial" w:hAnsi="Arial" w:cs="Arial"/>
          <w:sz w:val="20"/>
          <w:szCs w:val="20"/>
        </w:rPr>
        <w:t xml:space="preserve"> thereon, and I do not pro</w:t>
      </w:r>
      <w:r w:rsidR="001A6AA0">
        <w:rPr>
          <w:rFonts w:ascii="Arial" w:hAnsi="Arial" w:cs="Arial"/>
          <w:sz w:val="20"/>
          <w:szCs w:val="20"/>
        </w:rPr>
        <w:t>vide a separate opinion on the matter</w:t>
      </w:r>
      <w:r w:rsidRPr="000851FF">
        <w:rPr>
          <w:rFonts w:ascii="Arial" w:hAnsi="Arial" w:cs="Arial"/>
          <w:sz w:val="20"/>
          <w:szCs w:val="20"/>
        </w:rPr>
        <w:t xml:space="preserve">. </w:t>
      </w:r>
    </w:p>
    <w:p w:rsidR="00E13F05" w:rsidP="00F82A21">
      <w:pPr>
        <w:spacing w:after="0" w:line="240" w:lineRule="auto"/>
        <w:jc w:val="both"/>
        <w:rPr>
          <w:rFonts w:ascii="Arial" w:hAnsi="Arial" w:cs="Arial"/>
          <w:sz w:val="20"/>
          <w:szCs w:val="20"/>
        </w:rPr>
      </w:pPr>
    </w:p>
    <w:p w:rsidR="00BA5294" w:rsidP="00F82A21">
      <w:pPr>
        <w:spacing w:after="0" w:line="240" w:lineRule="auto"/>
        <w:jc w:val="both"/>
        <w:rPr>
          <w:rFonts w:ascii="Arial" w:hAnsi="Arial" w:cs="Arial"/>
          <w:sz w:val="20"/>
          <w:szCs w:val="20"/>
        </w:rPr>
        <w:sectPr w:rsidSect="004D7C8D">
          <w:pgSz w:w="11909" w:h="16834" w:code="9"/>
          <w:pgMar w:top="3139" w:right="720" w:bottom="1584" w:left="1987" w:header="706" w:footer="706" w:gutter="0"/>
          <w:cols w:space="708"/>
          <w:docGrid w:linePitch="360"/>
        </w:sectPr>
      </w:pPr>
    </w:p>
    <w:tbl>
      <w:tblPr>
        <w:tblStyle w:val="TableNormal"/>
        <w:tblW w:w="9198" w:type="dxa"/>
        <w:tblBorders>
          <w:top w:val="none" w:sz="0" w:space="0" w:color="auto"/>
          <w:left w:val="none" w:sz="0" w:space="0" w:color="auto"/>
          <w:bottom w:val="dotted" w:sz="4" w:space="0" w:color="ED8731"/>
          <w:right w:val="none" w:sz="0" w:space="0" w:color="auto"/>
          <w:insideH w:val="none" w:sz="0" w:space="0" w:color="auto"/>
          <w:insideV w:val="none" w:sz="0" w:space="0" w:color="auto"/>
        </w:tblBorders>
        <w:tblLayout w:type="fixed"/>
        <w:tblLook w:val="04A0"/>
      </w:tblPr>
      <w:tblGrid>
        <w:gridCol w:w="4419"/>
        <w:gridCol w:w="4779"/>
      </w:tblGrid>
      <w:tr w:rsidTr="00087CD7">
        <w:tblPrEx>
          <w:tblW w:w="9198" w:type="dxa"/>
          <w:tblBorders>
            <w:top w:val="none" w:sz="0" w:space="0" w:color="auto"/>
            <w:left w:val="none" w:sz="0" w:space="0" w:color="auto"/>
            <w:bottom w:val="dotted" w:sz="4" w:space="0" w:color="ED8731"/>
            <w:right w:val="none" w:sz="0" w:space="0" w:color="auto"/>
            <w:insideH w:val="none" w:sz="0" w:space="0" w:color="auto"/>
            <w:insideV w:val="none" w:sz="0" w:space="0" w:color="auto"/>
          </w:tblBorders>
          <w:tblLayout w:type="fixed"/>
          <w:tblLook w:val="04A0"/>
        </w:tblPrEx>
        <w:trPr>
          <w:trHeight w:val="346"/>
          <w:tblHeader/>
        </w:trPr>
        <w:tc>
          <w:tcPr>
            <w:tcW w:w="4419" w:type="dxa"/>
            <w:shd w:val="clear" w:color="auto" w:fill="ED7D31"/>
            <w:vAlign w:val="center"/>
          </w:tcPr>
          <w:p w:rsidR="00F82A21" w:rsidRPr="00087CD7" w:rsidP="00087CD7">
            <w:pPr>
              <w:spacing w:after="0" w:line="240" w:lineRule="auto"/>
              <w:jc w:val="center"/>
              <w:rPr>
                <w:rFonts w:ascii="Arial" w:hAnsi="Arial" w:cs="Arial"/>
                <w:b/>
                <w:bCs/>
                <w:color w:val="FFFFFF"/>
                <w:sz w:val="20"/>
                <w:szCs w:val="20"/>
              </w:rPr>
            </w:pPr>
            <w:r w:rsidRPr="00087CD7">
              <w:rPr>
                <w:rFonts w:ascii="Arial" w:hAnsi="Arial" w:cs="Arial"/>
                <w:b/>
                <w:bCs/>
                <w:color w:val="FFFFFF"/>
                <w:sz w:val="20"/>
                <w:szCs w:val="20"/>
              </w:rPr>
              <w:t>Key audit matter</w:t>
            </w:r>
          </w:p>
        </w:tc>
        <w:tc>
          <w:tcPr>
            <w:tcW w:w="4779" w:type="dxa"/>
            <w:shd w:val="clear" w:color="auto" w:fill="ED7D31"/>
            <w:vAlign w:val="center"/>
          </w:tcPr>
          <w:p w:rsidR="00F82A21" w:rsidRPr="00087CD7" w:rsidP="00087CD7">
            <w:pPr>
              <w:spacing w:after="0" w:line="240" w:lineRule="auto"/>
              <w:jc w:val="both"/>
              <w:rPr>
                <w:rFonts w:ascii="Arial" w:hAnsi="Arial" w:cs="Arial"/>
                <w:b/>
                <w:bCs/>
                <w:color w:val="FFFFFF"/>
                <w:sz w:val="20"/>
                <w:szCs w:val="20"/>
              </w:rPr>
            </w:pPr>
            <w:r w:rsidRPr="00087CD7">
              <w:rPr>
                <w:rFonts w:ascii="Arial" w:hAnsi="Arial" w:cs="Arial"/>
                <w:b/>
                <w:bCs/>
                <w:color w:val="FFFFFF"/>
                <w:sz w:val="20"/>
                <w:szCs w:val="20"/>
              </w:rPr>
              <w:t>How my audit addressed the key audit matter</w:t>
            </w:r>
          </w:p>
        </w:tc>
      </w:tr>
      <w:tr w:rsidTr="00087CD7">
        <w:tblPrEx>
          <w:tblW w:w="9198" w:type="dxa"/>
          <w:tblLayout w:type="fixed"/>
          <w:tblLook w:val="04A0"/>
        </w:tblPrEx>
        <w:tc>
          <w:tcPr>
            <w:tcW w:w="4419" w:type="dxa"/>
            <w:shd w:val="clear" w:color="auto" w:fill="auto"/>
          </w:tcPr>
          <w:p w:rsidR="00F82A21" w:rsidRPr="00087CD7" w:rsidP="00087CD7">
            <w:pPr>
              <w:spacing w:after="0" w:line="240" w:lineRule="auto"/>
              <w:jc w:val="both"/>
              <w:rPr>
                <w:rFonts w:ascii="Arial" w:hAnsi="Arial" w:cs="Arial"/>
                <w:b/>
                <w:bCs/>
                <w:i/>
                <w:iCs/>
                <w:sz w:val="12"/>
                <w:szCs w:val="12"/>
              </w:rPr>
            </w:pPr>
          </w:p>
          <w:p w:rsidR="00F82A21" w:rsidRPr="00087CD7" w:rsidP="00087CD7">
            <w:pPr>
              <w:spacing w:after="0" w:line="240" w:lineRule="auto"/>
              <w:jc w:val="both"/>
              <w:rPr>
                <w:rFonts w:ascii="Arial" w:hAnsi="Arial" w:cs="Arial"/>
                <w:b/>
                <w:bCs/>
                <w:i/>
                <w:iCs/>
                <w:sz w:val="20"/>
                <w:szCs w:val="20"/>
              </w:rPr>
            </w:pPr>
            <w:r w:rsidRPr="00087CD7" w:rsidR="007B3CB5">
              <w:rPr>
                <w:rFonts w:ascii="Arial" w:hAnsi="Arial" w:cs="Arial"/>
                <w:b/>
                <w:bCs/>
                <w:i/>
                <w:iCs/>
                <w:sz w:val="20"/>
                <w:szCs w:val="20"/>
                <w:lang w:val="en-US"/>
              </w:rPr>
              <w:t>Step-acquisition in B.Grimm Yanhee Solar Power Limited</w:t>
            </w:r>
          </w:p>
        </w:tc>
        <w:tc>
          <w:tcPr>
            <w:tcW w:w="4779" w:type="dxa"/>
            <w:shd w:val="clear" w:color="auto" w:fill="DCDCDC"/>
          </w:tcPr>
          <w:p w:rsidR="00F82A21" w:rsidRPr="00087CD7" w:rsidP="00087CD7">
            <w:pPr>
              <w:spacing w:after="0" w:line="240" w:lineRule="auto"/>
              <w:jc w:val="both"/>
              <w:rPr>
                <w:rFonts w:ascii="Arial" w:hAnsi="Arial" w:cs="Arial"/>
                <w:sz w:val="20"/>
                <w:szCs w:val="20"/>
              </w:rPr>
            </w:pPr>
          </w:p>
        </w:tc>
      </w:tr>
      <w:tr w:rsidTr="00087CD7">
        <w:tblPrEx>
          <w:tblW w:w="9198" w:type="dxa"/>
          <w:tblLayout w:type="fixed"/>
          <w:tblLook w:val="04A0"/>
        </w:tblPrEx>
        <w:tc>
          <w:tcPr>
            <w:tcW w:w="4419" w:type="dxa"/>
            <w:tcBorders>
              <w:bottom w:val="nil"/>
            </w:tcBorders>
            <w:shd w:val="clear" w:color="auto" w:fill="auto"/>
          </w:tcPr>
          <w:p w:rsidR="004D7C8D" w:rsidRPr="00087CD7" w:rsidP="00087CD7">
            <w:pPr>
              <w:spacing w:after="0" w:line="240" w:lineRule="auto"/>
              <w:jc w:val="both"/>
              <w:rPr>
                <w:rFonts w:ascii="Arial" w:hAnsi="Arial" w:cs="Arial"/>
                <w:sz w:val="20"/>
                <w:szCs w:val="20"/>
              </w:rPr>
            </w:pPr>
          </w:p>
          <w:p w:rsidR="00F82A21" w:rsidRPr="00742546" w:rsidP="00742546">
            <w:pPr>
              <w:spacing w:after="0" w:line="240" w:lineRule="auto"/>
              <w:jc w:val="both"/>
              <w:rPr>
                <w:rFonts w:ascii="Arial" w:hAnsi="Arial"/>
                <w:spacing w:val="-6"/>
                <w:sz w:val="20"/>
                <w:szCs w:val="20"/>
              </w:rPr>
            </w:pPr>
            <w:r w:rsidRPr="00742546" w:rsidR="007B3CB5">
              <w:rPr>
                <w:rFonts w:ascii="Arial" w:hAnsi="Arial" w:cs="Arial"/>
                <w:spacing w:val="-6"/>
                <w:sz w:val="20"/>
                <w:szCs w:val="20"/>
              </w:rPr>
              <w:t>Referred to the Note 13 ‘Investment in subsidiaries’ and Note 34 ‘Business combination’</w:t>
            </w:r>
          </w:p>
          <w:p w:rsidR="007B3CB5" w:rsidRPr="00087CD7" w:rsidP="00087CD7">
            <w:pPr>
              <w:spacing w:after="0" w:line="240" w:lineRule="auto"/>
              <w:jc w:val="both"/>
              <w:rPr>
                <w:rFonts w:ascii="Arial" w:hAnsi="Arial"/>
                <w:sz w:val="20"/>
                <w:szCs w:val="20"/>
              </w:rPr>
            </w:pPr>
          </w:p>
          <w:p w:rsidR="00F82A21" w:rsidRPr="00087CD7" w:rsidP="00087CD7">
            <w:pPr>
              <w:spacing w:after="0" w:line="240" w:lineRule="auto"/>
              <w:jc w:val="both"/>
              <w:rPr>
                <w:rFonts w:ascii="Arial" w:hAnsi="Arial" w:cs="Arial"/>
                <w:sz w:val="20"/>
                <w:szCs w:val="20"/>
              </w:rPr>
            </w:pPr>
            <w:r w:rsidRPr="00087CD7" w:rsidR="007B3CB5">
              <w:rPr>
                <w:rFonts w:ascii="Arial" w:hAnsi="Arial" w:cs="Arial"/>
                <w:sz w:val="20"/>
                <w:szCs w:val="20"/>
              </w:rPr>
              <w:t>On 2 July 2018, the Company acquired an additional</w:t>
            </w:r>
            <w:r w:rsidRPr="00087CD7" w:rsidR="007B3CB5">
              <w:rPr>
                <w:rFonts w:ascii="Arial" w:hAnsi="Arial" w:cs="Arial"/>
                <w:spacing w:val="-2"/>
                <w:sz w:val="20"/>
                <w:szCs w:val="20"/>
              </w:rPr>
              <w:t xml:space="preserve"> 51% interests in B.Grimm Yanhee </w:t>
            </w:r>
            <w:r w:rsidRPr="00087CD7" w:rsidR="007B3CB5">
              <w:rPr>
                <w:rFonts w:ascii="Arial" w:hAnsi="Arial" w:cs="Arial"/>
                <w:spacing w:val="-8"/>
                <w:sz w:val="20"/>
                <w:szCs w:val="20"/>
              </w:rPr>
              <w:t>Solar Power Limited (BGYSP) from the joint venture</w:t>
            </w:r>
            <w:r w:rsidRPr="00087CD7" w:rsidR="007B3CB5">
              <w:rPr>
                <w:rFonts w:ascii="Arial" w:hAnsi="Arial" w:cs="Arial"/>
                <w:spacing w:val="-2"/>
                <w:sz w:val="20"/>
                <w:szCs w:val="20"/>
              </w:rPr>
              <w:t xml:space="preserve"> party for a consideration of Baht 600 million. As a result, the Group’s ownership interest in BGYSP increased from 49% to 99.99% and the status of the investment in BGYSP changed from a joint </w:t>
            </w:r>
            <w:r w:rsidRPr="00087CD7" w:rsidR="007B3CB5">
              <w:rPr>
                <w:rFonts w:ascii="Arial" w:hAnsi="Arial" w:cs="Arial"/>
                <w:spacing w:val="-6"/>
                <w:sz w:val="20"/>
                <w:szCs w:val="20"/>
              </w:rPr>
              <w:t>venture to a subsidiary. The additional i</w:t>
            </w:r>
            <w:r w:rsidRPr="00087CD7" w:rsidR="00031293">
              <w:rPr>
                <w:rFonts w:ascii="Arial" w:hAnsi="Arial" w:cs="Arial"/>
                <w:spacing w:val="-6"/>
                <w:sz w:val="20"/>
                <w:szCs w:val="20"/>
              </w:rPr>
              <w:t>nvestment</w:t>
            </w:r>
            <w:r w:rsidRPr="00087CD7" w:rsidR="00031293">
              <w:rPr>
                <w:rFonts w:ascii="Arial" w:hAnsi="Arial" w:cs="Arial"/>
                <w:spacing w:val="-2"/>
                <w:sz w:val="20"/>
                <w:szCs w:val="20"/>
              </w:rPr>
              <w:t xml:space="preserve"> </w:t>
            </w:r>
            <w:r w:rsidRPr="00087CD7" w:rsidR="00031293">
              <w:rPr>
                <w:rFonts w:ascii="Arial" w:hAnsi="Arial" w:cs="Arial"/>
                <w:spacing w:val="-6"/>
                <w:sz w:val="20"/>
                <w:szCs w:val="20"/>
              </w:rPr>
              <w:t>is considered as</w:t>
            </w:r>
            <w:r w:rsidRPr="00087CD7" w:rsidR="007B3CB5">
              <w:rPr>
                <w:rFonts w:ascii="Arial" w:hAnsi="Arial" w:cs="Arial"/>
                <w:spacing w:val="-6"/>
                <w:sz w:val="20"/>
                <w:szCs w:val="20"/>
              </w:rPr>
              <w:t xml:space="preserve"> a business combina</w:t>
            </w:r>
            <w:r w:rsidRPr="00087CD7" w:rsidR="00031293">
              <w:rPr>
                <w:rFonts w:ascii="Arial" w:hAnsi="Arial" w:cs="Arial"/>
                <w:spacing w:val="-6"/>
                <w:sz w:val="20"/>
                <w:szCs w:val="20"/>
              </w:rPr>
              <w:t>tion achieved</w:t>
            </w:r>
            <w:r w:rsidRPr="00087CD7" w:rsidR="00031293">
              <w:rPr>
                <w:rFonts w:ascii="Arial" w:hAnsi="Arial" w:cs="Arial"/>
                <w:spacing w:val="-2"/>
                <w:sz w:val="20"/>
                <w:szCs w:val="20"/>
              </w:rPr>
              <w:t xml:space="preserve"> </w:t>
            </w:r>
            <w:r w:rsidRPr="00087CD7" w:rsidR="00031293">
              <w:rPr>
                <w:rFonts w:ascii="Arial" w:hAnsi="Arial" w:cs="Arial"/>
                <w:sz w:val="20"/>
                <w:szCs w:val="20"/>
              </w:rPr>
              <w:t>in stages (a step-</w:t>
            </w:r>
            <w:r w:rsidRPr="00087CD7" w:rsidR="007B3CB5">
              <w:rPr>
                <w:rFonts w:ascii="Arial" w:hAnsi="Arial" w:cs="Arial"/>
                <w:sz w:val="20"/>
                <w:szCs w:val="20"/>
              </w:rPr>
              <w:t>acquisition) under TFRS 3 (revised 2017) - Business Combinations.</w:t>
            </w:r>
          </w:p>
          <w:p w:rsidR="007B3CB5" w:rsidRPr="00087CD7" w:rsidP="00087CD7">
            <w:pPr>
              <w:spacing w:after="0" w:line="240" w:lineRule="auto"/>
              <w:jc w:val="both"/>
              <w:rPr>
                <w:rFonts w:ascii="Arial" w:hAnsi="Arial" w:cs="Arial"/>
                <w:spacing w:val="-2"/>
                <w:sz w:val="20"/>
                <w:szCs w:val="20"/>
              </w:rPr>
            </w:pPr>
          </w:p>
          <w:p w:rsidR="007B3CB5" w:rsidRPr="00087CD7" w:rsidP="00087CD7">
            <w:pPr>
              <w:spacing w:after="0" w:line="240" w:lineRule="auto"/>
              <w:jc w:val="both"/>
              <w:rPr>
                <w:rFonts w:ascii="Arial" w:hAnsi="Arial" w:cs="Arial"/>
                <w:sz w:val="20"/>
                <w:szCs w:val="20"/>
              </w:rPr>
            </w:pPr>
            <w:r w:rsidRPr="00087CD7">
              <w:rPr>
                <w:rFonts w:ascii="Arial" w:hAnsi="Arial" w:cs="Arial"/>
                <w:spacing w:val="-4"/>
                <w:sz w:val="20"/>
                <w:szCs w:val="20"/>
              </w:rPr>
              <w:t>The management engaged an independent valuer</w:t>
            </w:r>
            <w:r w:rsidRPr="00087CD7">
              <w:rPr>
                <w:rFonts w:ascii="Arial" w:hAnsi="Arial" w:cs="Arial"/>
                <w:sz w:val="20"/>
                <w:szCs w:val="20"/>
              </w:rPr>
              <w:t xml:space="preserve"> to conduct a purchase price allocation and </w:t>
            </w:r>
            <w:r w:rsidRPr="00087CD7">
              <w:rPr>
                <w:rFonts w:ascii="Arial" w:hAnsi="Arial" w:cs="Arial"/>
                <w:spacing w:val="-4"/>
                <w:sz w:val="20"/>
                <w:szCs w:val="20"/>
              </w:rPr>
              <w:t>evaluate the fair value of previously-held interests.</w:t>
            </w:r>
            <w:r w:rsidRPr="00087CD7">
              <w:rPr>
                <w:rFonts w:ascii="Arial" w:hAnsi="Arial" w:cs="Arial"/>
                <w:sz w:val="20"/>
                <w:szCs w:val="20"/>
              </w:rPr>
              <w:t xml:space="preserve"> Right in power purchase agreements of Baht 429.30 million, gain from the measurement of the fair value of equity interests held before the business combination of Baht 35.32 million, and gain from bargain purchase of Baht 240.28 million were recognised as a result of the above mentioned exercises. </w:t>
            </w:r>
          </w:p>
          <w:p w:rsidR="007B3CB5" w:rsidRPr="00087CD7" w:rsidP="00087CD7">
            <w:pPr>
              <w:spacing w:after="0" w:line="240" w:lineRule="auto"/>
              <w:jc w:val="both"/>
              <w:rPr>
                <w:rFonts w:ascii="Arial" w:hAnsi="Arial" w:cs="Arial"/>
                <w:sz w:val="20"/>
                <w:szCs w:val="20"/>
              </w:rPr>
            </w:pPr>
          </w:p>
          <w:p w:rsidR="007B3CB5" w:rsidRPr="00087CD7" w:rsidP="00087CD7">
            <w:pPr>
              <w:spacing w:after="0" w:line="240" w:lineRule="auto"/>
              <w:jc w:val="both"/>
              <w:rPr>
                <w:rFonts w:ascii="Arial" w:hAnsi="Arial" w:cs="Arial"/>
                <w:sz w:val="20"/>
                <w:szCs w:val="20"/>
              </w:rPr>
            </w:pPr>
            <w:r w:rsidRPr="00087CD7">
              <w:rPr>
                <w:rFonts w:ascii="Arial" w:hAnsi="Arial" w:cs="Arial"/>
                <w:sz w:val="20"/>
                <w:szCs w:val="20"/>
              </w:rPr>
              <w:t>I focused on this transaction because it was complex in nature, involving management’s judgement</w:t>
            </w:r>
            <w:r w:rsidRPr="00087CD7">
              <w:rPr>
                <w:rFonts w:ascii="Arial" w:hAnsi="Arial" w:cs="Arial"/>
                <w:spacing w:val="-4"/>
                <w:sz w:val="20"/>
                <w:szCs w:val="20"/>
              </w:rPr>
              <w:t xml:space="preserve"> and assumptions in the valuation exercises. Key assumptions used in the valuation</w:t>
            </w:r>
            <w:r w:rsidRPr="00087CD7">
              <w:rPr>
                <w:rFonts w:ascii="Arial" w:hAnsi="Arial" w:cs="Arial"/>
                <w:sz w:val="20"/>
                <w:szCs w:val="20"/>
              </w:rPr>
              <w:t xml:space="preserve"> included electricity tariff, the plant capacity and efficiency rate, average return rate on land for rental and discount rate. In addition, the value of right in power purchase agreements and gain </w:t>
            </w:r>
            <w:r w:rsidRPr="00087CD7">
              <w:rPr>
                <w:rFonts w:ascii="Arial" w:hAnsi="Arial" w:cs="Arial"/>
                <w:spacing w:val="-6"/>
                <w:sz w:val="20"/>
                <w:szCs w:val="20"/>
              </w:rPr>
              <w:t>from bargain purchase recognised were significant.</w:t>
            </w:r>
          </w:p>
        </w:tc>
        <w:tc>
          <w:tcPr>
            <w:tcW w:w="4779" w:type="dxa"/>
            <w:tcBorders>
              <w:bottom w:val="nil"/>
            </w:tcBorders>
            <w:shd w:val="clear" w:color="auto" w:fill="DCDCDC"/>
          </w:tcPr>
          <w:p w:rsidR="004D7C8D" w:rsidRPr="00087CD7" w:rsidP="00087CD7">
            <w:pPr>
              <w:spacing w:after="0" w:line="240" w:lineRule="auto"/>
              <w:jc w:val="both"/>
              <w:rPr>
                <w:rFonts w:ascii="Arial" w:hAnsi="Arial" w:cs="Arial"/>
                <w:sz w:val="20"/>
                <w:szCs w:val="20"/>
              </w:rPr>
            </w:pPr>
          </w:p>
          <w:p w:rsidR="007B3CB5" w:rsidRPr="00087CD7" w:rsidP="00087CD7">
            <w:pPr>
              <w:spacing w:after="0" w:line="240" w:lineRule="auto"/>
              <w:jc w:val="both"/>
              <w:rPr>
                <w:rFonts w:ascii="Arial" w:hAnsi="Arial" w:cs="Arial"/>
                <w:sz w:val="20"/>
                <w:szCs w:val="20"/>
              </w:rPr>
            </w:pPr>
            <w:r w:rsidRPr="00087CD7">
              <w:rPr>
                <w:rFonts w:ascii="Arial" w:hAnsi="Arial" w:cs="Arial"/>
                <w:sz w:val="20"/>
                <w:szCs w:val="20"/>
              </w:rPr>
              <w:t>I assessed the management’s consideration as to whether the acquisition should be accounted for as a business combination under TFRS3.</w:t>
            </w:r>
          </w:p>
          <w:p w:rsidR="007B3CB5" w:rsidRPr="00087CD7" w:rsidP="00087CD7">
            <w:pPr>
              <w:spacing w:after="0" w:line="240" w:lineRule="auto"/>
              <w:jc w:val="both"/>
              <w:rPr>
                <w:rFonts w:ascii="Arial" w:hAnsi="Arial" w:cs="Arial"/>
                <w:sz w:val="20"/>
                <w:szCs w:val="20"/>
              </w:rPr>
            </w:pPr>
          </w:p>
          <w:p w:rsidR="007B3CB5" w:rsidRPr="00087CD7" w:rsidP="00087CD7">
            <w:pPr>
              <w:spacing w:after="0" w:line="240" w:lineRule="auto"/>
              <w:jc w:val="both"/>
              <w:rPr>
                <w:rFonts w:ascii="Arial" w:hAnsi="Arial" w:cs="Arial"/>
                <w:sz w:val="20"/>
                <w:szCs w:val="20"/>
              </w:rPr>
            </w:pPr>
            <w:r w:rsidRPr="00087CD7">
              <w:rPr>
                <w:rFonts w:ascii="Arial" w:hAnsi="Arial" w:cs="Arial"/>
                <w:sz w:val="20"/>
                <w:szCs w:val="20"/>
              </w:rPr>
              <w:t xml:space="preserve">I assessed the appropriateness of the identification of assets acquired and liabilities assumed at the acquisition date resulting from the purchase price </w:t>
            </w:r>
            <w:r w:rsidRPr="00087CD7">
              <w:rPr>
                <w:rFonts w:ascii="Arial" w:hAnsi="Arial" w:cs="Arial"/>
                <w:spacing w:val="-4"/>
                <w:sz w:val="20"/>
                <w:szCs w:val="20"/>
              </w:rPr>
              <w:t>allocation exercise, by evaluating the reasonableness</w:t>
            </w:r>
            <w:r w:rsidRPr="00087CD7">
              <w:rPr>
                <w:rFonts w:ascii="Arial" w:hAnsi="Arial" w:cs="Arial"/>
                <w:sz w:val="20"/>
                <w:szCs w:val="20"/>
              </w:rPr>
              <w:t xml:space="preserve"> </w:t>
            </w:r>
            <w:r w:rsidRPr="00087CD7">
              <w:rPr>
                <w:rFonts w:ascii="Arial" w:hAnsi="Arial" w:cs="Arial"/>
                <w:spacing w:val="-4"/>
                <w:sz w:val="20"/>
                <w:szCs w:val="20"/>
              </w:rPr>
              <w:t>of key assumptions applied. The procedures included;</w:t>
            </w:r>
          </w:p>
          <w:p w:rsidR="007B3CB5" w:rsidRPr="00087CD7" w:rsidP="00087CD7">
            <w:pPr>
              <w:spacing w:after="0" w:line="240" w:lineRule="auto"/>
              <w:jc w:val="both"/>
              <w:rPr>
                <w:rFonts w:ascii="Arial" w:hAnsi="Arial" w:cs="Arial"/>
                <w:sz w:val="20"/>
                <w:szCs w:val="20"/>
              </w:rPr>
            </w:pPr>
          </w:p>
          <w:p w:rsidR="007B3CB5" w:rsidRPr="00087CD7" w:rsidP="00087CD7">
            <w:pPr>
              <w:pStyle w:val="ListParagraph"/>
              <w:numPr>
                <w:ilvl w:val="0"/>
                <w:numId w:val="6"/>
              </w:numPr>
              <w:spacing w:after="0" w:line="240" w:lineRule="auto"/>
              <w:jc w:val="both"/>
              <w:rPr>
                <w:rFonts w:ascii="Arial" w:hAnsi="Arial" w:cs="Arial"/>
                <w:sz w:val="20"/>
                <w:szCs w:val="20"/>
              </w:rPr>
            </w:pPr>
            <w:r w:rsidRPr="00087CD7">
              <w:rPr>
                <w:rFonts w:ascii="Arial" w:hAnsi="Arial" w:cs="Arial"/>
                <w:spacing w:val="-4"/>
                <w:sz w:val="20"/>
                <w:szCs w:val="20"/>
              </w:rPr>
              <w:t>Tested the accuracy of electricity tariff against</w:t>
            </w:r>
            <w:r w:rsidRPr="00087CD7">
              <w:rPr>
                <w:rFonts w:ascii="Arial" w:hAnsi="Arial" w:cs="Arial"/>
                <w:sz w:val="20"/>
                <w:szCs w:val="20"/>
              </w:rPr>
              <w:t xml:space="preserve"> the relevant contracts and the subsidiary’s historical data.</w:t>
            </w:r>
          </w:p>
          <w:p w:rsidR="007B3CB5" w:rsidRPr="00087CD7" w:rsidP="00087CD7">
            <w:pPr>
              <w:pStyle w:val="ListParagraph"/>
              <w:numPr>
                <w:ilvl w:val="0"/>
                <w:numId w:val="6"/>
              </w:numPr>
              <w:spacing w:after="0" w:line="240" w:lineRule="auto"/>
              <w:jc w:val="both"/>
              <w:rPr>
                <w:rFonts w:ascii="Arial" w:hAnsi="Arial" w:cs="Arial"/>
                <w:sz w:val="20"/>
                <w:szCs w:val="20"/>
              </w:rPr>
            </w:pPr>
            <w:r w:rsidRPr="00087CD7">
              <w:rPr>
                <w:rFonts w:ascii="Arial" w:hAnsi="Arial" w:cs="Arial"/>
                <w:sz w:val="20"/>
                <w:szCs w:val="20"/>
              </w:rPr>
              <w:t xml:space="preserve">Tested the plant capacity and efficiency rate against the efficiency report from solar panel’s vendor. </w:t>
            </w:r>
          </w:p>
          <w:p w:rsidR="007B3CB5" w:rsidRPr="00087CD7" w:rsidP="00087CD7">
            <w:pPr>
              <w:pStyle w:val="ListParagraph"/>
              <w:numPr>
                <w:ilvl w:val="0"/>
                <w:numId w:val="6"/>
              </w:numPr>
              <w:spacing w:after="0" w:line="240" w:lineRule="auto"/>
              <w:jc w:val="both"/>
              <w:rPr>
                <w:rFonts w:ascii="Arial" w:hAnsi="Arial" w:cs="Arial"/>
                <w:sz w:val="20"/>
                <w:szCs w:val="20"/>
              </w:rPr>
            </w:pPr>
            <w:r w:rsidRPr="00087CD7">
              <w:rPr>
                <w:rFonts w:ascii="Arial" w:hAnsi="Arial" w:cs="Arial"/>
                <w:sz w:val="20"/>
                <w:szCs w:val="20"/>
              </w:rPr>
              <w:t>Tested the average return rate on land for rental applied in the assessment of land lease prepayment’s fair value against the publicly available information.</w:t>
            </w:r>
          </w:p>
          <w:p w:rsidR="007B3CB5" w:rsidRPr="00087CD7" w:rsidP="00087CD7">
            <w:pPr>
              <w:spacing w:after="0" w:line="240" w:lineRule="auto"/>
              <w:jc w:val="both"/>
              <w:rPr>
                <w:rFonts w:ascii="Arial" w:hAnsi="Arial" w:cs="Arial"/>
                <w:sz w:val="20"/>
                <w:szCs w:val="20"/>
              </w:rPr>
            </w:pPr>
          </w:p>
          <w:p w:rsidR="007B3CB5" w:rsidRPr="00087CD7" w:rsidP="00087CD7">
            <w:pPr>
              <w:spacing w:after="0" w:line="240" w:lineRule="auto"/>
              <w:ind w:right="-100"/>
              <w:jc w:val="both"/>
              <w:rPr>
                <w:rFonts w:ascii="Arial" w:hAnsi="Arial" w:cs="Arial"/>
                <w:sz w:val="20"/>
                <w:szCs w:val="20"/>
              </w:rPr>
            </w:pPr>
            <w:r w:rsidRPr="00087CD7">
              <w:rPr>
                <w:rFonts w:ascii="Arial" w:hAnsi="Arial" w:cs="Arial"/>
                <w:spacing w:val="-8"/>
                <w:sz w:val="20"/>
                <w:szCs w:val="20"/>
              </w:rPr>
              <w:t>I also evaluated the valuer’s competency, independence</w:t>
            </w:r>
            <w:r w:rsidRPr="00087CD7">
              <w:rPr>
                <w:rFonts w:ascii="Arial" w:hAnsi="Arial" w:cs="Arial"/>
                <w:sz w:val="20"/>
                <w:szCs w:val="20"/>
              </w:rPr>
              <w:t xml:space="preserve"> and objectivity. I did not note any significant issue. </w:t>
            </w:r>
          </w:p>
          <w:p w:rsidR="007B3CB5" w:rsidRPr="00087CD7" w:rsidP="00087CD7">
            <w:pPr>
              <w:spacing w:after="0" w:line="240" w:lineRule="auto"/>
              <w:jc w:val="both"/>
              <w:rPr>
                <w:rFonts w:ascii="Arial" w:hAnsi="Arial" w:cs="Arial"/>
                <w:sz w:val="20"/>
                <w:szCs w:val="20"/>
              </w:rPr>
            </w:pPr>
          </w:p>
          <w:p w:rsidR="00F82A21" w:rsidRPr="00087CD7" w:rsidP="00087CD7">
            <w:pPr>
              <w:spacing w:after="0" w:line="240" w:lineRule="auto"/>
              <w:jc w:val="both"/>
              <w:rPr>
                <w:rFonts w:ascii="Arial" w:hAnsi="Arial" w:cs="Arial"/>
                <w:sz w:val="20"/>
                <w:szCs w:val="20"/>
              </w:rPr>
            </w:pPr>
            <w:r w:rsidRPr="00087CD7" w:rsidR="007B3CB5">
              <w:rPr>
                <w:rFonts w:ascii="Arial" w:hAnsi="Arial" w:cs="Arial"/>
                <w:spacing w:val="-8"/>
                <w:sz w:val="20"/>
                <w:szCs w:val="20"/>
              </w:rPr>
              <w:t xml:space="preserve">In testing the fair valuation method, I engaged an expert </w:t>
            </w:r>
            <w:r w:rsidRPr="00087CD7" w:rsidR="007B3CB5">
              <w:rPr>
                <w:rFonts w:ascii="Arial" w:hAnsi="Arial" w:cs="Arial"/>
                <w:spacing w:val="-4"/>
                <w:sz w:val="20"/>
                <w:szCs w:val="20"/>
              </w:rPr>
              <w:t>to review the appropriateness and reasonableness of the methodology used in the valuation, the estimation</w:t>
            </w:r>
            <w:r w:rsidRPr="00087CD7" w:rsidR="007B3CB5">
              <w:rPr>
                <w:rFonts w:ascii="Arial" w:hAnsi="Arial" w:cs="Arial"/>
                <w:sz w:val="20"/>
                <w:szCs w:val="20"/>
              </w:rPr>
              <w:t xml:space="preserve"> </w:t>
            </w:r>
            <w:r w:rsidRPr="00087CD7" w:rsidR="007B3CB5">
              <w:rPr>
                <w:rFonts w:ascii="Arial" w:hAnsi="Arial" w:cs="Arial"/>
                <w:spacing w:val="-6"/>
                <w:sz w:val="20"/>
                <w:szCs w:val="20"/>
              </w:rPr>
              <w:t>of the discount rate and discount factor, and the model’s</w:t>
            </w:r>
            <w:r w:rsidRPr="00087CD7" w:rsidR="007B3CB5">
              <w:rPr>
                <w:rFonts w:ascii="Arial" w:hAnsi="Arial" w:cs="Arial"/>
                <w:spacing w:val="-4"/>
                <w:sz w:val="20"/>
                <w:szCs w:val="20"/>
              </w:rPr>
              <w:t xml:space="preserve"> </w:t>
            </w:r>
            <w:r w:rsidRPr="00087CD7" w:rsidR="007B3CB5">
              <w:rPr>
                <w:rFonts w:ascii="Arial" w:hAnsi="Arial" w:cs="Arial"/>
                <w:spacing w:val="-8"/>
                <w:sz w:val="20"/>
                <w:szCs w:val="20"/>
              </w:rPr>
              <w:t>logic and calculations, as compared with market practice</w:t>
            </w:r>
            <w:r w:rsidRPr="00087CD7" w:rsidR="007B3CB5">
              <w:rPr>
                <w:rFonts w:ascii="Arial" w:hAnsi="Arial" w:cs="Arial"/>
                <w:spacing w:val="-4"/>
                <w:sz w:val="20"/>
                <w:szCs w:val="20"/>
              </w:rPr>
              <w:t xml:space="preserve"> in a comparable industry.</w:t>
            </w:r>
          </w:p>
          <w:p w:rsidR="007B3CB5" w:rsidRPr="00087CD7" w:rsidP="00087CD7">
            <w:pPr>
              <w:spacing w:after="0" w:line="240" w:lineRule="auto"/>
              <w:jc w:val="both"/>
              <w:rPr>
                <w:rFonts w:ascii="Arial" w:hAnsi="Arial" w:cs="Arial"/>
                <w:sz w:val="20"/>
                <w:szCs w:val="20"/>
              </w:rPr>
            </w:pPr>
          </w:p>
          <w:p w:rsidR="007B3CB5" w:rsidRPr="00087CD7" w:rsidP="00087CD7">
            <w:pPr>
              <w:spacing w:after="0" w:line="240" w:lineRule="auto"/>
              <w:jc w:val="both"/>
              <w:rPr>
                <w:rFonts w:ascii="Arial" w:hAnsi="Arial" w:cs="Arial"/>
                <w:sz w:val="20"/>
                <w:szCs w:val="20"/>
              </w:rPr>
            </w:pPr>
            <w:r w:rsidRPr="00087CD7">
              <w:rPr>
                <w:rFonts w:ascii="Arial" w:hAnsi="Arial" w:cs="Arial"/>
                <w:sz w:val="20"/>
                <w:szCs w:val="20"/>
              </w:rPr>
              <w:t xml:space="preserve">I tested the calculation of the gain from bargain </w:t>
            </w:r>
            <w:r w:rsidRPr="00087CD7">
              <w:rPr>
                <w:rFonts w:ascii="Arial" w:hAnsi="Arial" w:cs="Arial"/>
                <w:spacing w:val="-4"/>
                <w:sz w:val="20"/>
                <w:szCs w:val="20"/>
              </w:rPr>
              <w:t>purchase arisen from the acquisition. I also evaluated</w:t>
            </w:r>
            <w:r w:rsidRPr="00087CD7">
              <w:rPr>
                <w:rFonts w:ascii="Arial" w:hAnsi="Arial" w:cs="Arial"/>
                <w:sz w:val="20"/>
                <w:szCs w:val="20"/>
              </w:rPr>
              <w:t xml:space="preserve"> the appropriateness of accounting treatment and the adequacy of the disclosures made in the notes to the financial statements. I did not note any significant exception.</w:t>
            </w:r>
          </w:p>
          <w:p w:rsidR="00A7137D" w:rsidRPr="00087CD7" w:rsidP="00087CD7">
            <w:pPr>
              <w:spacing w:after="0" w:line="240" w:lineRule="auto"/>
              <w:jc w:val="both"/>
              <w:rPr>
                <w:rFonts w:ascii="Arial" w:hAnsi="Arial" w:cs="Arial"/>
                <w:sz w:val="20"/>
                <w:szCs w:val="20"/>
              </w:rPr>
            </w:pPr>
          </w:p>
          <w:p w:rsidR="00A7137D" w:rsidRPr="00087CD7" w:rsidP="00087CD7">
            <w:pPr>
              <w:spacing w:after="0" w:line="240" w:lineRule="auto"/>
              <w:jc w:val="both"/>
              <w:rPr>
                <w:rFonts w:ascii="Arial" w:hAnsi="Arial" w:cs="Arial"/>
                <w:sz w:val="20"/>
                <w:szCs w:val="20"/>
              </w:rPr>
            </w:pPr>
            <w:r w:rsidRPr="00087CD7">
              <w:rPr>
                <w:rFonts w:ascii="Arial" w:hAnsi="Arial" w:cs="Arial"/>
                <w:sz w:val="20"/>
                <w:szCs w:val="20"/>
              </w:rPr>
              <w:t>Based on the procedures above, I noted that management’s key assumptions used in assessing the fair value of the net assets acquired and previously-held interests were reasonable based on available evidence.</w:t>
            </w:r>
          </w:p>
        </w:tc>
      </w:tr>
      <w:tr w:rsidTr="00087CD7">
        <w:tblPrEx>
          <w:tblW w:w="9198" w:type="dxa"/>
          <w:tblLayout w:type="fixed"/>
          <w:tblLook w:val="04A0"/>
        </w:tblPrEx>
        <w:tc>
          <w:tcPr>
            <w:tcW w:w="4419" w:type="dxa"/>
            <w:tcBorders>
              <w:bottom w:val="single" w:sz="4" w:space="0" w:color="ED8731"/>
            </w:tcBorders>
            <w:shd w:val="clear" w:color="auto" w:fill="auto"/>
          </w:tcPr>
          <w:p w:rsidR="00F82A21" w:rsidRPr="00087CD7" w:rsidP="00087CD7">
            <w:pPr>
              <w:spacing w:after="0" w:line="240" w:lineRule="auto"/>
              <w:jc w:val="both"/>
              <w:rPr>
                <w:rFonts w:ascii="Arial" w:hAnsi="Arial" w:cs="Arial"/>
                <w:b/>
                <w:bCs/>
                <w:i/>
                <w:iCs/>
                <w:sz w:val="20"/>
                <w:szCs w:val="20"/>
              </w:rPr>
            </w:pPr>
          </w:p>
        </w:tc>
        <w:tc>
          <w:tcPr>
            <w:tcW w:w="4779" w:type="dxa"/>
            <w:tcBorders>
              <w:bottom w:val="single" w:sz="4" w:space="0" w:color="ED8731"/>
            </w:tcBorders>
            <w:shd w:val="clear" w:color="auto" w:fill="DCDCDC"/>
          </w:tcPr>
          <w:p w:rsidR="00F82A21" w:rsidRPr="00087CD7" w:rsidP="00087CD7">
            <w:pPr>
              <w:spacing w:after="0" w:line="240" w:lineRule="auto"/>
              <w:jc w:val="both"/>
              <w:rPr>
                <w:rFonts w:ascii="Arial" w:hAnsi="Arial" w:cs="Arial"/>
                <w:sz w:val="20"/>
                <w:szCs w:val="20"/>
              </w:rPr>
            </w:pPr>
          </w:p>
        </w:tc>
      </w:tr>
    </w:tbl>
    <w:p w:rsidR="00BA5294" w:rsidRPr="00247322" w:rsidP="00E13F05">
      <w:pPr>
        <w:spacing w:after="0" w:line="240" w:lineRule="auto"/>
        <w:rPr>
          <w:rFonts w:ascii="Arial" w:hAnsi="Arial" w:cs="Arial"/>
          <w:sz w:val="20"/>
          <w:szCs w:val="20"/>
        </w:rPr>
      </w:pPr>
      <w:r w:rsidRPr="00247322">
        <w:rPr>
          <w:sz w:val="20"/>
          <w:szCs w:val="20"/>
        </w:rPr>
        <w:br w:type="page"/>
      </w:r>
    </w:p>
    <w:p w:rsidR="00D863A3" w:rsidRPr="005919E4" w:rsidP="00D863A3">
      <w:pPr>
        <w:pStyle w:val="Default"/>
        <w:jc w:val="thaiDistribute"/>
        <w:rPr>
          <w:b/>
          <w:bCs/>
          <w:color w:val="C00000"/>
          <w:sz w:val="22"/>
          <w:szCs w:val="22"/>
        </w:rPr>
      </w:pPr>
      <w:r w:rsidRPr="005919E4">
        <w:rPr>
          <w:b/>
          <w:bCs/>
          <w:color w:val="C00000"/>
          <w:sz w:val="22"/>
          <w:szCs w:val="22"/>
        </w:rPr>
        <w:t xml:space="preserve">Other information </w:t>
      </w:r>
    </w:p>
    <w:p w:rsidR="00D863A3" w:rsidRPr="00087CD7" w:rsidP="00D863A3">
      <w:pPr>
        <w:pStyle w:val="Default"/>
        <w:jc w:val="thaiDistribute"/>
        <w:rPr>
          <w:rFonts w:cs="Cordia New"/>
          <w:b/>
          <w:bCs/>
          <w:color w:val="C00000"/>
          <w:sz w:val="12"/>
          <w:szCs w:val="12"/>
        </w:rPr>
      </w:pPr>
    </w:p>
    <w:p w:rsidR="00D863A3" w:rsidRPr="005919E4" w:rsidP="00D863A3">
      <w:pPr>
        <w:pStyle w:val="Default"/>
        <w:jc w:val="thaiDistribute"/>
        <w:rPr>
          <w:sz w:val="20"/>
          <w:szCs w:val="20"/>
        </w:rPr>
      </w:pPr>
      <w:r w:rsidRPr="005919E4">
        <w:rPr>
          <w:sz w:val="20"/>
          <w:szCs w:val="20"/>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rsidR="00D863A3" w:rsidRPr="005919E4" w:rsidP="00D863A3">
      <w:pPr>
        <w:pStyle w:val="Default"/>
        <w:jc w:val="thaiDistribute"/>
        <w:rPr>
          <w:sz w:val="20"/>
          <w:szCs w:val="20"/>
        </w:rPr>
      </w:pPr>
    </w:p>
    <w:p w:rsidR="00D863A3" w:rsidRPr="005919E4" w:rsidP="00D863A3">
      <w:pPr>
        <w:pStyle w:val="Default"/>
        <w:jc w:val="thaiDistribute"/>
        <w:rPr>
          <w:sz w:val="20"/>
          <w:szCs w:val="20"/>
        </w:rPr>
      </w:pPr>
      <w:r w:rsidRPr="005919E4">
        <w:rPr>
          <w:sz w:val="20"/>
          <w:szCs w:val="20"/>
        </w:rPr>
        <w:t xml:space="preserve">My opinion on the consolidated and separate financial statements does not cover the other information and I will not express any form of assurance conclusion thereon. </w:t>
      </w:r>
    </w:p>
    <w:p w:rsidR="00D863A3" w:rsidRPr="005919E4" w:rsidP="00D863A3">
      <w:pPr>
        <w:pStyle w:val="Default"/>
        <w:jc w:val="thaiDistribute"/>
        <w:rPr>
          <w:sz w:val="20"/>
          <w:szCs w:val="20"/>
        </w:rPr>
      </w:pPr>
    </w:p>
    <w:p w:rsidR="00D863A3" w:rsidRPr="005919E4" w:rsidP="00D863A3">
      <w:pPr>
        <w:pStyle w:val="Default"/>
        <w:jc w:val="thaiDistribute"/>
        <w:rPr>
          <w:sz w:val="20"/>
          <w:szCs w:val="20"/>
        </w:rPr>
      </w:pPr>
      <w:r w:rsidRPr="005919E4">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D863A3" w:rsidRPr="005919E4" w:rsidP="00D863A3">
      <w:pPr>
        <w:pStyle w:val="Default"/>
        <w:jc w:val="thaiDistribute"/>
        <w:rPr>
          <w:sz w:val="20"/>
          <w:szCs w:val="20"/>
        </w:rPr>
      </w:pPr>
    </w:p>
    <w:p w:rsidR="00D863A3" w:rsidRPr="002D421F" w:rsidP="00D863A3">
      <w:pPr>
        <w:pStyle w:val="Default"/>
        <w:jc w:val="thaiDistribute"/>
        <w:rPr>
          <w:sz w:val="22"/>
          <w:szCs w:val="22"/>
        </w:rPr>
      </w:pPr>
      <w:r w:rsidRPr="005919E4">
        <w:rPr>
          <w:sz w:val="20"/>
          <w:szCs w:val="20"/>
        </w:rPr>
        <w:t>When I read the annual report, if I conclude that there is a material misstatement therein,</w:t>
      </w:r>
      <w:r w:rsidRPr="005919E4">
        <w:rPr>
          <w:rFonts w:cs="Angsana New"/>
          <w:sz w:val="20"/>
          <w:szCs w:val="20"/>
          <w:cs/>
        </w:rPr>
        <w:t xml:space="preserve"> </w:t>
      </w:r>
      <w:r w:rsidRPr="005919E4">
        <w:rPr>
          <w:sz w:val="20"/>
          <w:szCs w:val="20"/>
        </w:rPr>
        <w:t>I am required to communicate the matter to the audit committee.</w:t>
      </w:r>
    </w:p>
    <w:p w:rsidR="00F82A21" w:rsidRPr="0039371A" w:rsidP="00256DBB">
      <w:pPr>
        <w:pStyle w:val="Default"/>
        <w:jc w:val="both"/>
        <w:rPr>
          <w:b/>
          <w:bCs/>
          <w:color w:val="auto"/>
          <w:sz w:val="20"/>
          <w:szCs w:val="20"/>
        </w:rPr>
      </w:pPr>
    </w:p>
    <w:p w:rsidR="00256DBB" w:rsidRPr="00D863A3" w:rsidP="00256DBB">
      <w:pPr>
        <w:pStyle w:val="Default"/>
        <w:jc w:val="both"/>
        <w:rPr>
          <w:b/>
          <w:bCs/>
          <w:color w:val="C00000"/>
          <w:sz w:val="22"/>
          <w:szCs w:val="22"/>
        </w:rPr>
      </w:pPr>
      <w:r w:rsidRPr="00D863A3" w:rsidR="00F82A21">
        <w:rPr>
          <w:b/>
          <w:bCs/>
          <w:color w:val="C00000"/>
          <w:sz w:val="22"/>
          <w:szCs w:val="22"/>
        </w:rPr>
        <w:t>Responsibilities of the directors for the consolidated and separate financial statements</w:t>
      </w:r>
    </w:p>
    <w:p w:rsidR="00F82A21" w:rsidRPr="00D863A3" w:rsidP="00256DBB">
      <w:pPr>
        <w:pStyle w:val="Default"/>
        <w:jc w:val="both"/>
        <w:rPr>
          <w:b/>
          <w:bCs/>
          <w:color w:val="C00000"/>
          <w:sz w:val="12"/>
          <w:szCs w:val="12"/>
        </w:rPr>
      </w:pPr>
    </w:p>
    <w:p w:rsidR="00F82A21" w:rsidRPr="00F82A21" w:rsidP="00F82A21">
      <w:pPr>
        <w:pStyle w:val="Default"/>
        <w:jc w:val="both"/>
        <w:rPr>
          <w:color w:val="auto"/>
          <w:sz w:val="20"/>
          <w:szCs w:val="20"/>
        </w:rPr>
      </w:pPr>
      <w:r w:rsidRPr="00F82A21">
        <w:rPr>
          <w:color w:val="auto"/>
          <w:sz w:val="20"/>
          <w:szCs w:val="20"/>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rsidR="00F82A21" w:rsidRPr="00F82A21" w:rsidP="00F82A21">
      <w:pPr>
        <w:pStyle w:val="Default"/>
        <w:jc w:val="both"/>
        <w:rPr>
          <w:color w:val="auto"/>
          <w:sz w:val="20"/>
          <w:szCs w:val="20"/>
        </w:rPr>
      </w:pPr>
    </w:p>
    <w:p w:rsidR="00F82A21" w:rsidRPr="00F82A21" w:rsidP="00F82A21">
      <w:pPr>
        <w:pStyle w:val="Default"/>
        <w:jc w:val="both"/>
        <w:rPr>
          <w:color w:val="auto"/>
          <w:sz w:val="20"/>
          <w:szCs w:val="20"/>
        </w:rPr>
      </w:pPr>
      <w:r w:rsidRPr="00F82A21">
        <w:rPr>
          <w:color w:val="auto"/>
          <w:sz w:val="20"/>
          <w:szCs w:val="20"/>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rsidR="00F82A21" w:rsidRPr="00F82A21" w:rsidP="00F82A21">
      <w:pPr>
        <w:pStyle w:val="Default"/>
        <w:jc w:val="both"/>
        <w:rPr>
          <w:color w:val="auto"/>
          <w:sz w:val="20"/>
          <w:szCs w:val="20"/>
        </w:rPr>
      </w:pPr>
    </w:p>
    <w:p w:rsidR="00F82A21" w:rsidP="00F82A21">
      <w:pPr>
        <w:pStyle w:val="Default"/>
        <w:jc w:val="both"/>
        <w:rPr>
          <w:color w:val="auto"/>
          <w:sz w:val="20"/>
          <w:szCs w:val="20"/>
        </w:rPr>
      </w:pPr>
      <w:r w:rsidRPr="00F82A21">
        <w:rPr>
          <w:color w:val="auto"/>
          <w:sz w:val="20"/>
          <w:szCs w:val="20"/>
        </w:rPr>
        <w:t>The audit committee assists the directors in discharging their responsibilities for overseeing the Group and the Company’s financial reporting process.</w:t>
      </w:r>
    </w:p>
    <w:p w:rsidR="00F82A21" w:rsidP="00F82A21">
      <w:pPr>
        <w:pStyle w:val="Default"/>
        <w:jc w:val="both"/>
        <w:rPr>
          <w:color w:val="auto"/>
          <w:sz w:val="20"/>
          <w:szCs w:val="20"/>
        </w:rPr>
      </w:pPr>
    </w:p>
    <w:p w:rsidR="00F82A21" w:rsidRPr="000760EB" w:rsidP="00F82A21">
      <w:pPr>
        <w:pStyle w:val="Default"/>
        <w:jc w:val="thaiDistribute"/>
        <w:rPr>
          <w:b/>
          <w:bCs/>
          <w:color w:val="C00000"/>
          <w:spacing w:val="-4"/>
          <w:sz w:val="22"/>
          <w:szCs w:val="22"/>
        </w:rPr>
      </w:pPr>
      <w:r w:rsidRPr="000760EB">
        <w:rPr>
          <w:b/>
          <w:bCs/>
          <w:color w:val="C00000"/>
          <w:spacing w:val="-4"/>
          <w:sz w:val="22"/>
          <w:szCs w:val="22"/>
        </w:rPr>
        <w:t>Auditor’s responsibilities for the audit of the consolidated and separate financial statements</w:t>
      </w:r>
    </w:p>
    <w:p w:rsidR="00256DBB" w:rsidRPr="00F82A21" w:rsidP="00256DBB">
      <w:pPr>
        <w:pStyle w:val="Default"/>
        <w:jc w:val="both"/>
        <w:rPr>
          <w:b/>
          <w:bCs/>
          <w:color w:val="auto"/>
          <w:sz w:val="12"/>
          <w:szCs w:val="12"/>
        </w:rPr>
      </w:pPr>
    </w:p>
    <w:p w:rsidR="00F82A21" w:rsidRPr="00F82A21" w:rsidP="00F82A21">
      <w:pPr>
        <w:spacing w:after="0" w:line="240" w:lineRule="auto"/>
        <w:jc w:val="both"/>
        <w:rPr>
          <w:rFonts w:ascii="Arial" w:hAnsi="Arial" w:cs="Arial"/>
          <w:sz w:val="20"/>
          <w:szCs w:val="20"/>
        </w:rPr>
      </w:pPr>
      <w:r w:rsidRPr="00F82A21">
        <w:rPr>
          <w:rFonts w:ascii="Arial" w:hAnsi="Arial" w:cs="Arial"/>
          <w:sz w:val="20"/>
          <w:szCs w:val="20"/>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F82A21" w:rsidRPr="00F82A21" w:rsidP="00F82A21">
      <w:pPr>
        <w:spacing w:after="0" w:line="240" w:lineRule="auto"/>
        <w:jc w:val="both"/>
        <w:rPr>
          <w:rFonts w:ascii="Arial" w:hAnsi="Arial" w:cs="Arial"/>
          <w:sz w:val="20"/>
          <w:szCs w:val="20"/>
        </w:rPr>
      </w:pPr>
    </w:p>
    <w:p w:rsidR="00F82A21" w:rsidRPr="00F82A21" w:rsidP="00F82A21">
      <w:pPr>
        <w:spacing w:after="0" w:line="240" w:lineRule="auto"/>
        <w:jc w:val="both"/>
        <w:rPr>
          <w:rFonts w:ascii="Arial" w:hAnsi="Arial" w:cs="Arial"/>
          <w:sz w:val="20"/>
          <w:szCs w:val="20"/>
        </w:rPr>
      </w:pPr>
      <w:r w:rsidRPr="00F82A21">
        <w:rPr>
          <w:rFonts w:ascii="Arial" w:hAnsi="Arial" w:cs="Arial"/>
          <w:sz w:val="20"/>
          <w:szCs w:val="20"/>
        </w:rPr>
        <w:t xml:space="preserve">As part of an audit in accordance with TSAs, I exercise professional judgment and maintain professional scepticism throughout the audit. I also: </w:t>
      </w:r>
    </w:p>
    <w:p w:rsidR="00F82A21" w:rsidRPr="000760EB" w:rsidP="00F82A21">
      <w:pPr>
        <w:spacing w:after="0" w:line="240" w:lineRule="auto"/>
        <w:jc w:val="both"/>
        <w:rPr>
          <w:rFonts w:ascii="Arial" w:hAnsi="Arial" w:cs="Arial"/>
          <w:sz w:val="12"/>
          <w:szCs w:val="12"/>
        </w:rPr>
      </w:pPr>
    </w:p>
    <w:p w:rsidR="00F82A21" w:rsidRPr="00F82A21" w:rsidP="00BA5294">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A5294" w:rsidRPr="00742546">
      <w:pPr>
        <w:rPr>
          <w:rFonts w:ascii="Arial" w:hAnsi="Arial" w:cs="Arial"/>
          <w:sz w:val="6"/>
          <w:szCs w:val="6"/>
        </w:rPr>
      </w:pPr>
      <w:r>
        <w:rPr>
          <w:rFonts w:ascii="Arial" w:hAnsi="Arial" w:cs="Arial"/>
          <w:sz w:val="20"/>
          <w:szCs w:val="20"/>
        </w:rPr>
        <w:br w:type="page"/>
      </w:r>
    </w:p>
    <w:p w:rsidR="00F82A21" w:rsidP="00BA5294">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rsidR="000760EB" w:rsidRPr="000760EB" w:rsidP="000760EB">
      <w:pPr>
        <w:spacing w:after="0" w:line="240" w:lineRule="auto"/>
        <w:ind w:left="720"/>
        <w:jc w:val="both"/>
        <w:rPr>
          <w:rFonts w:ascii="Arial" w:hAnsi="Arial" w:cs="Arial"/>
          <w:sz w:val="12"/>
          <w:szCs w:val="12"/>
        </w:rPr>
      </w:pPr>
    </w:p>
    <w:p w:rsidR="00F82A21" w:rsidP="00BA5294">
      <w:pPr>
        <w:numPr>
          <w:ilvl w:val="0"/>
          <w:numId w:val="1"/>
        </w:numPr>
        <w:tabs>
          <w:tab w:val="clear" w:pos="720"/>
        </w:tabs>
        <w:spacing w:after="0" w:line="240" w:lineRule="auto"/>
        <w:jc w:val="both"/>
        <w:rPr>
          <w:rFonts w:ascii="Arial" w:hAnsi="Arial" w:cs="Arial"/>
          <w:sz w:val="20"/>
          <w:szCs w:val="20"/>
        </w:rPr>
      </w:pPr>
      <w:r w:rsidRPr="00D863A3">
        <w:rPr>
          <w:rFonts w:ascii="Arial" w:hAnsi="Arial" w:cs="Arial"/>
          <w:sz w:val="20"/>
          <w:szCs w:val="20"/>
        </w:rPr>
        <w:t xml:space="preserve">Evaluate the appropriateness of accounting policies used and the reasonableness of accounting estimates and related disclosures made by the directors. </w:t>
      </w:r>
    </w:p>
    <w:p w:rsidR="00D863A3" w:rsidRPr="000760EB" w:rsidP="00BA5294">
      <w:pPr>
        <w:spacing w:after="0" w:line="240" w:lineRule="auto"/>
        <w:ind w:left="720"/>
        <w:jc w:val="both"/>
        <w:rPr>
          <w:rFonts w:ascii="Arial" w:hAnsi="Arial" w:cs="Arial"/>
          <w:sz w:val="12"/>
          <w:szCs w:val="12"/>
          <w:cs/>
        </w:rPr>
      </w:pPr>
    </w:p>
    <w:p w:rsidR="00F82A21" w:rsidRPr="00F82A21" w:rsidP="00BA5294">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F82A21" w:rsidRPr="000760EB" w:rsidP="00BA5294">
      <w:pPr>
        <w:spacing w:after="0" w:line="240" w:lineRule="auto"/>
        <w:ind w:left="720"/>
        <w:jc w:val="both"/>
        <w:rPr>
          <w:rFonts w:ascii="Arial" w:hAnsi="Arial" w:cs="Arial"/>
          <w:sz w:val="12"/>
          <w:szCs w:val="12"/>
        </w:rPr>
      </w:pPr>
    </w:p>
    <w:p w:rsidR="00F82A21" w:rsidRPr="00F82A21" w:rsidP="00BA5294">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F82A21" w:rsidRPr="000760EB" w:rsidP="00BA5294">
      <w:pPr>
        <w:spacing w:after="0" w:line="240" w:lineRule="auto"/>
        <w:ind w:left="720"/>
        <w:jc w:val="both"/>
        <w:rPr>
          <w:rFonts w:ascii="Arial" w:hAnsi="Arial" w:cs="Arial"/>
          <w:sz w:val="12"/>
          <w:szCs w:val="12"/>
        </w:rPr>
      </w:pPr>
    </w:p>
    <w:p w:rsidR="00F82A21" w:rsidRPr="00F82A21" w:rsidP="00BA5294">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w:t>
      </w:r>
      <w:r w:rsidR="00081576">
        <w:rPr>
          <w:rFonts w:ascii="Arial" w:hAnsi="Arial"/>
          <w:sz w:val="20"/>
          <w:szCs w:val="20"/>
          <w:cs/>
        </w:rPr>
        <w:br/>
      </w:r>
      <w:r w:rsidRPr="00F82A21">
        <w:rPr>
          <w:rFonts w:ascii="Arial" w:hAnsi="Arial" w:cs="Arial"/>
          <w:sz w:val="20"/>
          <w:szCs w:val="20"/>
        </w:rPr>
        <w:t xml:space="preserve">I remain solely responsible for my audit opinion. </w:t>
      </w:r>
    </w:p>
    <w:p w:rsidR="00F82A21" w:rsidRPr="00F82A21" w:rsidP="00F82A21">
      <w:pPr>
        <w:spacing w:after="0" w:line="240" w:lineRule="auto"/>
        <w:jc w:val="both"/>
        <w:rPr>
          <w:rFonts w:ascii="Arial" w:hAnsi="Arial" w:cs="Arial"/>
          <w:sz w:val="20"/>
          <w:szCs w:val="20"/>
        </w:rPr>
      </w:pPr>
    </w:p>
    <w:p w:rsidR="00F82A21" w:rsidRPr="00F82A21" w:rsidP="00F82A21">
      <w:pPr>
        <w:spacing w:after="0" w:line="240" w:lineRule="auto"/>
        <w:jc w:val="both"/>
        <w:rPr>
          <w:rFonts w:ascii="Arial" w:hAnsi="Arial" w:cs="Arial"/>
          <w:sz w:val="20"/>
          <w:szCs w:val="20"/>
        </w:rPr>
      </w:pPr>
      <w:r w:rsidRPr="00F82A21">
        <w:rPr>
          <w:rFonts w:ascii="Arial" w:hAnsi="Arial" w:cs="Arial"/>
          <w:sz w:val="20"/>
          <w:szCs w:val="20"/>
        </w:rPr>
        <w:t xml:space="preserve">I communicate with the audit committee regarding, among other matters, the planned scope and timing of the audit and significant audit findings, including any significant deficiencies in internal control that </w:t>
      </w:r>
      <w:r w:rsidR="00081576">
        <w:rPr>
          <w:rFonts w:ascii="Arial" w:hAnsi="Arial"/>
          <w:sz w:val="20"/>
          <w:szCs w:val="20"/>
          <w:cs/>
        </w:rPr>
        <w:br/>
      </w:r>
      <w:r w:rsidRPr="00F82A21">
        <w:rPr>
          <w:rFonts w:ascii="Arial" w:hAnsi="Arial" w:cs="Arial"/>
          <w:sz w:val="20"/>
          <w:szCs w:val="20"/>
        </w:rPr>
        <w:t xml:space="preserve">I identify during my audit. </w:t>
      </w:r>
    </w:p>
    <w:p w:rsidR="00F82A21" w:rsidRPr="00F82A21" w:rsidP="00F82A21">
      <w:pPr>
        <w:spacing w:after="0" w:line="240" w:lineRule="auto"/>
        <w:jc w:val="both"/>
        <w:rPr>
          <w:rFonts w:ascii="Arial" w:hAnsi="Arial" w:cs="Arial"/>
          <w:sz w:val="20"/>
          <w:szCs w:val="20"/>
        </w:rPr>
      </w:pPr>
    </w:p>
    <w:p w:rsidR="00F82A21" w:rsidRPr="00F82A21" w:rsidP="00F82A21">
      <w:pPr>
        <w:spacing w:after="0" w:line="240" w:lineRule="auto"/>
        <w:jc w:val="both"/>
        <w:rPr>
          <w:rFonts w:ascii="Arial" w:hAnsi="Arial" w:cs="Arial"/>
          <w:sz w:val="20"/>
          <w:szCs w:val="20"/>
        </w:rPr>
      </w:pPr>
      <w:r w:rsidRPr="00F82A21">
        <w:rPr>
          <w:rFonts w:ascii="Arial" w:hAnsi="Arial" w:cs="Arial"/>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F82A21" w:rsidRPr="00F82A21" w:rsidP="00F82A21">
      <w:pPr>
        <w:spacing w:after="0" w:line="240" w:lineRule="auto"/>
        <w:jc w:val="both"/>
        <w:rPr>
          <w:rFonts w:ascii="Arial" w:hAnsi="Arial" w:cs="Arial"/>
          <w:sz w:val="20"/>
          <w:szCs w:val="20"/>
        </w:rPr>
      </w:pPr>
    </w:p>
    <w:p w:rsidR="00F82A21" w:rsidRPr="00F82A21" w:rsidP="00F82A21">
      <w:pPr>
        <w:spacing w:after="0" w:line="240" w:lineRule="auto"/>
        <w:jc w:val="both"/>
        <w:rPr>
          <w:rFonts w:ascii="Arial" w:hAnsi="Arial" w:cs="Arial"/>
          <w:sz w:val="20"/>
          <w:szCs w:val="20"/>
        </w:rPr>
      </w:pPr>
      <w:r w:rsidRPr="00F82A21">
        <w:rPr>
          <w:rFonts w:ascii="Arial" w:hAnsi="Arial" w:cs="Arial"/>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256DBB" w:rsidRPr="00F82A21" w:rsidP="00256DBB">
      <w:pPr>
        <w:spacing w:after="0" w:line="240" w:lineRule="auto"/>
        <w:jc w:val="both"/>
        <w:rPr>
          <w:rFonts w:ascii="Arial" w:hAnsi="Arial" w:cs="Arial"/>
          <w:sz w:val="20"/>
          <w:szCs w:val="20"/>
        </w:rPr>
      </w:pPr>
    </w:p>
    <w:p w:rsidR="00256DBB" w:rsidRPr="00F82A21" w:rsidP="00256DBB">
      <w:pPr>
        <w:spacing w:after="0" w:line="240" w:lineRule="auto"/>
        <w:jc w:val="both"/>
        <w:rPr>
          <w:rFonts w:ascii="Arial" w:hAnsi="Arial"/>
          <w:sz w:val="20"/>
          <w:szCs w:val="20"/>
        </w:rPr>
      </w:pPr>
    </w:p>
    <w:p w:rsidR="00256DBB" w:rsidRPr="00F82A21" w:rsidP="00256DBB">
      <w:pPr>
        <w:autoSpaceDE w:val="0"/>
        <w:autoSpaceDN w:val="0"/>
        <w:adjustRightInd w:val="0"/>
        <w:spacing w:after="0" w:line="240" w:lineRule="auto"/>
        <w:jc w:val="both"/>
        <w:rPr>
          <w:rFonts w:ascii="Arial" w:hAnsi="Arial" w:cs="Arial"/>
          <w:sz w:val="20"/>
          <w:szCs w:val="20"/>
          <w:lang w:val="en-US"/>
        </w:rPr>
      </w:pPr>
      <w:r w:rsidRPr="00F82A21">
        <w:rPr>
          <w:rFonts w:ascii="Arial" w:hAnsi="Arial" w:cs="Arial"/>
          <w:sz w:val="20"/>
          <w:szCs w:val="20"/>
          <w:lang w:val="en-US"/>
        </w:rPr>
        <w:t>PricewaterhouseCoopers ABAS Ltd.</w:t>
      </w:r>
    </w:p>
    <w:p w:rsidR="00256DBB" w:rsidRPr="00F82A21" w:rsidP="00256DBB">
      <w:pPr>
        <w:pStyle w:val="Default"/>
        <w:jc w:val="both"/>
        <w:rPr>
          <w:color w:val="auto"/>
          <w:sz w:val="20"/>
          <w:szCs w:val="20"/>
        </w:rPr>
      </w:pPr>
    </w:p>
    <w:p w:rsidR="003D3D27" w:rsidRPr="00F82A21" w:rsidP="000D55B0">
      <w:pPr>
        <w:suppressAutoHyphens/>
        <w:spacing w:after="0" w:line="240" w:lineRule="auto"/>
        <w:rPr>
          <w:rFonts w:ascii="Arial" w:hAnsi="Arial" w:cs="Arial"/>
          <w:sz w:val="20"/>
          <w:szCs w:val="20"/>
        </w:rPr>
      </w:pPr>
    </w:p>
    <w:p w:rsidR="00BF6548" w:rsidRPr="00F82A21" w:rsidP="000D55B0">
      <w:pPr>
        <w:suppressAutoHyphens/>
        <w:spacing w:after="0" w:line="240" w:lineRule="auto"/>
        <w:rPr>
          <w:rFonts w:ascii="Arial" w:hAnsi="Arial" w:cs="Arial"/>
          <w:sz w:val="20"/>
          <w:szCs w:val="20"/>
        </w:rPr>
      </w:pPr>
    </w:p>
    <w:p w:rsidR="00BF6548" w:rsidRPr="00F82A21" w:rsidP="000D55B0">
      <w:pPr>
        <w:suppressAutoHyphens/>
        <w:spacing w:after="0" w:line="240" w:lineRule="auto"/>
        <w:rPr>
          <w:rFonts w:ascii="Arial" w:hAnsi="Arial" w:cs="Arial"/>
          <w:sz w:val="20"/>
          <w:szCs w:val="20"/>
        </w:rPr>
      </w:pPr>
    </w:p>
    <w:p w:rsidR="003D3D27" w:rsidRPr="00F82A21" w:rsidP="000D55B0">
      <w:pPr>
        <w:suppressAutoHyphens/>
        <w:spacing w:after="0" w:line="240" w:lineRule="auto"/>
        <w:rPr>
          <w:rFonts w:ascii="Arial" w:hAnsi="Arial" w:cs="Arial"/>
          <w:sz w:val="20"/>
          <w:szCs w:val="20"/>
        </w:rPr>
      </w:pPr>
    </w:p>
    <w:p w:rsidR="003D3D27" w:rsidP="000D55B0">
      <w:pPr>
        <w:suppressAutoHyphens/>
        <w:spacing w:after="0" w:line="240" w:lineRule="auto"/>
        <w:rPr>
          <w:rFonts w:ascii="Arial" w:hAnsi="Arial" w:cs="Arial"/>
          <w:sz w:val="20"/>
          <w:szCs w:val="20"/>
        </w:rPr>
      </w:pPr>
    </w:p>
    <w:p w:rsidR="000760EB" w:rsidRPr="00F82A21" w:rsidP="000D55B0">
      <w:pPr>
        <w:suppressAutoHyphens/>
        <w:spacing w:after="0" w:line="240" w:lineRule="auto"/>
        <w:rPr>
          <w:rFonts w:ascii="Arial" w:hAnsi="Arial" w:cs="Arial"/>
          <w:sz w:val="20"/>
          <w:szCs w:val="20"/>
        </w:rPr>
      </w:pPr>
    </w:p>
    <w:p w:rsidR="005B1E87" w:rsidRPr="0008202D" w:rsidP="000D55B0">
      <w:pPr>
        <w:suppressAutoHyphens/>
        <w:spacing w:after="0" w:line="240" w:lineRule="auto"/>
        <w:rPr>
          <w:rFonts w:ascii="Arial" w:hAnsi="Arial" w:cs="Arial"/>
          <w:b/>
          <w:bCs/>
          <w:sz w:val="20"/>
          <w:szCs w:val="20"/>
          <w:lang w:val="en-US"/>
        </w:rPr>
      </w:pPr>
    </w:p>
    <w:p w:rsidR="0008202D" w:rsidRPr="0008202D" w:rsidP="0008202D">
      <w:pPr>
        <w:spacing w:after="0" w:line="240" w:lineRule="auto"/>
        <w:rPr>
          <w:rFonts w:ascii="Arial" w:hAnsi="Arial" w:cs="Arial"/>
          <w:b/>
          <w:bCs/>
          <w:sz w:val="20"/>
          <w:szCs w:val="20"/>
        </w:rPr>
      </w:pPr>
      <w:r w:rsidRPr="0008202D">
        <w:rPr>
          <w:rFonts w:ascii="Arial" w:hAnsi="Arial" w:cs="Arial"/>
          <w:b/>
          <w:bCs/>
          <w:sz w:val="20"/>
          <w:szCs w:val="20"/>
        </w:rPr>
        <w:t xml:space="preserve">Kajornkiet </w:t>
      </w:r>
      <w:r w:rsidR="007059B5">
        <w:rPr>
          <w:rFonts w:ascii="Arial" w:hAnsi="Arial" w:cs="Arial"/>
          <w:b/>
          <w:bCs/>
          <w:sz w:val="20"/>
          <w:szCs w:val="20"/>
        </w:rPr>
        <w:t xml:space="preserve"> </w:t>
      </w:r>
      <w:r w:rsidRPr="0008202D">
        <w:rPr>
          <w:rFonts w:ascii="Arial" w:hAnsi="Arial" w:cs="Arial"/>
          <w:b/>
          <w:bCs/>
          <w:sz w:val="20"/>
          <w:szCs w:val="20"/>
        </w:rPr>
        <w:t>Aroonpirodkul</w:t>
      </w:r>
    </w:p>
    <w:p w:rsidR="005B1E87" w:rsidRPr="0008202D" w:rsidP="0008202D">
      <w:pPr>
        <w:spacing w:after="0" w:line="240" w:lineRule="auto"/>
        <w:rPr>
          <w:rFonts w:ascii="Arial" w:hAnsi="Arial" w:cs="Arial"/>
          <w:sz w:val="20"/>
          <w:szCs w:val="20"/>
        </w:rPr>
      </w:pPr>
      <w:r w:rsidRPr="0008202D">
        <w:rPr>
          <w:rFonts w:ascii="Arial" w:hAnsi="Arial" w:cs="Arial"/>
          <w:sz w:val="20"/>
          <w:szCs w:val="20"/>
        </w:rPr>
        <w:t xml:space="preserve">Certified Public Accountant (Thailand) No. </w:t>
      </w:r>
      <w:r w:rsidRPr="0008202D" w:rsidR="0008202D">
        <w:rPr>
          <w:rFonts w:ascii="Arial" w:hAnsi="Arial" w:cs="Arial"/>
          <w:sz w:val="20"/>
          <w:szCs w:val="20"/>
        </w:rPr>
        <w:t>3445</w:t>
      </w:r>
    </w:p>
    <w:p w:rsidR="008059B7" w:rsidRPr="0008202D" w:rsidP="0008202D">
      <w:pPr>
        <w:suppressAutoHyphens/>
        <w:spacing w:after="0" w:line="240" w:lineRule="auto"/>
        <w:rPr>
          <w:rFonts w:ascii="Arial" w:hAnsi="Arial" w:cs="Arial"/>
          <w:sz w:val="20"/>
          <w:szCs w:val="20"/>
        </w:rPr>
      </w:pPr>
      <w:r w:rsidRPr="0008202D" w:rsidR="005B1E87">
        <w:rPr>
          <w:rFonts w:ascii="Arial" w:hAnsi="Arial" w:cs="Arial"/>
          <w:sz w:val="20"/>
          <w:szCs w:val="20"/>
        </w:rPr>
        <w:t>Bangkok</w:t>
      </w:r>
    </w:p>
    <w:p w:rsidR="008059B7" w:rsidRPr="0008202D" w:rsidP="0008202D">
      <w:pPr>
        <w:suppressAutoHyphens/>
        <w:spacing w:after="0" w:line="240" w:lineRule="auto"/>
        <w:rPr>
          <w:rFonts w:ascii="Arial" w:hAnsi="Arial" w:cs="Arial"/>
          <w:sz w:val="20"/>
          <w:szCs w:val="20"/>
        </w:rPr>
      </w:pPr>
      <w:r w:rsidR="00006D7F">
        <w:rPr>
          <w:rFonts w:ascii="Arial" w:hAnsi="Arial" w:cs="Arial"/>
          <w:sz w:val="20"/>
          <w:szCs w:val="20"/>
        </w:rPr>
        <w:t>2</w:t>
      </w:r>
      <w:r w:rsidR="00682F1F">
        <w:rPr>
          <w:rFonts w:ascii="Arial" w:hAnsi="Arial" w:cs="Arial"/>
          <w:sz w:val="20"/>
          <w:szCs w:val="20"/>
        </w:rPr>
        <w:t>7</w:t>
      </w:r>
      <w:r w:rsidR="00006D7F">
        <w:rPr>
          <w:rFonts w:ascii="Arial" w:hAnsi="Arial" w:cs="Arial"/>
          <w:sz w:val="20"/>
          <w:szCs w:val="20"/>
        </w:rPr>
        <w:t xml:space="preserve"> February</w:t>
      </w:r>
      <w:r w:rsidR="005919E4">
        <w:rPr>
          <w:rFonts w:ascii="Arial" w:hAnsi="Arial" w:cs="Arial"/>
          <w:sz w:val="20"/>
          <w:szCs w:val="20"/>
        </w:rPr>
        <w:t xml:space="preserve"> </w:t>
      </w:r>
      <w:r w:rsidRPr="0008202D" w:rsidR="007D5DBC">
        <w:rPr>
          <w:rFonts w:ascii="Arial" w:hAnsi="Arial" w:cs="Arial"/>
          <w:sz w:val="20"/>
          <w:szCs w:val="20"/>
        </w:rPr>
        <w:t>201</w:t>
      </w:r>
      <w:r w:rsidR="006F0626">
        <w:rPr>
          <w:rFonts w:ascii="Arial" w:hAnsi="Arial" w:cs="Arial"/>
          <w:sz w:val="20"/>
          <w:szCs w:val="20"/>
        </w:rPr>
        <w:t>9</w:t>
      </w:r>
    </w:p>
    <w:p w:rsidR="00FE5E54" w:rsidRPr="00F82A21" w:rsidP="000D55B0">
      <w:pPr>
        <w:suppressAutoHyphens/>
        <w:spacing w:after="0" w:line="240" w:lineRule="auto"/>
        <w:rPr>
          <w:rFonts w:ascii="Arial" w:hAnsi="Arial" w:cs="Arial"/>
          <w:i/>
          <w:iCs/>
          <w:szCs w:val="22"/>
        </w:rPr>
        <w:sectPr w:rsidSect="004D7C8D">
          <w:pgSz w:w="11909" w:h="16834" w:code="9"/>
          <w:pgMar w:top="2880" w:right="720" w:bottom="720" w:left="1987" w:header="706" w:footer="706" w:gutter="0"/>
          <w:cols w:space="708"/>
          <w:docGrid w:linePitch="360"/>
        </w:sectPr>
      </w:pPr>
    </w:p>
    <w:p w:rsidR="00A61058" w:rsidRPr="00F82A21" w:rsidP="005B34C7">
      <w:pPr>
        <w:keepNext/>
        <w:spacing w:after="0" w:line="240" w:lineRule="auto"/>
        <w:ind w:left="540"/>
        <w:rPr>
          <w:rFonts w:ascii="Arial" w:hAnsi="Arial" w:cs="Arial"/>
          <w:szCs w:val="22"/>
        </w:rPr>
      </w:pPr>
      <w:r w:rsidRPr="00F82A21" w:rsidR="007D5DBC">
        <w:rPr>
          <w:rFonts w:ascii="Arial" w:hAnsi="Arial" w:cs="Arial"/>
          <w:b/>
          <w:bCs/>
          <w:szCs w:val="22"/>
        </w:rPr>
        <w:t>B.GRIMM POWER</w:t>
      </w:r>
      <w:r w:rsidRPr="00F82A21" w:rsidR="007D5DBC">
        <w:rPr>
          <w:rFonts w:ascii="Arial" w:hAnsi="Arial" w:cs="Arial"/>
          <w:b/>
          <w:bCs/>
          <w:szCs w:val="22"/>
        </w:rPr>
        <w:t xml:space="preserve"> </w:t>
      </w:r>
      <w:r w:rsidRPr="00F82A21">
        <w:rPr>
          <w:rFonts w:ascii="Arial" w:hAnsi="Arial" w:cs="Arial"/>
          <w:b/>
          <w:bCs/>
          <w:szCs w:val="22"/>
        </w:rPr>
        <w:t xml:space="preserve">PUBLIC COMPANY LIMITED </w:t>
      </w:r>
    </w:p>
    <w:p w:rsidR="00A61058" w:rsidRPr="00F82A21" w:rsidP="00A61058">
      <w:pPr>
        <w:suppressAutoHyphens/>
        <w:spacing w:after="0" w:line="240" w:lineRule="auto"/>
        <w:ind w:left="540"/>
        <w:rPr>
          <w:rFonts w:ascii="Arial" w:hAnsi="Arial" w:cs="Arial"/>
          <w:b/>
          <w:bCs/>
          <w:szCs w:val="22"/>
        </w:rPr>
      </w:pPr>
    </w:p>
    <w:p w:rsidR="00A61058" w:rsidRPr="00F82A21" w:rsidP="00A61058">
      <w:pPr>
        <w:suppressAutoHyphens/>
        <w:spacing w:after="0" w:line="240" w:lineRule="auto"/>
        <w:ind w:left="540"/>
        <w:rPr>
          <w:rFonts w:ascii="Arial" w:hAnsi="Arial" w:cs="Arial"/>
          <w:b/>
          <w:bCs/>
          <w:szCs w:val="22"/>
        </w:rPr>
      </w:pPr>
    </w:p>
    <w:p w:rsidR="00A61058" w:rsidRPr="00F82A21" w:rsidP="00A61058">
      <w:pPr>
        <w:keepNext/>
        <w:spacing w:after="0" w:line="240" w:lineRule="auto"/>
        <w:ind w:left="540"/>
        <w:rPr>
          <w:rFonts w:ascii="Arial" w:hAnsi="Arial" w:cs="Arial"/>
          <w:b/>
          <w:bCs/>
          <w:szCs w:val="22"/>
        </w:rPr>
      </w:pPr>
      <w:r w:rsidRPr="00F82A21">
        <w:rPr>
          <w:rFonts w:ascii="Arial" w:hAnsi="Arial" w:cs="Arial"/>
          <w:b/>
          <w:bCs/>
          <w:szCs w:val="22"/>
        </w:rPr>
        <w:t>CONSOLIDATED AND SEPARATE FINANCIAL STATEMENTS</w:t>
      </w:r>
    </w:p>
    <w:p w:rsidR="00A61058" w:rsidRPr="00F82A21" w:rsidP="00A61058">
      <w:pPr>
        <w:suppressAutoHyphens/>
        <w:spacing w:after="0" w:line="240" w:lineRule="auto"/>
        <w:ind w:left="540"/>
        <w:rPr>
          <w:rFonts w:ascii="Arial" w:hAnsi="Arial" w:cs="Arial"/>
          <w:b/>
          <w:bCs/>
          <w:szCs w:val="22"/>
        </w:rPr>
      </w:pPr>
    </w:p>
    <w:p w:rsidR="00A61058" w:rsidP="00A61058">
      <w:pPr>
        <w:suppressAutoHyphens/>
        <w:spacing w:after="0" w:line="240" w:lineRule="auto"/>
        <w:ind w:left="540"/>
        <w:rPr>
          <w:rFonts w:ascii="Arial" w:hAnsi="Arial" w:cs="Arial"/>
          <w:b/>
          <w:bCs/>
          <w:szCs w:val="22"/>
        </w:rPr>
      </w:pPr>
      <w:r w:rsidRPr="00F82A21" w:rsidR="00256DBB">
        <w:rPr>
          <w:rFonts w:ascii="Arial" w:hAnsi="Arial" w:cs="Arial"/>
          <w:b/>
          <w:bCs/>
          <w:szCs w:val="22"/>
        </w:rPr>
        <w:t xml:space="preserve">31 DECEMBER </w:t>
      </w:r>
      <w:r w:rsidR="006F0626">
        <w:rPr>
          <w:rFonts w:ascii="Arial" w:hAnsi="Arial" w:cs="Arial"/>
          <w:b/>
          <w:bCs/>
          <w:szCs w:val="22"/>
        </w:rPr>
        <w:t>2018</w:t>
      </w:r>
    </w:p>
    <w:sectPr w:rsidSect="004D7C8D">
      <w:pgSz w:w="11909" w:h="16834" w:code="9"/>
      <w:pgMar w:top="4176" w:right="2880" w:bottom="10080" w:left="1728"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egoe UI">
    <w:panose1 w:val="00000000000000000000"/>
    <w:charset w:val="00"/>
    <w:family w:val="swiss"/>
    <w:pitch w:val="variable"/>
    <w:sig w:usb0="E4002EFF" w:usb1="C000E47F" w:usb2="00000009" w:usb3="00000000" w:csb0="000001FF" w:csb1="00000000"/>
  </w:font>
  <w:font w:name="Courier New">
    <w:panose1 w:val="00000000000000000000"/>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0000000000000000000"/>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71B2E"/>
    <w:multiLevelType w:val="hybridMultilevel"/>
    <w:tmpl w:val="DDB03A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289345E3"/>
    <w:multiLevelType w:val="hybridMultilevel"/>
    <w:tmpl w:val="631C9452"/>
    <w:lvl w:ilvl="0">
      <w:start w:val="1"/>
      <w:numFmt w:val="bullet"/>
      <w:lvlText w:val="•"/>
      <w:lvlJc w:val="left"/>
      <w:pPr>
        <w:tabs>
          <w:tab w:val="num" w:pos="720"/>
        </w:tabs>
        <w:ind w:left="720" w:hanging="360"/>
      </w:pPr>
      <w:rPr>
        <w:rFonts w:ascii="Arial" w:hAnsi="Arial" w:hint="default"/>
        <w:color w:val="C00000"/>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
    <w:nsid w:val="335B68FF"/>
    <w:multiLevelType w:val="hybridMultilevel"/>
    <w:tmpl w:val="69CAF610"/>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63C004CE"/>
    <w:multiLevelType w:val="hybridMultilevel"/>
    <w:tmpl w:val="8168177E"/>
    <w:lvl w:ilvl="0">
      <w:start w:val="1"/>
      <w:numFmt w:val="bullet"/>
      <w:lvlText w:val=""/>
      <w:lvlJc w:val="left"/>
      <w:pPr>
        <w:ind w:left="720" w:hanging="360"/>
      </w:pPr>
      <w:rPr>
        <w:rFonts w:ascii="Symbol" w:hAnsi="Symbol" w:hint="default"/>
        <w:color w:val="C000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65DC6BA1"/>
    <w:multiLevelType w:val="hybridMultilevel"/>
    <w:tmpl w:val="B426C4B8"/>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20"/>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8"/>
      <w:lang w:val="en-GB" w:eastAsia="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eastAsia="en-US" w:bidi="th-TH"/>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r="http://schemas.openxmlformats.org/officeDocument/2006/relationships" xmlns:w="http://schemas.openxmlformats.org/wordprocessingml/2006/main">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numbering" Target="numbering.xml" /><Relationship Id="rId6" Type="http://schemas.openxmlformats.org/officeDocument/2006/relationships/styles" Target="styles.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104DA-F30A-4CA0-96D0-1B68CE2D0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1907</Words>
  <Characters>10779</Characters>
  <Application>Microsoft Office Word</Application>
  <DocSecurity>0</DocSecurity>
  <Lines>256</Lines>
  <Paragraphs>70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Nonglu_A</cp:lastModifiedBy>
  <cp:revision>3</cp:revision>
  <cp:lastPrinted>2018-02-26T03:16:00Z</cp:lastPrinted>
  <dcterms:created xsi:type="dcterms:W3CDTF">2019-02-27T08:42:00Z</dcterms:created>
  <dcterms:modified xsi:type="dcterms:W3CDTF">2019-02-27T08:43:00Z</dcterms:modified>
</cp:coreProperties>
</file>