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0" w:type="dxa"/>
        <w:tblLook w:val="01E0" w:firstRow="1" w:lastRow="1" w:firstColumn="1" w:lastColumn="1" w:noHBand="0" w:noVBand="0"/>
      </w:tblPr>
      <w:tblGrid>
        <w:gridCol w:w="2250"/>
        <w:gridCol w:w="6960"/>
      </w:tblGrid>
      <w:tr w:rsidR="00EB2179" w:rsidRPr="000A5EE2" w:rsidTr="00E10FDC">
        <w:trPr>
          <w:trHeight w:val="2865"/>
        </w:trPr>
        <w:tc>
          <w:tcPr>
            <w:tcW w:w="2250" w:type="dxa"/>
          </w:tcPr>
          <w:p w:rsidR="00EB2179" w:rsidRPr="00F4659D" w:rsidRDefault="00EB2179" w:rsidP="00E62BEE">
            <w:pPr>
              <w:rPr>
                <w:rFonts w:ascii="Angsana New" w:hAnsi="Angsana New"/>
                <w:sz w:val="36"/>
                <w:szCs w:val="36"/>
              </w:rPr>
            </w:pPr>
          </w:p>
        </w:tc>
        <w:tc>
          <w:tcPr>
            <w:tcW w:w="6960" w:type="dxa"/>
            <w:vAlign w:val="center"/>
          </w:tcPr>
          <w:p w:rsidR="000B3089" w:rsidRDefault="00CF3117" w:rsidP="003D1793">
            <w:pPr>
              <w:spacing w:line="380" w:lineRule="exact"/>
              <w:ind w:left="-14" w:right="-45"/>
              <w:rPr>
                <w:color w:val="7F7E82"/>
                <w:sz w:val="28"/>
              </w:rPr>
            </w:pPr>
            <w:r w:rsidRPr="001C3F3E">
              <w:rPr>
                <w:rFonts w:cs="Times New Roman"/>
                <w:color w:val="7E7F82"/>
                <w:sz w:val="28"/>
              </w:rPr>
              <w:t>Power Solution Technologies</w:t>
            </w:r>
            <w:r>
              <w:rPr>
                <w:rFonts w:cs="Times New Roman"/>
                <w:color w:val="7E7F82"/>
                <w:sz w:val="28"/>
              </w:rPr>
              <w:t xml:space="preserve"> </w:t>
            </w:r>
            <w:r w:rsidR="003D1793" w:rsidRPr="007E75C0">
              <w:rPr>
                <w:color w:val="7F7E82"/>
                <w:sz w:val="28"/>
              </w:rPr>
              <w:t>Public Company Limited</w:t>
            </w:r>
            <w:r w:rsidR="003D1793">
              <w:rPr>
                <w:color w:val="7F7E82"/>
                <w:sz w:val="28"/>
              </w:rPr>
              <w:t xml:space="preserve"> </w:t>
            </w:r>
          </w:p>
          <w:p w:rsidR="003D1793" w:rsidRPr="007E75C0" w:rsidRDefault="003D1793" w:rsidP="003D1793">
            <w:pPr>
              <w:spacing w:line="380" w:lineRule="exact"/>
              <w:ind w:left="-14" w:right="-45"/>
              <w:rPr>
                <w:color w:val="7F7E82"/>
                <w:sz w:val="28"/>
              </w:rPr>
            </w:pPr>
            <w:r w:rsidRPr="007E75C0">
              <w:rPr>
                <w:color w:val="7F7E82"/>
                <w:sz w:val="28"/>
              </w:rPr>
              <w:t>and its subsidiaries</w:t>
            </w:r>
          </w:p>
          <w:p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684556">
              <w:rPr>
                <w:rFonts w:cs="Times New Roman"/>
                <w:color w:val="7F7E82"/>
                <w:sz w:val="28"/>
              </w:rPr>
              <w:t>2018</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C52C43" w:rsidRPr="00E10FDC" w:rsidRDefault="00C52C43" w:rsidP="00E10FDC">
      <w:pPr>
        <w:spacing w:line="380" w:lineRule="exact"/>
        <w:jc w:val="both"/>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rsidR="00C52C43" w:rsidRPr="00E10FDC" w:rsidRDefault="00C52C43" w:rsidP="00E10FDC">
      <w:pPr>
        <w:pStyle w:val="BodyText"/>
        <w:spacing w:after="0" w:line="380" w:lineRule="exact"/>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5224BC" w:rsidRPr="00E10FDC">
        <w:rPr>
          <w:rFonts w:ascii="Arial" w:hAnsi="Arial" w:cs="Arial"/>
          <w:sz w:val="22"/>
          <w:szCs w:val="22"/>
        </w:rPr>
        <w:t>Power Solution Technologies</w:t>
      </w:r>
      <w:r w:rsidRPr="00E10FDC">
        <w:rPr>
          <w:rFonts w:ascii="Arial" w:eastAsia="Arial Unicode MS" w:hAnsi="Arial" w:cs="Arial"/>
          <w:sz w:val="22"/>
          <w:szCs w:val="22"/>
        </w:rPr>
        <w:t xml:space="preserve"> Public Company Limited</w:t>
      </w:r>
    </w:p>
    <w:p w:rsidR="00C52C43" w:rsidRPr="00E10FDC" w:rsidRDefault="00C52C43" w:rsidP="00E10FDC">
      <w:pPr>
        <w:pStyle w:val="ps-000-normal"/>
        <w:spacing w:before="360" w:line="380" w:lineRule="exact"/>
        <w:rPr>
          <w:rFonts w:ascii="Arial" w:hAnsi="Arial" w:cs="Arial"/>
          <w:b/>
          <w:bCs/>
          <w:sz w:val="22"/>
          <w:szCs w:val="22"/>
        </w:rPr>
      </w:pPr>
      <w:r w:rsidRPr="00E10FDC">
        <w:rPr>
          <w:rFonts w:ascii="Arial" w:hAnsi="Arial" w:cs="Arial"/>
          <w:b/>
          <w:bCs/>
          <w:sz w:val="22"/>
          <w:szCs w:val="22"/>
        </w:rPr>
        <w:t>Opinion</w:t>
      </w:r>
    </w:p>
    <w:p w:rsidR="00C52C43" w:rsidRPr="00E10FDC" w:rsidRDefault="00C52C43" w:rsidP="00E10FDC">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CF3117" w:rsidRPr="00E10FDC">
        <w:rPr>
          <w:rFonts w:ascii="Arial" w:hAnsi="Arial" w:cs="Arial"/>
          <w:sz w:val="22"/>
          <w:szCs w:val="22"/>
        </w:rPr>
        <w:t xml:space="preserve">Power Solution Technologies </w:t>
      </w:r>
      <w:r w:rsidRPr="00E10FDC">
        <w:rPr>
          <w:rFonts w:ascii="Arial" w:hAnsi="Arial" w:cs="Arial"/>
          <w:sz w:val="22"/>
          <w:szCs w:val="22"/>
        </w:rPr>
        <w:t xml:space="preserve">Public Company Limited and its subsidiaries (the Group), which comprise the consolidated statement of financial position as at 31 December </w:t>
      </w:r>
      <w:r w:rsidR="00684556">
        <w:rPr>
          <w:rFonts w:ascii="Arial" w:hAnsi="Arial" w:cs="Arial"/>
          <w:sz w:val="22"/>
          <w:szCs w:val="22"/>
        </w:rPr>
        <w:t>2018</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F3117" w:rsidRPr="00E10FDC">
        <w:rPr>
          <w:rFonts w:ascii="Arial" w:hAnsi="Arial" w:cs="Arial"/>
          <w:sz w:val="22"/>
          <w:szCs w:val="22"/>
        </w:rPr>
        <w:t>Power Solution Technologies</w:t>
      </w:r>
      <w:r w:rsidRPr="00E10FDC">
        <w:rPr>
          <w:rFonts w:ascii="Arial" w:hAnsi="Arial" w:cs="Arial"/>
          <w:sz w:val="22"/>
          <w:szCs w:val="22"/>
        </w:rPr>
        <w:t xml:space="preserve"> Public Company Limited for the same period.</w:t>
      </w:r>
    </w:p>
    <w:p w:rsidR="00C52C43" w:rsidRPr="00E10FDC" w:rsidRDefault="00C52C43" w:rsidP="00E10FDC">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CF3117" w:rsidRPr="00E10FDC">
        <w:rPr>
          <w:rFonts w:ascii="Arial" w:hAnsi="Arial" w:cs="Arial"/>
          <w:color w:val="auto"/>
          <w:sz w:val="22"/>
          <w:szCs w:val="22"/>
        </w:rPr>
        <w:t xml:space="preserve">Power Solution Technologies </w:t>
      </w:r>
      <w:r w:rsidRPr="00E10FDC">
        <w:rPr>
          <w:rFonts w:ascii="Arial" w:hAnsi="Arial" w:cs="Arial"/>
          <w:color w:val="auto"/>
          <w:sz w:val="22"/>
          <w:szCs w:val="22"/>
        </w:rPr>
        <w:t xml:space="preserve">Public Company Limited and its subsidiaries and of </w:t>
      </w:r>
      <w:r w:rsidR="00CF3117" w:rsidRPr="00E10FDC">
        <w:rPr>
          <w:rFonts w:ascii="Arial" w:hAnsi="Arial" w:cs="Arial"/>
          <w:color w:val="auto"/>
          <w:sz w:val="22"/>
          <w:szCs w:val="22"/>
        </w:rPr>
        <w:t>Power Solution Technologies</w:t>
      </w:r>
      <w:r w:rsidR="00CF3117" w:rsidRPr="00E10FDC">
        <w:rPr>
          <w:rFonts w:ascii="Arial" w:hAnsi="Arial" w:cs="Arial"/>
          <w:sz w:val="22"/>
          <w:szCs w:val="22"/>
        </w:rPr>
        <w:t xml:space="preserve"> </w:t>
      </w:r>
      <w:r w:rsidRPr="00E10FDC">
        <w:rPr>
          <w:rFonts w:ascii="Arial" w:hAnsi="Arial" w:cs="Arial"/>
          <w:sz w:val="22"/>
          <w:szCs w:val="22"/>
        </w:rPr>
        <w:t>Public Company Limited</w:t>
      </w:r>
      <w:r w:rsidRPr="00E10FDC">
        <w:rPr>
          <w:rFonts w:ascii="Arial" w:hAnsi="Arial" w:cs="Arial"/>
          <w:color w:val="auto"/>
          <w:sz w:val="22"/>
          <w:szCs w:val="22"/>
        </w:rPr>
        <w:t xml:space="preserve"> as at 31 December </w:t>
      </w:r>
      <w:r w:rsidR="00684556">
        <w:rPr>
          <w:rFonts w:ascii="Arial" w:hAnsi="Arial" w:cs="Arial"/>
          <w:color w:val="auto"/>
          <w:sz w:val="22"/>
          <w:szCs w:val="22"/>
        </w:rPr>
        <w:t>2018</w:t>
      </w:r>
      <w:r w:rsidRPr="00E10FDC">
        <w:rPr>
          <w:rFonts w:ascii="Arial" w:hAnsi="Arial" w:cs="Arial"/>
          <w:color w:val="auto"/>
          <w:sz w:val="22"/>
          <w:szCs w:val="22"/>
        </w:rPr>
        <w:t>, their financial performance and cash flows for the year then ended in accordance with Thai Financial Reporting Standards.</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Basis for Opinion</w:t>
      </w:r>
    </w:p>
    <w:p w:rsidR="00C52C43"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I conducted my audit in accordance with Thai Standards on Auditing. My responsibilities under those standards are further described in the </w:t>
      </w:r>
      <w:r w:rsidRPr="00E10FDC">
        <w:rPr>
          <w:rFonts w:ascii="Arial" w:hAnsi="Arial" w:cs="Arial"/>
          <w:i/>
          <w:iCs/>
          <w:sz w:val="22"/>
          <w:szCs w:val="22"/>
        </w:rPr>
        <w:t>Auditor’s Responsibilities for the Audit of the Financial Statements</w:t>
      </w:r>
      <w:r w:rsidRPr="00E10FD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E10FDC" w:rsidRPr="002B446C" w:rsidRDefault="00E10FDC" w:rsidP="002B446C">
      <w:pPr>
        <w:pStyle w:val="ps-000-normal"/>
        <w:spacing w:before="120" w:line="380" w:lineRule="exact"/>
        <w:rPr>
          <w:rFonts w:ascii="Arial" w:hAnsi="Arial" w:cs="Arial"/>
          <w:sz w:val="22"/>
          <w:szCs w:val="22"/>
        </w:rPr>
      </w:pPr>
      <w:r>
        <w:rPr>
          <w:rFonts w:ascii="Arial" w:hAnsi="Arial" w:cs="Arial"/>
          <w:b/>
          <w:bCs/>
          <w:sz w:val="22"/>
          <w:szCs w:val="22"/>
        </w:rPr>
        <w:br w:type="page"/>
      </w:r>
    </w:p>
    <w:p w:rsidR="00E10FDC" w:rsidRDefault="00E10FDC" w:rsidP="00E10FDC">
      <w:pPr>
        <w:pStyle w:val="ps-000-normal"/>
        <w:spacing w:before="240" w:line="380" w:lineRule="exact"/>
        <w:rPr>
          <w:rFonts w:ascii="Arial" w:hAnsi="Arial" w:cs="Arial"/>
          <w:b/>
          <w:bCs/>
          <w:sz w:val="22"/>
          <w:szCs w:val="22"/>
        </w:rPr>
        <w:sectPr w:rsidR="00E10FDC" w:rsidSect="00E10FDC">
          <w:headerReference w:type="first" r:id="rId10"/>
          <w:footerReference w:type="first" r:id="rId11"/>
          <w:pgSz w:w="11909" w:h="16834" w:code="9"/>
          <w:pgMar w:top="3600" w:right="1080" w:bottom="1080" w:left="1296" w:header="706" w:footer="706" w:gutter="0"/>
          <w:pgNumType w:start="2"/>
          <w:cols w:space="720"/>
          <w:titlePg/>
          <w:docGrid w:linePitch="326"/>
        </w:sectPr>
      </w:pP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lastRenderedPageBreak/>
        <w:t>Key Audit Matters</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w:t>
      </w:r>
      <w:proofErr w:type="gramStart"/>
      <w:r w:rsidRPr="00E10FDC">
        <w:rPr>
          <w:rFonts w:ascii="Arial" w:hAnsi="Arial" w:cs="Arial"/>
          <w:sz w:val="22"/>
          <w:szCs w:val="22"/>
        </w:rPr>
        <w:t>as a whole, and</w:t>
      </w:r>
      <w:proofErr w:type="gramEnd"/>
      <w:r w:rsidRPr="00E10FDC">
        <w:rPr>
          <w:rFonts w:ascii="Arial" w:hAnsi="Arial" w:cs="Arial"/>
          <w:sz w:val="22"/>
          <w:szCs w:val="22"/>
        </w:rPr>
        <w:t xml:space="preserve"> in forming my opinion thereon, and I do not provide a separate opinion on these matters. </w:t>
      </w:r>
    </w:p>
    <w:p w:rsidR="00C52C43" w:rsidRPr="00E10FDC" w:rsidRDefault="00C52C43" w:rsidP="00E10FDC">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E10FDC">
        <w:rPr>
          <w:rFonts w:ascii="Arial" w:hAnsi="Arial" w:cs="Arial"/>
          <w:sz w:val="22"/>
          <w:szCs w:val="22"/>
        </w:rPr>
        <w:t>statements as a whole</w:t>
      </w:r>
      <w:proofErr w:type="gramEnd"/>
      <w:r w:rsidRPr="00E10FDC">
        <w:rPr>
          <w:rFonts w:ascii="Arial" w:hAnsi="Arial" w:cs="Arial"/>
          <w:sz w:val="22"/>
          <w:szCs w:val="22"/>
        </w:rPr>
        <w: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ey audit matters and how audit procedures respond for each matter are</w:t>
      </w:r>
      <w:r w:rsidRPr="00E10FDC">
        <w:rPr>
          <w:rFonts w:ascii="Arial" w:hAnsi="Arial" w:cs="Arial"/>
          <w:sz w:val="22"/>
          <w:szCs w:val="22"/>
          <w:cs/>
        </w:rPr>
        <w:t xml:space="preserve"> </w:t>
      </w:r>
      <w:r w:rsidRPr="00E10FDC">
        <w:rPr>
          <w:rFonts w:ascii="Arial" w:hAnsi="Arial" w:cs="Arial"/>
          <w:sz w:val="22"/>
          <w:szCs w:val="22"/>
        </w:rPr>
        <w:t>described below.</w:t>
      </w:r>
    </w:p>
    <w:p w:rsidR="00C52C43" w:rsidRPr="00E10FDC" w:rsidRDefault="00C52C43" w:rsidP="00E10FDC">
      <w:pPr>
        <w:spacing w:before="240" w:after="120" w:line="380" w:lineRule="exact"/>
        <w:rPr>
          <w:rFonts w:ascii="Arial" w:hAnsi="Arial" w:cs="Arial"/>
          <w:b/>
          <w:bCs/>
          <w:sz w:val="22"/>
          <w:szCs w:val="22"/>
        </w:rPr>
      </w:pPr>
      <w:r w:rsidRPr="00E10FDC">
        <w:rPr>
          <w:rFonts w:ascii="Arial" w:hAnsi="Arial" w:cs="Arial"/>
          <w:b/>
          <w:bCs/>
          <w:sz w:val="22"/>
          <w:szCs w:val="22"/>
        </w:rPr>
        <w:t>Revenue recognition</w:t>
      </w:r>
    </w:p>
    <w:p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The revenue from sales</w:t>
      </w:r>
      <w:r w:rsidR="00591312">
        <w:rPr>
          <w:rFonts w:ascii="Arial" w:hAnsi="Arial" w:cs="Arial"/>
          <w:sz w:val="22"/>
          <w:szCs w:val="22"/>
        </w:rPr>
        <w:t xml:space="preserve">, services and </w:t>
      </w:r>
      <w:r w:rsidR="000D7619">
        <w:rPr>
          <w:rFonts w:ascii="Arial" w:hAnsi="Arial" w:cs="Arial"/>
          <w:sz w:val="22"/>
          <w:szCs w:val="22"/>
        </w:rPr>
        <w:t xml:space="preserve">sales of electricity </w:t>
      </w:r>
      <w:r w:rsidRPr="00E10FDC">
        <w:rPr>
          <w:rFonts w:ascii="Arial" w:hAnsi="Arial" w:cs="Arial"/>
          <w:sz w:val="22"/>
          <w:szCs w:val="22"/>
        </w:rPr>
        <w:t xml:space="preserve">is the significant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of financial statements focus. In addition, the </w:t>
      </w:r>
      <w:r w:rsidR="0078265D">
        <w:rPr>
          <w:rFonts w:ascii="Arial" w:hAnsi="Arial" w:cs="Arial"/>
          <w:sz w:val="22"/>
          <w:szCs w:val="22"/>
        </w:rPr>
        <w:t>Group</w:t>
      </w:r>
      <w:r w:rsidRPr="00E10FDC">
        <w:rPr>
          <w:rFonts w:ascii="Arial" w:hAnsi="Arial" w:cs="Arial"/>
          <w:sz w:val="22"/>
          <w:szCs w:val="22"/>
        </w:rPr>
        <w:t xml:space="preserve"> has a large customer base. </w:t>
      </w:r>
      <w:proofErr w:type="gramStart"/>
      <w:r w:rsidR="000D7619">
        <w:rPr>
          <w:rFonts w:ascii="Arial" w:hAnsi="Arial" w:cs="Arial"/>
          <w:sz w:val="22"/>
          <w:szCs w:val="22"/>
        </w:rPr>
        <w:t>Therefore</w:t>
      </w:r>
      <w:proofErr w:type="gramEnd"/>
      <w:r w:rsidR="000D7619">
        <w:rPr>
          <w:rFonts w:ascii="Arial" w:hAnsi="Arial" w:cs="Arial"/>
          <w:sz w:val="22"/>
          <w:szCs w:val="22"/>
        </w:rPr>
        <w:t xml:space="preserve"> I focused on the actual occurrence and timing of revenue recognition of the Group.</w:t>
      </w:r>
    </w:p>
    <w:p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 xml:space="preserve">I have examined the revenue recognition of the </w:t>
      </w:r>
      <w:r w:rsidR="0078265D">
        <w:rPr>
          <w:rFonts w:ascii="Arial" w:hAnsi="Arial" w:cs="Arial"/>
          <w:sz w:val="22"/>
          <w:szCs w:val="22"/>
        </w:rPr>
        <w:t>Group</w:t>
      </w:r>
      <w:r w:rsidRPr="00E10FDC">
        <w:rPr>
          <w:rFonts w:ascii="Arial" w:hAnsi="Arial" w:cs="Arial"/>
          <w:sz w:val="22"/>
          <w:szCs w:val="22"/>
        </w:rPr>
        <w:t xml:space="preserve"> by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Assessing and testing the </w:t>
      </w:r>
      <w:r w:rsidR="0078265D">
        <w:rPr>
          <w:rFonts w:ascii="Arial" w:hAnsi="Arial" w:cs="Arial"/>
          <w:sz w:val="22"/>
          <w:szCs w:val="22"/>
        </w:rPr>
        <w:t>Group</w:t>
      </w:r>
      <w:r w:rsidR="000D7619">
        <w:rPr>
          <w:rFonts w:ascii="Arial" w:hAnsi="Arial" w:cs="Arial"/>
          <w:sz w:val="22"/>
          <w:szCs w:val="22"/>
        </w:rPr>
        <w:t>’s</w:t>
      </w:r>
      <w:r w:rsidRPr="00E10FDC">
        <w:rPr>
          <w:rFonts w:ascii="Arial" w:hAnsi="Arial" w:cs="Arial"/>
          <w:sz w:val="22"/>
          <w:szCs w:val="22"/>
        </w:rPr>
        <w:t xml:space="preserve"> </w:t>
      </w:r>
      <w:r w:rsidR="0078265D">
        <w:rPr>
          <w:rFonts w:ascii="Arial" w:hAnsi="Arial" w:cs="Arial"/>
          <w:sz w:val="22"/>
          <w:szCs w:val="22"/>
        </w:rPr>
        <w:t xml:space="preserve">significant </w:t>
      </w:r>
      <w:r w:rsidRPr="00E10FDC">
        <w:rPr>
          <w:rFonts w:ascii="Arial" w:hAnsi="Arial" w:cs="Arial"/>
          <w:sz w:val="22"/>
          <w:szCs w:val="22"/>
        </w:rPr>
        <w:t>internal controls with respect to the revenue cycle by making enquiry of responsible executives, gaining an understanding of the controls and selecting representative samples to test the operation of the designed controls.</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Applying a sampling method to select sales documents to assess whether revenue recognition was consistent with the conditions of the relevant sale documents, and whether it </w:t>
      </w:r>
      <w:proofErr w:type="gramStart"/>
      <w:r w:rsidRPr="00E10FDC">
        <w:rPr>
          <w:rFonts w:ascii="Arial" w:hAnsi="Arial" w:cs="Arial"/>
          <w:sz w:val="22"/>
          <w:szCs w:val="22"/>
        </w:rPr>
        <w:t>wa</w:t>
      </w:r>
      <w:r w:rsidR="0078265D">
        <w:rPr>
          <w:rFonts w:ascii="Arial" w:hAnsi="Arial" w:cs="Arial"/>
          <w:sz w:val="22"/>
          <w:szCs w:val="22"/>
        </w:rPr>
        <w:t>s in compliance with</w:t>
      </w:r>
      <w:proofErr w:type="gramEnd"/>
      <w:r w:rsidR="0078265D">
        <w:rPr>
          <w:rFonts w:ascii="Arial" w:hAnsi="Arial" w:cs="Arial"/>
          <w:sz w:val="22"/>
          <w:szCs w:val="22"/>
        </w:rPr>
        <w:t xml:space="preserve"> the Group</w:t>
      </w:r>
      <w:r w:rsidRPr="00E10FDC">
        <w:rPr>
          <w:rFonts w:ascii="Arial" w:hAnsi="Arial" w:cs="Arial"/>
          <w:sz w:val="22"/>
          <w:szCs w:val="22"/>
        </w:rPr>
        <w:t>’s policy.</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actual sales transactions occurring near the end of the accounting period.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Performing analytical procedures on disaggregated data to detect possible irregularities in sales transactions throughout the period.     </w:t>
      </w:r>
    </w:p>
    <w:p w:rsidR="00751E25" w:rsidRPr="00E14F09" w:rsidRDefault="00751E25" w:rsidP="00751E25">
      <w:pPr>
        <w:spacing w:before="120" w:after="120" w:line="380" w:lineRule="exact"/>
        <w:rPr>
          <w:rFonts w:ascii="Arial" w:hAnsi="Arial" w:cs="Arial"/>
          <w:b/>
          <w:bCs/>
          <w:sz w:val="22"/>
          <w:szCs w:val="22"/>
        </w:rPr>
      </w:pPr>
      <w:r w:rsidRPr="00E14F09">
        <w:rPr>
          <w:rFonts w:ascii="Arial" w:hAnsi="Arial" w:cs="Arial"/>
          <w:b/>
          <w:bCs/>
          <w:sz w:val="22"/>
          <w:szCs w:val="22"/>
        </w:rPr>
        <w:lastRenderedPageBreak/>
        <w:t>Goodwill</w:t>
      </w:r>
    </w:p>
    <w:p w:rsidR="00751E25" w:rsidRPr="00E14F09" w:rsidRDefault="00751E25" w:rsidP="00751E25">
      <w:pPr>
        <w:spacing w:before="120" w:after="120" w:line="380" w:lineRule="exact"/>
        <w:rPr>
          <w:rFonts w:ascii="Arial" w:hAnsi="Arial" w:cs="Arial"/>
          <w:sz w:val="22"/>
          <w:szCs w:val="22"/>
        </w:rPr>
      </w:pPr>
      <w:r w:rsidRPr="00E14F09">
        <w:rPr>
          <w:rFonts w:ascii="Arial" w:hAnsi="Arial" w:cs="Arial"/>
          <w:sz w:val="22"/>
          <w:szCs w:val="22"/>
        </w:rPr>
        <w:t xml:space="preserve">I have focused on the consideration of the impairment of goodwill, as discussed in Note </w:t>
      </w:r>
      <w:r>
        <w:rPr>
          <w:rFonts w:ascii="Arial" w:hAnsi="Arial" w:cs="Arial"/>
          <w:sz w:val="22"/>
          <w:szCs w:val="22"/>
        </w:rPr>
        <w:t>17</w:t>
      </w:r>
      <w:r w:rsidRPr="00E14F09">
        <w:rPr>
          <w:rFonts w:ascii="Arial" w:hAnsi="Arial" w:cs="Arial"/>
          <w:sz w:val="22"/>
          <w:szCs w:val="22"/>
        </w:rPr>
        <w:t xml:space="preserve"> to the financial statements, because the impairment assessment on goodwill is a significant accounting estimate requiring the management to exercise a high degree of judgment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Pr="00E14F09">
        <w:rPr>
          <w:rFonts w:ascii="Arial" w:hAnsi="Arial" w:cs="Arial"/>
          <w:sz w:val="22"/>
          <w:szCs w:val="22"/>
          <w:cs/>
        </w:rPr>
        <w:t xml:space="preserve"> </w:t>
      </w:r>
      <w:r w:rsidRPr="00E14F09">
        <w:rPr>
          <w:rFonts w:ascii="Arial" w:hAnsi="Arial" w:cs="Arial"/>
          <w:sz w:val="22"/>
          <w:szCs w:val="22"/>
        </w:rPr>
        <w:t xml:space="preserve">inappropriate. </w:t>
      </w:r>
    </w:p>
    <w:p w:rsidR="00751E25" w:rsidRDefault="00751E25" w:rsidP="00751E25">
      <w:pPr>
        <w:spacing w:line="380" w:lineRule="exact"/>
      </w:pPr>
      <w:r w:rsidRPr="00E14F09">
        <w:rPr>
          <w:rFonts w:ascii="Arial" w:hAnsi="Arial" w:cs="Arial"/>
          <w:sz w:val="22"/>
          <w:szCs w:val="22"/>
        </w:rPr>
        <w:t xml:space="preserve">I assessed the appropriateness of the identified cash generating units and the financial models selected by management by gaining an understanding of the management’s decision-making process and determining whether the decisions were consistent with how assets are </w:t>
      </w:r>
      <w:proofErr w:type="spellStart"/>
      <w:r w:rsidRPr="00E14F09">
        <w:rPr>
          <w:rFonts w:ascii="Arial" w:hAnsi="Arial" w:cs="Arial"/>
          <w:sz w:val="22"/>
          <w:szCs w:val="22"/>
        </w:rPr>
        <w:t>utilised</w:t>
      </w:r>
      <w:proofErr w:type="spellEnd"/>
      <w:r w:rsidRPr="00E14F09">
        <w:rPr>
          <w:rFonts w:ascii="Arial" w:hAnsi="Arial" w:cs="Arial"/>
          <w:sz w:val="22"/>
          <w:szCs w:val="22"/>
        </w:rPr>
        <w:t xml:space="preserve">. In addition, I tested the significant assumptions applied by management in estimating the cash flows expected to be </w:t>
      </w:r>
      <w:proofErr w:type="spellStart"/>
      <w:r w:rsidRPr="00E14F09">
        <w:rPr>
          <w:rFonts w:ascii="Arial" w:hAnsi="Arial" w:cs="Arial"/>
          <w:sz w:val="22"/>
          <w:szCs w:val="22"/>
        </w:rPr>
        <w:t>realised</w:t>
      </w:r>
      <w:proofErr w:type="spellEnd"/>
      <w:r w:rsidRPr="00E14F09">
        <w:rPr>
          <w:rFonts w:ascii="Arial" w:hAnsi="Arial" w:cs="Arial"/>
          <w:sz w:val="22"/>
          <w:szCs w:val="22"/>
        </w:rPr>
        <w:t xml:space="preserve"> from the assets, by checking those assumptions against information from</w:t>
      </w:r>
      <w:r w:rsidR="009A0B79">
        <w:rPr>
          <w:rFonts w:ascii="Arial" w:hAnsi="Arial" w:cs="Arial"/>
          <w:sz w:val="22"/>
          <w:szCs w:val="22"/>
        </w:rPr>
        <w:t xml:space="preserve"> the sources of the Group</w:t>
      </w:r>
      <w:r>
        <w:rPr>
          <w:rFonts w:ascii="Arial" w:hAnsi="Arial" w:cs="Arial"/>
          <w:sz w:val="22"/>
          <w:szCs w:val="22"/>
        </w:rPr>
        <w:t xml:space="preserve">. </w:t>
      </w:r>
      <w:r w:rsidRPr="00E14F09">
        <w:rPr>
          <w:rFonts w:ascii="Arial" w:hAnsi="Arial" w:cs="Arial"/>
          <w:sz w:val="22"/>
          <w:szCs w:val="22"/>
        </w:rPr>
        <w:t>I also considered the appropriateness of the discount rate applied by management</w:t>
      </w:r>
      <w:r>
        <w:rPr>
          <w:rFonts w:ascii="Arial" w:hAnsi="Arial" w:cstheme="minorBidi" w:hint="cs"/>
          <w:sz w:val="22"/>
          <w:szCs w:val="22"/>
          <w:cs/>
        </w:rPr>
        <w:t xml:space="preserve"> </w:t>
      </w:r>
      <w:r>
        <w:rPr>
          <w:rFonts w:ascii="Arial" w:hAnsi="Arial" w:cs="Arial"/>
          <w:sz w:val="22"/>
          <w:szCs w:val="22"/>
        </w:rPr>
        <w:t>and involving internal expert to assist in the assessment of this information</w:t>
      </w:r>
      <w:r w:rsidRPr="00E14F09">
        <w:rPr>
          <w:rFonts w:ascii="Arial" w:hAnsi="Arial" w:cs="Arial"/>
          <w:sz w:val="22"/>
          <w:szCs w:val="22"/>
        </w:rPr>
        <w:t>, tested</w:t>
      </w:r>
      <w:r>
        <w:rPr>
          <w:rFonts w:ascii="Arial" w:hAnsi="Arial" w:cs="Arial"/>
          <w:sz w:val="22"/>
          <w:szCs w:val="22"/>
        </w:rPr>
        <w:t xml:space="preserve"> </w:t>
      </w:r>
      <w:r w:rsidRPr="00E14F09">
        <w:rPr>
          <w:rFonts w:ascii="Arial" w:hAnsi="Arial" w:cs="Arial"/>
          <w:sz w:val="22"/>
          <w:szCs w:val="22"/>
        </w:rPr>
        <w:t xml:space="preserve">the calculation of the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of the assets using the selected financial model, and considered the impact of changes in key assumptions on those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Moreover, I assessed the adequacy of the disclosures made with respect to the impairment assessment for goodwill and intangible assets.</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Other Information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Management is responsible for the other information. The other information comprises the information included in annual report of the Group, but does not include the financial statements and my auditor’s report thereon. The annual report of the Group is expected to be made available to me after the date of this auditor’s report.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rsidR="00C52C43" w:rsidRPr="00E10FDC" w:rsidRDefault="00C52C43" w:rsidP="00E10FDC">
      <w:pPr>
        <w:pStyle w:val="ps-000-normal"/>
        <w:spacing w:before="120" w:line="380" w:lineRule="exact"/>
        <w:rPr>
          <w:rFonts w:ascii="Arial" w:hAnsi="Arial" w:cs="Arial"/>
          <w:sz w:val="22"/>
          <w:szCs w:val="22"/>
        </w:rPr>
      </w:pPr>
      <w:proofErr w:type="gramStart"/>
      <w:r w:rsidRPr="00E10FDC">
        <w:rPr>
          <w:rFonts w:ascii="Arial" w:hAnsi="Arial" w:cs="Arial"/>
          <w:sz w:val="22"/>
          <w:szCs w:val="22"/>
        </w:rPr>
        <w:t>In connection with</w:t>
      </w:r>
      <w:proofErr w:type="gramEnd"/>
      <w:r w:rsidRPr="00E10FDC">
        <w:rPr>
          <w:rFonts w:ascii="Arial" w:hAnsi="Arial" w:cs="Arial"/>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A0B79" w:rsidRDefault="009A0B79">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Auditor’s Responsibilities for the Audit of the Financial Statements</w:t>
      </w:r>
    </w:p>
    <w:p w:rsidR="00C52C43" w:rsidRPr="00E10FDC" w:rsidRDefault="00C52C43" w:rsidP="00E10FDC">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lastRenderedPageBreak/>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52C43"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845E5" w:rsidRPr="00CD0A31" w:rsidRDefault="007845E5" w:rsidP="007845E5">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A0B79" w:rsidRDefault="009A0B79">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w:t>
      </w:r>
      <w:bookmarkStart w:id="0" w:name="_GoBack"/>
      <w:bookmarkEnd w:id="0"/>
      <w:r w:rsidRPr="00E10FDC">
        <w:rPr>
          <w:rFonts w:ascii="Arial" w:hAnsi="Arial" w:cs="Arial"/>
          <w:sz w:val="22"/>
          <w:szCs w:val="22"/>
        </w:rPr>
        <w:t>a matter should not be communicated in my report because the adverse consequences of doing so would reasonably be expected to outweigh the public interest benefits of such communication.</w:t>
      </w:r>
    </w:p>
    <w:p w:rsidR="00C52C43" w:rsidRPr="00E10FDC" w:rsidRDefault="00335B64" w:rsidP="00B57926">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rsidR="00C52C43" w:rsidRPr="00E10FDC" w:rsidRDefault="00335B64" w:rsidP="00E10FDC">
      <w:pPr>
        <w:pStyle w:val="ps-000-normal"/>
        <w:spacing w:before="1400" w:after="0" w:line="380" w:lineRule="exact"/>
        <w:rPr>
          <w:rFonts w:ascii="Arial" w:hAnsi="Arial" w:cs="Arial"/>
          <w:sz w:val="22"/>
          <w:szCs w:val="22"/>
        </w:rPr>
      </w:pPr>
      <w:r>
        <w:rPr>
          <w:rFonts w:ascii="Arial" w:hAnsi="Arial" w:cs="Arial"/>
          <w:sz w:val="22"/>
          <w:szCs w:val="22"/>
        </w:rPr>
        <w:t>Pimjai Manitkajohnkit</w:t>
      </w:r>
    </w:p>
    <w:p w:rsidR="00C52C43" w:rsidRPr="00E10FDC" w:rsidRDefault="00C52C43" w:rsidP="00E10FDC">
      <w:pPr>
        <w:tabs>
          <w:tab w:val="left" w:pos="720"/>
          <w:tab w:val="center" w:pos="6300"/>
        </w:tabs>
        <w:spacing w:line="380" w:lineRule="exact"/>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335B64">
        <w:rPr>
          <w:rFonts w:ascii="Arial" w:hAnsi="Arial" w:cs="Arial"/>
          <w:sz w:val="22"/>
          <w:szCs w:val="22"/>
        </w:rPr>
        <w:t>4521</w:t>
      </w:r>
    </w:p>
    <w:p w:rsidR="00C52C43" w:rsidRPr="00E10FDC" w:rsidRDefault="00C52C43" w:rsidP="00E10FDC">
      <w:pPr>
        <w:spacing w:before="240" w:line="380" w:lineRule="exact"/>
        <w:rPr>
          <w:rFonts w:ascii="Arial" w:hAnsi="Arial" w:cs="Arial"/>
          <w:color w:val="000000"/>
          <w:sz w:val="22"/>
          <w:szCs w:val="22"/>
        </w:rPr>
      </w:pPr>
      <w:r w:rsidRPr="00E10FDC">
        <w:rPr>
          <w:rFonts w:ascii="Arial" w:hAnsi="Arial" w:cs="Arial"/>
          <w:color w:val="000000"/>
          <w:sz w:val="22"/>
          <w:szCs w:val="22"/>
        </w:rPr>
        <w:t>EY Office Limited</w:t>
      </w:r>
    </w:p>
    <w:p w:rsidR="00C52C43" w:rsidRPr="000177FC" w:rsidRDefault="00C52C43" w:rsidP="00E10FDC">
      <w:pPr>
        <w:spacing w:line="380" w:lineRule="exact"/>
        <w:rPr>
          <w:rFonts w:ascii="Arial" w:hAnsi="Arial" w:cs="Arial"/>
          <w:color w:val="000000"/>
          <w:sz w:val="22"/>
          <w:szCs w:val="22"/>
        </w:rPr>
      </w:pPr>
      <w:r w:rsidRPr="000177FC">
        <w:rPr>
          <w:rFonts w:ascii="Arial" w:hAnsi="Arial" w:cs="Arial"/>
          <w:color w:val="000000"/>
          <w:sz w:val="22"/>
          <w:szCs w:val="22"/>
        </w:rPr>
        <w:t xml:space="preserve">Bangkok: </w:t>
      </w:r>
      <w:r w:rsidR="00ED1174">
        <w:rPr>
          <w:rFonts w:ascii="Arial" w:hAnsi="Arial" w:cs="Arial"/>
          <w:color w:val="000000"/>
          <w:sz w:val="22"/>
          <w:szCs w:val="22"/>
        </w:rPr>
        <w:t>27 February</w:t>
      </w:r>
      <w:r w:rsidR="00684556">
        <w:rPr>
          <w:rFonts w:ascii="Arial" w:hAnsi="Arial" w:cs="Arial"/>
          <w:color w:val="000000"/>
          <w:sz w:val="22"/>
          <w:szCs w:val="22"/>
        </w:rPr>
        <w:t xml:space="preserve"> 2019</w:t>
      </w:r>
    </w:p>
    <w:p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E10FDC">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660" w:rsidRDefault="00532660" w:rsidP="008442C1">
      <w:r>
        <w:separator/>
      </w:r>
    </w:p>
  </w:endnote>
  <w:endnote w:type="continuationSeparator" w:id="0">
    <w:p w:rsidR="00532660" w:rsidRDefault="0053266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9A0B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92131"/>
      <w:docPartObj>
        <w:docPartGallery w:val="Page Numbers (Bottom of Page)"/>
        <w:docPartUnique/>
      </w:docPartObj>
    </w:sdtPr>
    <w:sdtEndPr>
      <w:rPr>
        <w:rFonts w:ascii="Arial" w:hAnsi="Arial" w:cs="Arial"/>
        <w:noProof/>
        <w:sz w:val="22"/>
        <w:szCs w:val="22"/>
      </w:rPr>
    </w:sdtEndPr>
    <w:sdtContent>
      <w:p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146289"/>
      <w:docPartObj>
        <w:docPartGallery w:val="Page Numbers (Bottom of Page)"/>
        <w:docPartUnique/>
      </w:docPartObj>
    </w:sdtPr>
    <w:sdtEndPr>
      <w:rPr>
        <w:rFonts w:ascii="Arial" w:hAnsi="Arial" w:cs="Arial"/>
        <w:noProof/>
        <w:sz w:val="22"/>
        <w:szCs w:val="22"/>
      </w:rPr>
    </w:sdtEndPr>
    <w:sdtContent>
      <w:p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660" w:rsidRDefault="00532660" w:rsidP="008442C1">
      <w:r>
        <w:separator/>
      </w:r>
    </w:p>
  </w:footnote>
  <w:footnote w:type="continuationSeparator" w:id="0">
    <w:p w:rsidR="00532660" w:rsidRDefault="0053266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9A0B79" w:rsidP="0077481E">
    <w:pPr>
      <w:pStyle w:val="Header"/>
      <w:spacing w:before="240"/>
    </w:pPr>
  </w:p>
  <w:p w:rsidR="00140AAC" w:rsidRDefault="009A0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6776E"/>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38327-4034-4E58-A6B3-0CD6DB99BEA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42804</vt:lpwstr>
  </property>
  <property fmtid="{D5CDD505-2E9C-101B-9397-08002B2CF9AE}" pid="4" name="OptimizationTime">
    <vt:lpwstr>20190226_1352</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7</Pages>
  <Words>1825</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23</cp:revision>
  <cp:lastPrinted>2019-02-24T11:20:00Z</cp:lastPrinted>
  <dcterms:created xsi:type="dcterms:W3CDTF">2017-02-15T06:30:00Z</dcterms:created>
  <dcterms:modified xsi:type="dcterms:W3CDTF">2019-02-24T11:20:00Z</dcterms:modified>
</cp:coreProperties>
</file>