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50CA" w:rsidRDefault="00BB50CA" w:rsidP="00BB50CA"/>
    <w:tbl>
      <w:tblPr>
        <w:tblW w:w="9588" w:type="dxa"/>
        <w:tblLook w:val="01E0" w:firstRow="1" w:lastRow="1" w:firstColumn="1" w:lastColumn="1" w:noHBand="0" w:noVBand="0"/>
      </w:tblPr>
      <w:tblGrid>
        <w:gridCol w:w="2268"/>
        <w:gridCol w:w="7320"/>
      </w:tblGrid>
      <w:tr w:rsidR="00BB50CA" w:rsidRPr="004F033D" w:rsidTr="004041A8">
        <w:trPr>
          <w:trHeight w:val="2865"/>
        </w:trPr>
        <w:tc>
          <w:tcPr>
            <w:tcW w:w="2268" w:type="dxa"/>
            <w:shd w:val="clear" w:color="auto" w:fill="auto"/>
          </w:tcPr>
          <w:p w:rsidR="00BB50CA" w:rsidRPr="00BB50CA" w:rsidRDefault="00BB50CA" w:rsidP="00BB50CA">
            <w:pPr>
              <w:tabs>
                <w:tab w:val="center" w:pos="4153"/>
                <w:tab w:val="right" w:pos="8306"/>
              </w:tabs>
              <w:overflowPunct w:val="0"/>
              <w:autoSpaceDE w:val="0"/>
              <w:autoSpaceDN w:val="0"/>
              <w:adjustRightInd w:val="0"/>
              <w:spacing w:after="0" w:line="360" w:lineRule="exact"/>
              <w:ind w:left="14"/>
              <w:textAlignment w:val="baseline"/>
              <w:rPr>
                <w:rFonts w:ascii="Times New Roman" w:eastAsia="Times New Roman" w:hAnsi="Times New Roman" w:cs="Times New Roman"/>
                <w:color w:val="7E7F82"/>
                <w:spacing w:val="-2"/>
                <w:sz w:val="28"/>
              </w:rPr>
            </w:pPr>
          </w:p>
        </w:tc>
        <w:tc>
          <w:tcPr>
            <w:tcW w:w="7320" w:type="dxa"/>
            <w:shd w:val="clear" w:color="auto" w:fill="auto"/>
            <w:vAlign w:val="center"/>
          </w:tcPr>
          <w:p w:rsidR="00BB50CA" w:rsidRPr="004F033D" w:rsidRDefault="00BB50CA" w:rsidP="00BB50CA">
            <w:pPr>
              <w:tabs>
                <w:tab w:val="center" w:pos="4153"/>
                <w:tab w:val="right" w:pos="8306"/>
              </w:tabs>
              <w:overflowPunct w:val="0"/>
              <w:autoSpaceDE w:val="0"/>
              <w:autoSpaceDN w:val="0"/>
              <w:adjustRightInd w:val="0"/>
              <w:spacing w:after="0" w:line="360" w:lineRule="exact"/>
              <w:ind w:left="14"/>
              <w:textAlignment w:val="baseline"/>
              <w:rPr>
                <w:rFonts w:ascii="Times New Roman" w:eastAsia="Times New Roman" w:hAnsi="Times New Roman" w:cs="Times New Roman"/>
                <w:color w:val="7E7F82"/>
                <w:spacing w:val="-2"/>
                <w:sz w:val="28"/>
              </w:rPr>
            </w:pPr>
            <w:r w:rsidRPr="004F033D">
              <w:rPr>
                <w:rFonts w:ascii="Times New Roman" w:eastAsia="Times New Roman" w:hAnsi="Times New Roman" w:cs="Times New Roman"/>
                <w:color w:val="7E7F82"/>
                <w:spacing w:val="-2"/>
                <w:sz w:val="28"/>
              </w:rPr>
              <w:t xml:space="preserve">Bangkok Dusit Medical Services Public Company Limited </w:t>
            </w:r>
          </w:p>
          <w:p w:rsidR="00BB50CA" w:rsidRPr="004F033D" w:rsidRDefault="00BB50CA" w:rsidP="00BB50CA">
            <w:pPr>
              <w:tabs>
                <w:tab w:val="center" w:pos="4153"/>
                <w:tab w:val="right" w:pos="8306"/>
              </w:tabs>
              <w:overflowPunct w:val="0"/>
              <w:autoSpaceDE w:val="0"/>
              <w:autoSpaceDN w:val="0"/>
              <w:adjustRightInd w:val="0"/>
              <w:spacing w:after="0" w:line="360" w:lineRule="exact"/>
              <w:ind w:left="14"/>
              <w:textAlignment w:val="baseline"/>
              <w:rPr>
                <w:rFonts w:ascii="Times New Roman" w:eastAsia="Times New Roman" w:hAnsi="Times New Roman" w:cs="Times New Roman"/>
                <w:color w:val="7E7F82"/>
                <w:spacing w:val="-2"/>
                <w:sz w:val="28"/>
              </w:rPr>
            </w:pPr>
            <w:r w:rsidRPr="004F033D">
              <w:rPr>
                <w:rFonts w:ascii="Times New Roman" w:eastAsia="Times New Roman" w:hAnsi="Times New Roman" w:cs="Times New Roman"/>
                <w:color w:val="7E7F82"/>
                <w:spacing w:val="-2"/>
                <w:sz w:val="28"/>
              </w:rPr>
              <w:t>and its subsidiaries</w:t>
            </w:r>
          </w:p>
          <w:p w:rsidR="00BB50CA" w:rsidRPr="004F033D" w:rsidRDefault="00BB50CA" w:rsidP="00BB50CA">
            <w:pPr>
              <w:tabs>
                <w:tab w:val="center" w:pos="4153"/>
                <w:tab w:val="right" w:pos="8306"/>
              </w:tabs>
              <w:overflowPunct w:val="0"/>
              <w:autoSpaceDE w:val="0"/>
              <w:autoSpaceDN w:val="0"/>
              <w:adjustRightInd w:val="0"/>
              <w:spacing w:after="0" w:line="360" w:lineRule="exact"/>
              <w:ind w:left="14"/>
              <w:textAlignment w:val="baseline"/>
              <w:rPr>
                <w:rFonts w:ascii="Times New Roman" w:eastAsia="Times New Roman" w:hAnsi="Times New Roman" w:cs="Times New Roman"/>
                <w:color w:val="7E7F82"/>
                <w:spacing w:val="-2"/>
                <w:sz w:val="28"/>
              </w:rPr>
            </w:pPr>
            <w:r w:rsidRPr="004F033D">
              <w:rPr>
                <w:rFonts w:ascii="Times New Roman" w:eastAsia="Times New Roman" w:hAnsi="Times New Roman" w:cs="Times New Roman"/>
                <w:color w:val="7E7F82"/>
                <w:spacing w:val="-2"/>
                <w:sz w:val="28"/>
              </w:rPr>
              <w:t>Report and consolidated financial statements</w:t>
            </w:r>
          </w:p>
          <w:p w:rsidR="00BB50CA" w:rsidRPr="004F033D" w:rsidRDefault="00DB0149" w:rsidP="00BB50CA">
            <w:pPr>
              <w:tabs>
                <w:tab w:val="center" w:pos="4153"/>
                <w:tab w:val="right" w:pos="8306"/>
              </w:tabs>
              <w:overflowPunct w:val="0"/>
              <w:autoSpaceDE w:val="0"/>
              <w:autoSpaceDN w:val="0"/>
              <w:adjustRightInd w:val="0"/>
              <w:spacing w:after="0" w:line="360" w:lineRule="exact"/>
              <w:ind w:left="14"/>
              <w:textAlignment w:val="baseline"/>
              <w:rPr>
                <w:rFonts w:ascii="Times New Roman" w:eastAsia="Times New Roman" w:hAnsi="Times New Roman" w:cs="Times New Roman"/>
                <w:color w:val="7E7F82"/>
                <w:spacing w:val="-2"/>
                <w:sz w:val="28"/>
              </w:rPr>
            </w:pPr>
            <w:r w:rsidRPr="004F033D">
              <w:rPr>
                <w:rFonts w:ascii="Times New Roman" w:eastAsia="Times New Roman" w:hAnsi="Times New Roman" w:cs="Times New Roman"/>
                <w:color w:val="7E7F82"/>
                <w:spacing w:val="-2"/>
                <w:sz w:val="28"/>
              </w:rPr>
              <w:t xml:space="preserve">31 December </w:t>
            </w:r>
            <w:r w:rsidR="004F033D" w:rsidRPr="004F033D">
              <w:rPr>
                <w:rFonts w:ascii="Times New Roman" w:eastAsia="Times New Roman" w:hAnsi="Times New Roman" w:cs="Times New Roman"/>
                <w:color w:val="7E7F82"/>
                <w:spacing w:val="-2"/>
                <w:sz w:val="28"/>
              </w:rPr>
              <w:t>2018</w:t>
            </w:r>
            <w:r w:rsidR="00BB50CA" w:rsidRPr="004F033D">
              <w:rPr>
                <w:rFonts w:ascii="Times New Roman" w:eastAsia="Times New Roman" w:hAnsi="Times New Roman" w:cs="Times New Roman"/>
                <w:color w:val="7E7F82"/>
                <w:spacing w:val="-2"/>
                <w:sz w:val="28"/>
              </w:rPr>
              <w:t xml:space="preserve"> </w:t>
            </w:r>
          </w:p>
          <w:p w:rsidR="00BB50CA" w:rsidRPr="004F033D" w:rsidRDefault="00BB50CA" w:rsidP="004041A8">
            <w:pPr>
              <w:spacing w:line="380" w:lineRule="exact"/>
              <w:ind w:left="14"/>
              <w:rPr>
                <w:rFonts w:ascii="Times New Roman" w:eastAsia="Times New Roman" w:hAnsi="Times New Roman" w:cs="Times New Roman"/>
                <w:color w:val="7E7F82"/>
                <w:spacing w:val="-2"/>
                <w:sz w:val="28"/>
              </w:rPr>
            </w:pPr>
          </w:p>
        </w:tc>
      </w:tr>
    </w:tbl>
    <w:p w:rsidR="00BB50CA" w:rsidRPr="004F033D" w:rsidRDefault="00BB50CA" w:rsidP="00BB50CA">
      <w:pPr>
        <w:sectPr w:rsidR="00BB50CA" w:rsidRPr="004F033D" w:rsidSect="00BB50CA">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docGrid w:linePitch="360"/>
        </w:sectPr>
      </w:pPr>
    </w:p>
    <w:p w:rsidR="005C74F0" w:rsidRPr="003A2B12" w:rsidRDefault="008831E0" w:rsidP="009C3D94">
      <w:pPr>
        <w:pStyle w:val="Default"/>
        <w:spacing w:line="380" w:lineRule="exact"/>
        <w:rPr>
          <w:sz w:val="22"/>
          <w:szCs w:val="22"/>
        </w:rPr>
      </w:pPr>
      <w:r w:rsidRPr="003A2B12">
        <w:rPr>
          <w:b/>
          <w:bCs/>
          <w:sz w:val="22"/>
          <w:szCs w:val="22"/>
        </w:rPr>
        <w:lastRenderedPageBreak/>
        <w:t xml:space="preserve">Independent Auditor’s Report </w:t>
      </w:r>
    </w:p>
    <w:p w:rsidR="005C74F0" w:rsidRPr="003A2B12" w:rsidRDefault="00DB474E" w:rsidP="009C3D94">
      <w:pPr>
        <w:spacing w:after="0" w:line="380" w:lineRule="exact"/>
        <w:rPr>
          <w:rFonts w:ascii="Arial" w:hAnsi="Arial" w:cs="Arial"/>
          <w:szCs w:val="22"/>
        </w:rPr>
      </w:pPr>
      <w:r w:rsidRPr="003A2B12">
        <w:rPr>
          <w:rFonts w:ascii="Arial" w:hAnsi="Arial" w:cs="Arial"/>
          <w:szCs w:val="22"/>
        </w:rPr>
        <w:t xml:space="preserve">To the Shareholders of </w:t>
      </w:r>
      <w:r w:rsidR="00A578D8" w:rsidRPr="003A2B12">
        <w:rPr>
          <w:rFonts w:ascii="Arial" w:hAnsi="Arial" w:cs="Arial"/>
          <w:szCs w:val="22"/>
        </w:rPr>
        <w:t>Bangkok Dusit Medical Services Public Company Limited</w:t>
      </w:r>
    </w:p>
    <w:p w:rsidR="005C74F0" w:rsidRPr="003A2B12" w:rsidRDefault="005C74F0" w:rsidP="009C3D94">
      <w:pPr>
        <w:pStyle w:val="Default"/>
        <w:spacing w:before="360" w:after="120" w:line="380" w:lineRule="exact"/>
        <w:rPr>
          <w:sz w:val="22"/>
          <w:szCs w:val="22"/>
        </w:rPr>
      </w:pPr>
      <w:r w:rsidRPr="003A2B12">
        <w:rPr>
          <w:b/>
          <w:bCs/>
          <w:sz w:val="22"/>
          <w:szCs w:val="22"/>
        </w:rPr>
        <w:t xml:space="preserve">Opinion </w:t>
      </w:r>
    </w:p>
    <w:p w:rsidR="005C74F0" w:rsidRPr="003A2B12" w:rsidRDefault="00DB474E" w:rsidP="009C3D94">
      <w:pPr>
        <w:pStyle w:val="Default"/>
        <w:spacing w:before="120" w:after="120" w:line="380" w:lineRule="exact"/>
        <w:rPr>
          <w:sz w:val="22"/>
          <w:szCs w:val="22"/>
        </w:rPr>
      </w:pPr>
      <w:r w:rsidRPr="003A2B12">
        <w:rPr>
          <w:sz w:val="22"/>
          <w:szCs w:val="22"/>
        </w:rPr>
        <w:t>I</w:t>
      </w:r>
      <w:r w:rsidR="005C74F0" w:rsidRPr="003A2B12">
        <w:rPr>
          <w:sz w:val="22"/>
          <w:szCs w:val="22"/>
        </w:rPr>
        <w:t xml:space="preserve"> have audited the </w:t>
      </w:r>
      <w:r w:rsidR="00230B12" w:rsidRPr="003A2B12">
        <w:rPr>
          <w:sz w:val="22"/>
          <w:szCs w:val="22"/>
        </w:rPr>
        <w:t xml:space="preserve">accompanying consolidated </w:t>
      </w:r>
      <w:r w:rsidR="005C74F0" w:rsidRPr="003A2B12">
        <w:rPr>
          <w:sz w:val="22"/>
          <w:szCs w:val="22"/>
        </w:rPr>
        <w:t xml:space="preserve">financial statements of </w:t>
      </w:r>
      <w:r w:rsidR="00A578D8" w:rsidRPr="003A2B12">
        <w:rPr>
          <w:sz w:val="22"/>
          <w:szCs w:val="22"/>
        </w:rPr>
        <w:t xml:space="preserve">Bangkok Dusit Medical Services Public Company Limited </w:t>
      </w:r>
      <w:r w:rsidRPr="003A2B12">
        <w:rPr>
          <w:sz w:val="22"/>
          <w:szCs w:val="22"/>
        </w:rPr>
        <w:t xml:space="preserve">and its </w:t>
      </w:r>
      <w:r w:rsidRPr="003A2B12">
        <w:rPr>
          <w:spacing w:val="-3"/>
          <w:sz w:val="22"/>
          <w:szCs w:val="22"/>
        </w:rPr>
        <w:t>subsidiaries</w:t>
      </w:r>
      <w:r w:rsidR="003B1475" w:rsidRPr="003A2B12">
        <w:rPr>
          <w:spacing w:val="-3"/>
          <w:sz w:val="22"/>
          <w:szCs w:val="22"/>
        </w:rPr>
        <w:t xml:space="preserve"> (the Group)</w:t>
      </w:r>
      <w:r w:rsidRPr="003A2B12">
        <w:rPr>
          <w:sz w:val="22"/>
          <w:szCs w:val="22"/>
        </w:rPr>
        <w:t xml:space="preserve">, which comprise the </w:t>
      </w:r>
      <w:r w:rsidRPr="003A2B12">
        <w:rPr>
          <w:spacing w:val="-3"/>
          <w:sz w:val="22"/>
          <w:szCs w:val="22"/>
        </w:rPr>
        <w:t>consolidated statement of financial position</w:t>
      </w:r>
      <w:r w:rsidRPr="003A2B12">
        <w:rPr>
          <w:sz w:val="22"/>
          <w:szCs w:val="22"/>
        </w:rPr>
        <w:t xml:space="preserve"> as at </w:t>
      </w:r>
      <w:r w:rsidR="00DB0149" w:rsidRPr="003A2B12">
        <w:rPr>
          <w:sz w:val="22"/>
          <w:szCs w:val="22"/>
        </w:rPr>
        <w:t xml:space="preserve">31 December </w:t>
      </w:r>
      <w:r w:rsidR="004F033D" w:rsidRPr="003A2B12">
        <w:rPr>
          <w:sz w:val="22"/>
          <w:szCs w:val="22"/>
        </w:rPr>
        <w:t>2018</w:t>
      </w:r>
      <w:r w:rsidRPr="003A2B12">
        <w:rPr>
          <w:sz w:val="22"/>
          <w:szCs w:val="22"/>
        </w:rPr>
        <w:t xml:space="preserve">, and the related consolidated statements of income, comprehensive income, changes in shareholders’ equity and cash flows for the year then ended, and </w:t>
      </w:r>
      <w:r w:rsidR="003B1475" w:rsidRPr="003A2B12">
        <w:rPr>
          <w:sz w:val="22"/>
          <w:szCs w:val="22"/>
        </w:rPr>
        <w:t>notes to the consolidated financial statements, including a summary of significant accounting policies</w:t>
      </w:r>
      <w:r w:rsidRPr="003A2B12">
        <w:rPr>
          <w:sz w:val="22"/>
          <w:szCs w:val="22"/>
        </w:rPr>
        <w:t xml:space="preserve">, and have also audited the separate financial statements of </w:t>
      </w:r>
      <w:r w:rsidR="00A578D8" w:rsidRPr="003A2B12">
        <w:rPr>
          <w:sz w:val="22"/>
          <w:szCs w:val="22"/>
        </w:rPr>
        <w:t xml:space="preserve">Bangkok Dusit Medical Services Public Company Limited </w:t>
      </w:r>
      <w:r w:rsidRPr="003A2B12">
        <w:rPr>
          <w:sz w:val="22"/>
          <w:szCs w:val="22"/>
        </w:rPr>
        <w:t>for the same period.</w:t>
      </w:r>
      <w:r w:rsidR="005C74F0" w:rsidRPr="003A2B12">
        <w:rPr>
          <w:sz w:val="22"/>
          <w:szCs w:val="22"/>
        </w:rPr>
        <w:t xml:space="preserve"> </w:t>
      </w:r>
    </w:p>
    <w:p w:rsidR="005C74F0" w:rsidRPr="003A2B12" w:rsidRDefault="00DB474E" w:rsidP="009C3D94">
      <w:pPr>
        <w:pStyle w:val="Default"/>
        <w:spacing w:before="120" w:after="120" w:line="380" w:lineRule="exact"/>
        <w:rPr>
          <w:sz w:val="22"/>
          <w:szCs w:val="22"/>
        </w:rPr>
      </w:pPr>
      <w:r w:rsidRPr="003A2B12">
        <w:rPr>
          <w:sz w:val="22"/>
          <w:szCs w:val="22"/>
        </w:rPr>
        <w:t xml:space="preserve">In my opinion, the financial statements referred to above present fairly, in all material respects, the financial position of </w:t>
      </w:r>
      <w:r w:rsidR="00A578D8" w:rsidRPr="003A2B12">
        <w:rPr>
          <w:sz w:val="22"/>
          <w:szCs w:val="22"/>
        </w:rPr>
        <w:t xml:space="preserve">Bangkok Dusit Medical Services Public Company Limited </w:t>
      </w:r>
      <w:r w:rsidRPr="003A2B12">
        <w:rPr>
          <w:sz w:val="22"/>
          <w:szCs w:val="22"/>
        </w:rPr>
        <w:t xml:space="preserve">and its subsidiaries and of </w:t>
      </w:r>
      <w:r w:rsidR="00A578D8" w:rsidRPr="003A2B12">
        <w:rPr>
          <w:sz w:val="22"/>
          <w:szCs w:val="22"/>
        </w:rPr>
        <w:t xml:space="preserve">Bangkok Dusit Medical Services Public Company Limited </w:t>
      </w:r>
      <w:r w:rsidRPr="003A2B12">
        <w:rPr>
          <w:sz w:val="22"/>
          <w:szCs w:val="22"/>
        </w:rPr>
        <w:t xml:space="preserve">as at </w:t>
      </w:r>
      <w:r w:rsidR="00DB0149" w:rsidRPr="003A2B12">
        <w:rPr>
          <w:sz w:val="22"/>
          <w:szCs w:val="22"/>
        </w:rPr>
        <w:t xml:space="preserve">31 December </w:t>
      </w:r>
      <w:r w:rsidR="004F033D" w:rsidRPr="003A2B12">
        <w:rPr>
          <w:sz w:val="22"/>
          <w:szCs w:val="22"/>
        </w:rPr>
        <w:t>2018</w:t>
      </w:r>
      <w:r w:rsidRPr="003A2B12">
        <w:rPr>
          <w:sz w:val="22"/>
          <w:szCs w:val="22"/>
        </w:rPr>
        <w:t>, their financial performance and cash flows for the year then ended in accordance with Thai Financial Reporting Standards.</w:t>
      </w:r>
    </w:p>
    <w:p w:rsidR="005C74F0" w:rsidRPr="003A2B12" w:rsidRDefault="005C74F0" w:rsidP="009C3D94">
      <w:pPr>
        <w:pStyle w:val="Default"/>
        <w:spacing w:before="120" w:after="120" w:line="380" w:lineRule="exact"/>
        <w:rPr>
          <w:sz w:val="22"/>
          <w:szCs w:val="22"/>
        </w:rPr>
      </w:pPr>
      <w:r w:rsidRPr="003A2B12">
        <w:rPr>
          <w:b/>
          <w:bCs/>
          <w:sz w:val="22"/>
          <w:szCs w:val="22"/>
        </w:rPr>
        <w:t xml:space="preserve">Basis for Opinion </w:t>
      </w:r>
    </w:p>
    <w:p w:rsidR="003B1475" w:rsidRPr="003A2B12" w:rsidRDefault="003B1475" w:rsidP="009C3D94">
      <w:pPr>
        <w:pStyle w:val="Default"/>
        <w:spacing w:before="120" w:after="120" w:line="380" w:lineRule="exact"/>
        <w:rPr>
          <w:sz w:val="22"/>
          <w:szCs w:val="22"/>
        </w:rPr>
      </w:pPr>
      <w:r w:rsidRPr="003A2B12">
        <w:rPr>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as issued by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3B1475" w:rsidRPr="003A2B12" w:rsidRDefault="003B1475" w:rsidP="009C3D94">
      <w:pPr>
        <w:pStyle w:val="Default"/>
        <w:spacing w:before="120" w:after="120" w:line="380" w:lineRule="exact"/>
        <w:rPr>
          <w:b/>
          <w:bCs/>
          <w:sz w:val="22"/>
          <w:szCs w:val="22"/>
        </w:rPr>
        <w:sectPr w:rsidR="003B1475" w:rsidRPr="003A2B12" w:rsidSect="003B1475">
          <w:footerReference w:type="default" r:id="rId14"/>
          <w:pgSz w:w="11909" w:h="16834" w:code="9"/>
          <w:pgMar w:top="2722" w:right="1080" w:bottom="1080" w:left="1339" w:header="720" w:footer="720" w:gutter="0"/>
          <w:pgNumType w:start="2"/>
          <w:cols w:space="720"/>
          <w:docGrid w:linePitch="360"/>
        </w:sectPr>
      </w:pPr>
    </w:p>
    <w:p w:rsidR="001F098E" w:rsidRPr="003A2B12" w:rsidRDefault="001F098E" w:rsidP="00DA0449">
      <w:pPr>
        <w:pStyle w:val="Default"/>
        <w:spacing w:before="120" w:after="120" w:line="380" w:lineRule="exact"/>
        <w:rPr>
          <w:b/>
          <w:bCs/>
          <w:sz w:val="22"/>
          <w:szCs w:val="22"/>
        </w:rPr>
      </w:pPr>
      <w:r w:rsidRPr="003A2B12">
        <w:rPr>
          <w:b/>
          <w:bCs/>
          <w:sz w:val="22"/>
          <w:szCs w:val="22"/>
        </w:rPr>
        <w:lastRenderedPageBreak/>
        <w:t xml:space="preserve">Emphasis </w:t>
      </w:r>
      <w:r w:rsidR="00270E8F" w:rsidRPr="003A2B12">
        <w:rPr>
          <w:b/>
          <w:bCs/>
          <w:sz w:val="22"/>
          <w:szCs w:val="22"/>
        </w:rPr>
        <w:t>of M</w:t>
      </w:r>
      <w:r w:rsidRPr="003A2B12">
        <w:rPr>
          <w:b/>
          <w:bCs/>
          <w:sz w:val="22"/>
          <w:szCs w:val="22"/>
        </w:rPr>
        <w:t xml:space="preserve">atters </w:t>
      </w:r>
    </w:p>
    <w:p w:rsidR="00414FC3" w:rsidRPr="003A2B12" w:rsidRDefault="00414FC3" w:rsidP="00414FC3">
      <w:pPr>
        <w:pStyle w:val="Default"/>
        <w:spacing w:before="120" w:after="120" w:line="380" w:lineRule="exact"/>
        <w:rPr>
          <w:sz w:val="22"/>
          <w:szCs w:val="22"/>
        </w:rPr>
      </w:pPr>
      <w:r w:rsidRPr="003A2B12">
        <w:rPr>
          <w:sz w:val="22"/>
          <w:szCs w:val="22"/>
        </w:rPr>
        <w:t xml:space="preserve">I draw attention to Note 22 to the financial statements, the Company and its subsidiary had the medical care programs with a small amount of charges to members who have prepaid the membership fees for life. The Company and its subsidiary discontinued the programs due to legal reasons on 20 January 2017 and 2 February 2017, respectively. The Company and its subsidiary have recorded the liabilities in the financial statements as at 31 December 2016, based on the total amounts payable to the members and the compensation expected to be paid to the members in 2017 due to the discontinuation of the program, amounting to approximately Baht 964 million (approximately Baht 820 million in the separate financial statements). During 2017, 182 of the 334 members whose compensation was recorded in the consolidated financial statements and 151 of the 282 members in the separate financial statements have accepted the offers and already received the payment from the Company and its subsidiary. </w:t>
      </w:r>
    </w:p>
    <w:p w:rsidR="00414FC3" w:rsidRPr="003A2B12" w:rsidRDefault="00414FC3" w:rsidP="00414FC3">
      <w:pPr>
        <w:pStyle w:val="Default"/>
        <w:spacing w:before="120" w:after="120" w:line="380" w:lineRule="exact"/>
        <w:rPr>
          <w:sz w:val="22"/>
          <w:szCs w:val="22"/>
        </w:rPr>
      </w:pPr>
      <w:r w:rsidRPr="003A2B12">
        <w:rPr>
          <w:sz w:val="22"/>
          <w:szCs w:val="22"/>
        </w:rPr>
        <w:t>As a result of discontinuing the lifelong membership programs, some former members of the program filed numerous complaints against the Company and its subsidiary with the courts and requested that the Company and its subsidiary continue the program</w:t>
      </w:r>
      <w:r w:rsidR="00A26BD1">
        <w:rPr>
          <w:sz w:val="22"/>
          <w:szCs w:val="22"/>
        </w:rPr>
        <w:t>s</w:t>
      </w:r>
      <w:r w:rsidRPr="003A2B12">
        <w:rPr>
          <w:sz w:val="22"/>
          <w:szCs w:val="22"/>
        </w:rPr>
        <w:t xml:space="preserve"> while some made claims for indemnity from the Company and its subsidiary. </w:t>
      </w:r>
    </w:p>
    <w:p w:rsidR="00414FC3" w:rsidRPr="003A2B12" w:rsidRDefault="00414FC3" w:rsidP="00414FC3">
      <w:pPr>
        <w:pStyle w:val="Default"/>
        <w:spacing w:before="120" w:after="120" w:line="380" w:lineRule="exact"/>
        <w:rPr>
          <w:sz w:val="22"/>
          <w:szCs w:val="22"/>
        </w:rPr>
      </w:pPr>
      <w:r w:rsidRPr="003A2B12">
        <w:rPr>
          <w:sz w:val="22"/>
          <w:szCs w:val="22"/>
        </w:rPr>
        <w:t>During the court’s consideration of certain cases, the court issued orders for temporary injunctions prior to the release of a judgment to the former members who filed complaints against the Company. The essence of the temporary injunction was for the Company to provide medical services to the former members at a normal rate and without any discount and also to allow the other former members to utilise their rights under the programs until the court rules or orders otherwise. Furthermore, the court ordered for the former members who are under the temporary injunction to enter into contracts with the court which would provide that they agreed to be held liable for the aforementioned bills to the Company, should the court issue a final judgment that the Company is entitled to cease such program. The Company keeps record of the debt owed to the Company for medical services rendered and shall not collect amounts for such medical bills unless the court rules or orders otherwise.</w:t>
      </w:r>
    </w:p>
    <w:p w:rsidR="00977B92" w:rsidRDefault="00977B92">
      <w:pPr>
        <w:spacing w:after="160" w:line="259" w:lineRule="auto"/>
        <w:rPr>
          <w:rFonts w:ascii="Arial" w:hAnsi="Arial" w:cs="Arial"/>
          <w:color w:val="000000"/>
          <w:szCs w:val="22"/>
        </w:rPr>
      </w:pPr>
      <w:r>
        <w:rPr>
          <w:szCs w:val="22"/>
        </w:rPr>
        <w:br w:type="page"/>
      </w:r>
    </w:p>
    <w:p w:rsidR="00414FC3" w:rsidRPr="003A2B12" w:rsidRDefault="00414FC3" w:rsidP="00977B92">
      <w:pPr>
        <w:pStyle w:val="Default"/>
        <w:spacing w:before="80" w:after="80" w:line="340" w:lineRule="exact"/>
        <w:rPr>
          <w:sz w:val="22"/>
          <w:szCs w:val="22"/>
        </w:rPr>
      </w:pPr>
      <w:r w:rsidRPr="003A2B12">
        <w:rPr>
          <w:sz w:val="22"/>
          <w:szCs w:val="22"/>
        </w:rPr>
        <w:lastRenderedPageBreak/>
        <w:t xml:space="preserve">Since then, the Civil Court ruled on some of the cases between the former members and the Company and its subsidiary (including all cases where the court has ordered for temporary injunctions prior to a judgment). The judgment of the Company’s cases are rendered in three directions which are: 1) to order for the Company to continue complying with the terms of the programs; 2) to order for the Company to continue complying with the terms of the programs but also to make indemnity payment should the Company fail to comply with such terms of the programs at the amount specified in a judgment, the amount of which are usually close to amounts that the Company made in its counteroffer to some members prior to filing of complaints; and 3) to order the plaintiff to refund to the Company the membership fee together with the compensation accepted from the Company in relation to pre-litigation settlement agreements made prior to the filing of the complaints, and to order for the Company to continue complying with the terms of the programs. In all three directions of judgments, the court ordered that the Company must provide compensation for the medical expenses to the plaintiffs in certain from the date of the discontinuation of the programs up to the date on which the judgment was rendered. As for the complaints against the subsidiary, the judgment </w:t>
      </w:r>
      <w:r w:rsidR="00A26BD1">
        <w:rPr>
          <w:sz w:val="22"/>
          <w:szCs w:val="22"/>
        </w:rPr>
        <w:t>is</w:t>
      </w:r>
      <w:r w:rsidRPr="003A2B12">
        <w:rPr>
          <w:sz w:val="22"/>
          <w:szCs w:val="22"/>
        </w:rPr>
        <w:t xml:space="preserve"> also rendered in two directions which are: 1) to order for the subsidiary to make indemnity payment at the amount specified in a judgment, the amount of which are usually close to amounts that the subsidiary made in its counteroffer to some members prior to filing of complaints; and 2) to order for the subsidiary to continue complying with the terms of the programs and also for it to compensate the plaintiffs for any actual medical expenses resulted from the date of the discontinuance of the programs up to the date on which the judgment was rendered. In this regard, there are some pending cases under the consideration of the Civil Court.</w:t>
      </w:r>
    </w:p>
    <w:p w:rsidR="00414FC3" w:rsidRPr="003A2B12" w:rsidRDefault="00414FC3" w:rsidP="00977B92">
      <w:pPr>
        <w:pStyle w:val="Default"/>
        <w:spacing w:before="80" w:after="80" w:line="340" w:lineRule="exact"/>
        <w:rPr>
          <w:sz w:val="22"/>
          <w:szCs w:val="22"/>
        </w:rPr>
      </w:pPr>
      <w:r w:rsidRPr="003A2B12">
        <w:rPr>
          <w:sz w:val="22"/>
          <w:szCs w:val="22"/>
        </w:rPr>
        <w:t>In the fourth quarter of 2018, the Court of Appeal affirmed the judgment of the Civil Court on some of the cases of the Company</w:t>
      </w:r>
      <w:r w:rsidR="00A26BD1">
        <w:rPr>
          <w:sz w:val="22"/>
          <w:szCs w:val="22"/>
        </w:rPr>
        <w:t xml:space="preserve"> to continue complying with the term of the program.</w:t>
      </w:r>
      <w:r w:rsidRPr="003A2B12">
        <w:rPr>
          <w:sz w:val="22"/>
          <w:szCs w:val="22"/>
        </w:rPr>
        <w:t xml:space="preserve"> As at</w:t>
      </w:r>
      <w:r w:rsidR="00A26BD1">
        <w:rPr>
          <w:sz w:val="22"/>
          <w:szCs w:val="22"/>
        </w:rPr>
        <w:t xml:space="preserve">            </w:t>
      </w:r>
      <w:r w:rsidRPr="003A2B12">
        <w:rPr>
          <w:sz w:val="22"/>
          <w:szCs w:val="22"/>
        </w:rPr>
        <w:t xml:space="preserve"> 31 December 2018, the Company and its subsidiary recorded a provision for contingent liabilities from litigation in case the Company and its subsidiary</w:t>
      </w:r>
      <w:r w:rsidRPr="003A2B12">
        <w:rPr>
          <w:sz w:val="22"/>
          <w:szCs w:val="22"/>
          <w:cs/>
        </w:rPr>
        <w:t xml:space="preserve"> </w:t>
      </w:r>
      <w:r w:rsidRPr="003A2B12">
        <w:rPr>
          <w:sz w:val="22"/>
          <w:szCs w:val="22"/>
        </w:rPr>
        <w:t>have to comply with the judgment.</w:t>
      </w:r>
    </w:p>
    <w:p w:rsidR="00414FC3" w:rsidRPr="003A2B12" w:rsidRDefault="00414FC3" w:rsidP="00977B92">
      <w:pPr>
        <w:pStyle w:val="Default"/>
        <w:spacing w:before="80" w:after="80" w:line="340" w:lineRule="exact"/>
        <w:rPr>
          <w:sz w:val="22"/>
          <w:szCs w:val="22"/>
        </w:rPr>
      </w:pPr>
      <w:r w:rsidRPr="003A2B12">
        <w:rPr>
          <w:sz w:val="22"/>
          <w:szCs w:val="22"/>
        </w:rPr>
        <w:t>Nonetheless, the legal advisor of the Company and its subsidiary opined that, in consideration of all known facts and the provisions of the law, the programs in dispute are deemed contracts of insurance, rendering the cessation of such programs a lawful process. Therefore, the management, under the advisory of the Company and its subsidiary’s legal advisor, proceeded to utili</w:t>
      </w:r>
      <w:r w:rsidR="00A26BD1">
        <w:rPr>
          <w:sz w:val="22"/>
          <w:szCs w:val="22"/>
        </w:rPr>
        <w:t>s</w:t>
      </w:r>
      <w:r w:rsidRPr="003A2B12">
        <w:rPr>
          <w:sz w:val="22"/>
          <w:szCs w:val="22"/>
        </w:rPr>
        <w:t xml:space="preserve">e its legal right to file an appeal and a petition against the ruling of the Civil Court, for the Court of Appeal’s and the Supreme Court’s consideration and ruling which shall serve as precedent of future legal processes. Currently, such cases are currently under the consideration of the Court of Appeal and the Supreme Court. </w:t>
      </w:r>
      <w:r w:rsidR="00A26BD1">
        <w:rPr>
          <w:sz w:val="22"/>
          <w:szCs w:val="22"/>
        </w:rPr>
        <w:t xml:space="preserve">The judgment of the cases is still uncertain. </w:t>
      </w:r>
      <w:r w:rsidRPr="003A2B12">
        <w:rPr>
          <w:sz w:val="22"/>
          <w:szCs w:val="22"/>
        </w:rPr>
        <w:t>The Company and its subsidiary shall keep record of the amounts of debt owed to the Company and its subsidiary for medical services rendered which have not been collected in relation to for such medical bills unless the court rules otherwise.</w:t>
      </w:r>
    </w:p>
    <w:p w:rsidR="009C3D94" w:rsidRPr="003A2B12" w:rsidRDefault="00414FC3" w:rsidP="00977B92">
      <w:pPr>
        <w:pStyle w:val="Default"/>
        <w:spacing w:before="80" w:after="80" w:line="340" w:lineRule="exact"/>
        <w:rPr>
          <w:sz w:val="22"/>
          <w:szCs w:val="22"/>
        </w:rPr>
      </w:pPr>
      <w:r w:rsidRPr="003A2B12">
        <w:rPr>
          <w:sz w:val="22"/>
          <w:szCs w:val="22"/>
        </w:rPr>
        <w:t>My opinion is not qualified in respect of the above matter.</w:t>
      </w:r>
    </w:p>
    <w:p w:rsidR="005C74F0" w:rsidRPr="003A2B12" w:rsidRDefault="005C74F0" w:rsidP="000A5A0A">
      <w:pPr>
        <w:pStyle w:val="Default"/>
        <w:spacing w:before="120" w:after="120" w:line="380" w:lineRule="exact"/>
        <w:rPr>
          <w:sz w:val="22"/>
          <w:szCs w:val="22"/>
        </w:rPr>
      </w:pPr>
      <w:r w:rsidRPr="003A2B12">
        <w:rPr>
          <w:b/>
          <w:bCs/>
          <w:sz w:val="22"/>
          <w:szCs w:val="22"/>
        </w:rPr>
        <w:lastRenderedPageBreak/>
        <w:t xml:space="preserve">Key Audit Matters </w:t>
      </w:r>
    </w:p>
    <w:p w:rsidR="005C74F0" w:rsidRPr="003A2B12" w:rsidRDefault="005C74F0" w:rsidP="000A5A0A">
      <w:pPr>
        <w:pStyle w:val="Default"/>
        <w:spacing w:before="120" w:after="120" w:line="380" w:lineRule="exact"/>
        <w:rPr>
          <w:sz w:val="22"/>
          <w:szCs w:val="22"/>
        </w:rPr>
      </w:pPr>
      <w:r w:rsidRPr="003A2B12">
        <w:rPr>
          <w:sz w:val="22"/>
          <w:szCs w:val="22"/>
        </w:rPr>
        <w:t xml:space="preserve">Key audit matters are those matters that, in </w:t>
      </w:r>
      <w:r w:rsidR="0082313A" w:rsidRPr="003A2B12">
        <w:rPr>
          <w:sz w:val="22"/>
          <w:szCs w:val="22"/>
        </w:rPr>
        <w:t>my</w:t>
      </w:r>
      <w:r w:rsidRPr="003A2B12">
        <w:rPr>
          <w:sz w:val="22"/>
          <w:szCs w:val="22"/>
        </w:rPr>
        <w:t xml:space="preserve"> professional judg</w:t>
      </w:r>
      <w:r w:rsidR="00DB474E" w:rsidRPr="003A2B12">
        <w:rPr>
          <w:sz w:val="22"/>
          <w:szCs w:val="22"/>
        </w:rPr>
        <w:t>e</w:t>
      </w:r>
      <w:r w:rsidRPr="003A2B12">
        <w:rPr>
          <w:sz w:val="22"/>
          <w:szCs w:val="22"/>
        </w:rPr>
        <w:t xml:space="preserve">ment, were of most significance in </w:t>
      </w:r>
      <w:r w:rsidR="0082313A" w:rsidRPr="003A2B12">
        <w:rPr>
          <w:sz w:val="22"/>
          <w:szCs w:val="22"/>
        </w:rPr>
        <w:t xml:space="preserve">my </w:t>
      </w:r>
      <w:r w:rsidRPr="003A2B12">
        <w:rPr>
          <w:sz w:val="22"/>
          <w:szCs w:val="22"/>
        </w:rPr>
        <w:t xml:space="preserve">audit of the financial statements of the current period. These matters were addressed in the context of </w:t>
      </w:r>
      <w:r w:rsidR="0082313A" w:rsidRPr="003A2B12">
        <w:rPr>
          <w:sz w:val="22"/>
          <w:szCs w:val="22"/>
        </w:rPr>
        <w:t xml:space="preserve">my </w:t>
      </w:r>
      <w:r w:rsidRPr="003A2B12">
        <w:rPr>
          <w:sz w:val="22"/>
          <w:szCs w:val="22"/>
        </w:rPr>
        <w:t xml:space="preserve">audit of the financial statements as a whole, and in forming </w:t>
      </w:r>
      <w:r w:rsidR="00A56488" w:rsidRPr="003A2B12">
        <w:rPr>
          <w:sz w:val="22"/>
          <w:szCs w:val="22"/>
        </w:rPr>
        <w:t>my</w:t>
      </w:r>
      <w:r w:rsidRPr="003A2B12">
        <w:rPr>
          <w:sz w:val="22"/>
          <w:szCs w:val="22"/>
        </w:rPr>
        <w:t xml:space="preserve"> opinion thereon, and </w:t>
      </w:r>
      <w:r w:rsidR="00DB474E" w:rsidRPr="003A2B12">
        <w:rPr>
          <w:sz w:val="22"/>
          <w:szCs w:val="22"/>
        </w:rPr>
        <w:t>I</w:t>
      </w:r>
      <w:r w:rsidRPr="003A2B12">
        <w:rPr>
          <w:sz w:val="22"/>
          <w:szCs w:val="22"/>
        </w:rPr>
        <w:t xml:space="preserve"> do not provide a separate opinion on these matters.</w:t>
      </w:r>
    </w:p>
    <w:p w:rsidR="00A56488" w:rsidRPr="003A2B12" w:rsidRDefault="00A56488" w:rsidP="000A5A0A">
      <w:pPr>
        <w:pStyle w:val="Default"/>
        <w:spacing w:before="120" w:after="120" w:line="380" w:lineRule="exact"/>
        <w:rPr>
          <w:sz w:val="22"/>
          <w:szCs w:val="22"/>
        </w:rPr>
      </w:pPr>
      <w:r w:rsidRPr="003A2B12">
        <w:rPr>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A56488" w:rsidRPr="003A2B12" w:rsidRDefault="00A56488" w:rsidP="000A5A0A">
      <w:pPr>
        <w:pStyle w:val="ps-000-normal"/>
        <w:spacing w:before="120" w:line="380" w:lineRule="exact"/>
        <w:rPr>
          <w:rFonts w:ascii="Arial" w:hAnsi="Arial" w:cs="Arial"/>
          <w:sz w:val="22"/>
          <w:szCs w:val="22"/>
        </w:rPr>
      </w:pPr>
      <w:r w:rsidRPr="003A2B12">
        <w:rPr>
          <w:rFonts w:ascii="Arial" w:hAnsi="Arial" w:cs="Arial"/>
          <w:sz w:val="22"/>
          <w:szCs w:val="22"/>
        </w:rPr>
        <w:t>Key audit matters and how audit procedures respond for each matter are described below.</w:t>
      </w:r>
    </w:p>
    <w:p w:rsidR="002514FF" w:rsidRPr="003A2B12" w:rsidRDefault="002514FF" w:rsidP="009C3D94">
      <w:pPr>
        <w:spacing w:before="120" w:after="120" w:line="380" w:lineRule="exact"/>
        <w:rPr>
          <w:rFonts w:ascii="Arial" w:eastAsia="Calibri" w:hAnsi="Arial" w:cs="Arial"/>
          <w:b/>
          <w:bCs/>
          <w:i/>
          <w:iCs/>
          <w:szCs w:val="22"/>
        </w:rPr>
      </w:pPr>
      <w:r w:rsidRPr="003A2B12">
        <w:rPr>
          <w:rFonts w:ascii="Arial" w:eastAsia="Calibri" w:hAnsi="Arial" w:cs="Arial"/>
          <w:b/>
          <w:bCs/>
          <w:i/>
          <w:iCs/>
          <w:szCs w:val="22"/>
        </w:rPr>
        <w:t>Revenue recognition</w:t>
      </w:r>
    </w:p>
    <w:p w:rsidR="009C3D94" w:rsidRPr="003A2B12" w:rsidRDefault="00A56488" w:rsidP="009C3D94">
      <w:pPr>
        <w:spacing w:before="120" w:after="120" w:line="380" w:lineRule="exact"/>
        <w:rPr>
          <w:rFonts w:ascii="Arial" w:hAnsi="Arial" w:cs="Arial"/>
          <w:szCs w:val="22"/>
        </w:rPr>
      </w:pPr>
      <w:r w:rsidRPr="003A2B12">
        <w:rPr>
          <w:rFonts w:ascii="Arial" w:eastAsia="Calibri" w:hAnsi="Arial" w:cs="Arial"/>
          <w:szCs w:val="22"/>
        </w:rPr>
        <w:t>Revenue</w:t>
      </w:r>
      <w:r w:rsidR="00C70776" w:rsidRPr="003A2B12">
        <w:rPr>
          <w:rFonts w:ascii="Arial" w:eastAsia="Calibri" w:hAnsi="Arial" w:cs="Arial"/>
          <w:szCs w:val="22"/>
        </w:rPr>
        <w:t>s</w:t>
      </w:r>
      <w:r w:rsidRPr="003A2B12">
        <w:rPr>
          <w:rFonts w:ascii="Arial" w:eastAsia="Calibri" w:hAnsi="Arial" w:cs="Arial"/>
          <w:szCs w:val="22"/>
        </w:rPr>
        <w:t xml:space="preserve"> from hospital operation</w:t>
      </w:r>
      <w:r w:rsidR="00F44B37" w:rsidRPr="003A2B12">
        <w:rPr>
          <w:rFonts w:ascii="Arial" w:eastAsia="Calibri" w:hAnsi="Arial" w:cs="Arial"/>
          <w:szCs w:val="22"/>
        </w:rPr>
        <w:t xml:space="preserve">s </w:t>
      </w:r>
      <w:r w:rsidR="00270E8F" w:rsidRPr="003A2B12">
        <w:rPr>
          <w:rFonts w:ascii="Arial" w:eastAsia="Calibri" w:hAnsi="Arial" w:cs="Arial"/>
          <w:szCs w:val="22"/>
        </w:rPr>
        <w:t>are</w:t>
      </w:r>
      <w:r w:rsidR="00F44B37" w:rsidRPr="003A2B12">
        <w:rPr>
          <w:rFonts w:ascii="Arial" w:eastAsia="Calibri" w:hAnsi="Arial" w:cs="Arial"/>
          <w:szCs w:val="22"/>
        </w:rPr>
        <w:t xml:space="preserve"> considered</w:t>
      </w:r>
      <w:r w:rsidRPr="003A2B12">
        <w:rPr>
          <w:rFonts w:ascii="Arial" w:eastAsia="Calibri" w:hAnsi="Arial" w:cs="Arial"/>
          <w:szCs w:val="22"/>
        </w:rPr>
        <w:t xml:space="preserve"> significant </w:t>
      </w:r>
      <w:r w:rsidR="00F44B37" w:rsidRPr="003A2B12">
        <w:rPr>
          <w:rFonts w:ascii="Arial" w:eastAsia="Calibri" w:hAnsi="Arial" w:cs="Arial"/>
          <w:szCs w:val="22"/>
        </w:rPr>
        <w:t>in the financial statements</w:t>
      </w:r>
      <w:r w:rsidRPr="003A2B12">
        <w:rPr>
          <w:rFonts w:ascii="Arial" w:eastAsia="Calibri" w:hAnsi="Arial" w:cs="Arial"/>
          <w:szCs w:val="22"/>
        </w:rPr>
        <w:t xml:space="preserve"> as the amounts are material, represent</w:t>
      </w:r>
      <w:r w:rsidR="007431DF" w:rsidRPr="003A2B12">
        <w:rPr>
          <w:rFonts w:ascii="Arial" w:eastAsia="Calibri" w:hAnsi="Arial" w:cs="Arial"/>
          <w:szCs w:val="22"/>
        </w:rPr>
        <w:t>ing</w:t>
      </w:r>
      <w:r w:rsidR="00627D19" w:rsidRPr="003A2B12">
        <w:rPr>
          <w:rFonts w:ascii="Arial" w:eastAsia="Calibri" w:hAnsi="Arial" w:cs="Arial"/>
          <w:szCs w:val="22"/>
        </w:rPr>
        <w:t xml:space="preserve"> 9</w:t>
      </w:r>
      <w:r w:rsidR="009E2E22" w:rsidRPr="003A2B12">
        <w:rPr>
          <w:rFonts w:ascii="Arial" w:eastAsia="Calibri" w:hAnsi="Arial" w:cs="Arial"/>
          <w:szCs w:val="22"/>
        </w:rPr>
        <w:t>5</w:t>
      </w:r>
      <w:r w:rsidRPr="003A2B12">
        <w:rPr>
          <w:rFonts w:ascii="Arial" w:eastAsia="Calibri" w:hAnsi="Arial" w:cs="Arial"/>
          <w:szCs w:val="22"/>
        </w:rPr>
        <w:t xml:space="preserve">% of </w:t>
      </w:r>
      <w:r w:rsidR="00F44B37" w:rsidRPr="003A2B12">
        <w:rPr>
          <w:rFonts w:ascii="Arial" w:eastAsia="Calibri" w:hAnsi="Arial" w:cs="Arial"/>
          <w:szCs w:val="22"/>
        </w:rPr>
        <w:t xml:space="preserve">the </w:t>
      </w:r>
      <w:r w:rsidRPr="003A2B12">
        <w:rPr>
          <w:rFonts w:ascii="Arial" w:eastAsia="Calibri" w:hAnsi="Arial" w:cs="Arial"/>
          <w:szCs w:val="22"/>
        </w:rPr>
        <w:t>consolidated total revenue</w:t>
      </w:r>
      <w:r w:rsidR="00F44B37" w:rsidRPr="003A2B12">
        <w:rPr>
          <w:rFonts w:ascii="Arial" w:eastAsia="Calibri" w:hAnsi="Arial" w:cs="Arial"/>
          <w:szCs w:val="22"/>
        </w:rPr>
        <w:t>s</w:t>
      </w:r>
      <w:r w:rsidR="00866F93" w:rsidRPr="003A2B12">
        <w:rPr>
          <w:rFonts w:ascii="Arial" w:eastAsia="Calibri" w:hAnsi="Arial" w:cs="Arial"/>
          <w:szCs w:val="22"/>
          <w:cs/>
        </w:rPr>
        <w:t xml:space="preserve"> </w:t>
      </w:r>
      <w:r w:rsidR="00866F93" w:rsidRPr="003A2B12">
        <w:rPr>
          <w:rFonts w:ascii="Arial" w:eastAsia="Calibri" w:hAnsi="Arial" w:cs="Arial"/>
          <w:szCs w:val="22"/>
        </w:rPr>
        <w:t xml:space="preserve">and </w:t>
      </w:r>
      <w:r w:rsidR="00BF22B2" w:rsidRPr="003A2B12">
        <w:rPr>
          <w:rFonts w:ascii="Arial" w:eastAsia="Calibri" w:hAnsi="Arial" w:cs="Arial"/>
          <w:szCs w:val="22"/>
        </w:rPr>
        <w:t>the</w:t>
      </w:r>
      <w:r w:rsidR="006815A5" w:rsidRPr="003A2B12">
        <w:rPr>
          <w:rFonts w:ascii="Arial" w:eastAsia="Calibri" w:hAnsi="Arial" w:cs="Arial"/>
          <w:szCs w:val="22"/>
        </w:rPr>
        <w:t>y</w:t>
      </w:r>
      <w:r w:rsidR="00BF22B2" w:rsidRPr="003A2B12">
        <w:rPr>
          <w:rFonts w:ascii="Arial" w:eastAsia="Calibri" w:hAnsi="Arial" w:cs="Arial"/>
          <w:szCs w:val="22"/>
        </w:rPr>
        <w:t xml:space="preserve"> directly affect</w:t>
      </w:r>
      <w:r w:rsidR="00866F93" w:rsidRPr="003A2B12">
        <w:rPr>
          <w:rFonts w:ascii="Arial" w:eastAsia="Calibri" w:hAnsi="Arial" w:cs="Arial"/>
          <w:szCs w:val="22"/>
        </w:rPr>
        <w:t xml:space="preserve"> the operating result of the Group</w:t>
      </w:r>
      <w:r w:rsidRPr="003A2B12">
        <w:rPr>
          <w:rFonts w:ascii="Arial" w:eastAsia="Calibri" w:hAnsi="Arial" w:cs="Arial"/>
          <w:szCs w:val="22"/>
        </w:rPr>
        <w:t>. In addition,</w:t>
      </w:r>
      <w:r w:rsidRPr="003A2B12">
        <w:rPr>
          <w:rFonts w:ascii="Arial" w:eastAsia="Calibri" w:hAnsi="Arial" w:cs="Arial"/>
          <w:szCs w:val="22"/>
          <w:cs/>
        </w:rPr>
        <w:t xml:space="preserve"> </w:t>
      </w:r>
      <w:r w:rsidR="00F44B37" w:rsidRPr="003A2B12">
        <w:rPr>
          <w:rFonts w:ascii="Arial" w:eastAsia="Calibri" w:hAnsi="Arial" w:cs="Arial"/>
          <w:szCs w:val="22"/>
        </w:rPr>
        <w:t>there are various component</w:t>
      </w:r>
      <w:r w:rsidR="007431DF" w:rsidRPr="003A2B12">
        <w:rPr>
          <w:rFonts w:ascii="Arial" w:eastAsia="Calibri" w:hAnsi="Arial" w:cs="Arial"/>
          <w:szCs w:val="22"/>
        </w:rPr>
        <w:t>s</w:t>
      </w:r>
      <w:r w:rsidR="00F44B37" w:rsidRPr="003A2B12">
        <w:rPr>
          <w:rFonts w:ascii="Arial" w:eastAsia="Calibri" w:hAnsi="Arial" w:cs="Arial"/>
          <w:szCs w:val="22"/>
        </w:rPr>
        <w:t xml:space="preserve"> in </w:t>
      </w:r>
      <w:r w:rsidRPr="003A2B12">
        <w:rPr>
          <w:rFonts w:ascii="Arial" w:eastAsia="Calibri" w:hAnsi="Arial" w:cs="Arial"/>
          <w:szCs w:val="22"/>
        </w:rPr>
        <w:t>revenue</w:t>
      </w:r>
      <w:r w:rsidR="00270E8F" w:rsidRPr="003A2B12">
        <w:rPr>
          <w:rFonts w:ascii="Arial" w:eastAsia="Calibri" w:hAnsi="Arial" w:cs="Arial"/>
          <w:szCs w:val="22"/>
        </w:rPr>
        <w:t>s</w:t>
      </w:r>
      <w:r w:rsidRPr="003A2B12">
        <w:rPr>
          <w:rFonts w:ascii="Arial" w:eastAsia="Calibri" w:hAnsi="Arial" w:cs="Arial"/>
          <w:szCs w:val="22"/>
        </w:rPr>
        <w:t xml:space="preserve"> from hospital operations which </w:t>
      </w:r>
      <w:r w:rsidR="00F44B37" w:rsidRPr="003A2B12">
        <w:rPr>
          <w:rFonts w:ascii="Arial" w:eastAsia="Calibri" w:hAnsi="Arial" w:cs="Arial"/>
          <w:szCs w:val="22"/>
        </w:rPr>
        <w:t>include</w:t>
      </w:r>
      <w:r w:rsidRPr="003A2B12">
        <w:rPr>
          <w:rFonts w:ascii="Arial" w:eastAsia="Calibri" w:hAnsi="Arial" w:cs="Arial"/>
          <w:szCs w:val="22"/>
        </w:rPr>
        <w:t xml:space="preserve"> revenue from sales of medicine</w:t>
      </w:r>
      <w:r w:rsidR="00F44B37" w:rsidRPr="003A2B12">
        <w:rPr>
          <w:rFonts w:ascii="Arial" w:eastAsia="Calibri" w:hAnsi="Arial" w:cs="Arial"/>
          <w:szCs w:val="22"/>
        </w:rPr>
        <w:t>s and medical supplies, revenue</w:t>
      </w:r>
      <w:r w:rsidRPr="003A2B12">
        <w:rPr>
          <w:rFonts w:ascii="Arial" w:eastAsia="Calibri" w:hAnsi="Arial" w:cs="Arial"/>
          <w:szCs w:val="22"/>
        </w:rPr>
        <w:t xml:space="preserve"> from medical services, revenue from patient rooms</w:t>
      </w:r>
      <w:r w:rsidR="00F44B37" w:rsidRPr="003A2B12">
        <w:rPr>
          <w:rFonts w:ascii="Arial" w:eastAsia="Calibri" w:hAnsi="Arial" w:cs="Arial"/>
          <w:szCs w:val="22"/>
        </w:rPr>
        <w:t>,</w:t>
      </w:r>
      <w:r w:rsidRPr="003A2B12">
        <w:rPr>
          <w:rFonts w:ascii="Arial" w:eastAsia="Calibri" w:hAnsi="Arial" w:cs="Arial"/>
          <w:szCs w:val="22"/>
        </w:rPr>
        <w:t xml:space="preserve"> including discounts for counterparties, whereas the agreements contain vari</w:t>
      </w:r>
      <w:r w:rsidR="003A06FC" w:rsidRPr="003A2B12">
        <w:rPr>
          <w:rFonts w:ascii="Arial" w:eastAsia="Calibri" w:hAnsi="Arial" w:cs="Arial"/>
          <w:szCs w:val="22"/>
        </w:rPr>
        <w:t xml:space="preserve">ous conditions for each party. </w:t>
      </w:r>
      <w:r w:rsidR="00215A26" w:rsidRPr="003A2B12">
        <w:rPr>
          <w:rFonts w:ascii="Arial" w:hAnsi="Arial" w:cs="Arial"/>
          <w:szCs w:val="22"/>
        </w:rPr>
        <w:t>I therefore gave significant attention to the revenue recognition of the Group.</w:t>
      </w:r>
    </w:p>
    <w:p w:rsidR="00A56488" w:rsidRPr="003A2B12" w:rsidRDefault="00A56488" w:rsidP="009C3D94">
      <w:pPr>
        <w:spacing w:before="120" w:after="120" w:line="380" w:lineRule="exact"/>
        <w:rPr>
          <w:rFonts w:ascii="Arial" w:eastAsia="Calibri" w:hAnsi="Arial" w:cs="Arial"/>
          <w:szCs w:val="22"/>
        </w:rPr>
      </w:pPr>
      <w:r w:rsidRPr="003A2B12">
        <w:rPr>
          <w:rFonts w:ascii="Arial" w:eastAsia="Calibri" w:hAnsi="Arial" w:cs="Arial"/>
          <w:szCs w:val="22"/>
        </w:rPr>
        <w:t xml:space="preserve">I </w:t>
      </w:r>
      <w:r w:rsidR="00F44B37" w:rsidRPr="003A2B12">
        <w:rPr>
          <w:rFonts w:ascii="Arial" w:eastAsia="Calibri" w:hAnsi="Arial" w:cs="Arial"/>
          <w:szCs w:val="22"/>
        </w:rPr>
        <w:t>examined</w:t>
      </w:r>
      <w:r w:rsidRPr="003A2B12">
        <w:rPr>
          <w:rFonts w:ascii="Arial" w:eastAsia="Calibri" w:hAnsi="Arial" w:cs="Arial"/>
          <w:szCs w:val="22"/>
        </w:rPr>
        <w:t xml:space="preserve"> the revenue recognition of the Group by assessing and testing </w:t>
      </w:r>
      <w:r w:rsidR="00F44B37" w:rsidRPr="003A2B12">
        <w:rPr>
          <w:rFonts w:ascii="Arial" w:eastAsia="Calibri" w:hAnsi="Arial" w:cs="Arial"/>
          <w:szCs w:val="22"/>
        </w:rPr>
        <w:t>the Group’s</w:t>
      </w:r>
      <w:r w:rsidRPr="003A2B12">
        <w:rPr>
          <w:rFonts w:ascii="Arial" w:eastAsia="Calibri" w:hAnsi="Arial" w:cs="Arial"/>
          <w:szCs w:val="22"/>
        </w:rPr>
        <w:t xml:space="preserve"> internal controls with respect to the revenue cycle</w:t>
      </w:r>
      <w:r w:rsidR="00F44B37" w:rsidRPr="003A2B12">
        <w:rPr>
          <w:rFonts w:ascii="Arial" w:eastAsia="Calibri" w:hAnsi="Arial" w:cs="Arial"/>
          <w:szCs w:val="22"/>
        </w:rPr>
        <w:t xml:space="preserve"> by making enquiries of responsible </w:t>
      </w:r>
      <w:r w:rsidR="0027693E" w:rsidRPr="003A2B12">
        <w:rPr>
          <w:rFonts w:ascii="Arial" w:eastAsia="Calibri" w:hAnsi="Arial" w:cs="Arial"/>
          <w:szCs w:val="22"/>
        </w:rPr>
        <w:t>executives</w:t>
      </w:r>
      <w:r w:rsidR="00F44B37" w:rsidRPr="003A2B12">
        <w:rPr>
          <w:rFonts w:ascii="Arial" w:eastAsia="Calibri" w:hAnsi="Arial" w:cs="Arial"/>
          <w:szCs w:val="22"/>
        </w:rPr>
        <w:t xml:space="preserve">, gaining an understanding of the controls and selecting representative samples to </w:t>
      </w:r>
      <w:r w:rsidR="00270E8F" w:rsidRPr="003A2B12">
        <w:rPr>
          <w:rFonts w:ascii="Arial" w:eastAsia="Calibri" w:hAnsi="Arial" w:cs="Arial"/>
          <w:szCs w:val="22"/>
        </w:rPr>
        <w:t xml:space="preserve">test </w:t>
      </w:r>
      <w:r w:rsidR="00F44B37" w:rsidRPr="003A2B12">
        <w:rPr>
          <w:rFonts w:ascii="Arial" w:eastAsia="Calibri" w:hAnsi="Arial" w:cs="Arial"/>
          <w:szCs w:val="22"/>
        </w:rPr>
        <w:t>the operation of the designed controls. In addition,</w:t>
      </w:r>
      <w:r w:rsidRPr="003A2B12">
        <w:rPr>
          <w:rFonts w:ascii="Arial" w:eastAsia="Calibri" w:hAnsi="Arial" w:cs="Arial"/>
          <w:szCs w:val="22"/>
        </w:rPr>
        <w:t xml:space="preserve"> I applied a sampling method to select revenues from hospital operations transactions occurring during the year to examine the supporting documents.                   I requested a balance confirmation from accounts receivable and tested </w:t>
      </w:r>
      <w:r w:rsidR="00F44B37" w:rsidRPr="003A2B12">
        <w:rPr>
          <w:rFonts w:ascii="Arial" w:eastAsia="Calibri" w:hAnsi="Arial" w:cs="Arial"/>
          <w:szCs w:val="22"/>
        </w:rPr>
        <w:t xml:space="preserve">revenue </w:t>
      </w:r>
      <w:r w:rsidR="00AF0048" w:rsidRPr="003A2B12">
        <w:rPr>
          <w:rFonts w:ascii="Arial" w:eastAsia="Calibri" w:hAnsi="Arial" w:cs="Arial"/>
          <w:szCs w:val="22"/>
        </w:rPr>
        <w:t>cut-off</w:t>
      </w:r>
      <w:r w:rsidRPr="003A2B12">
        <w:rPr>
          <w:rFonts w:ascii="Arial" w:eastAsia="Calibri" w:hAnsi="Arial" w:cs="Arial"/>
          <w:szCs w:val="22"/>
        </w:rPr>
        <w:t xml:space="preserve">. I also performed analytical procedures of disaggregated data and significant financial ratios with the past information and industry to detect possible irregularities in revenues from hospital operations transactions throughout the period, particularly for accounting entries made through journal vouchers.  </w:t>
      </w:r>
    </w:p>
    <w:p w:rsidR="00D128D6" w:rsidRPr="003A2B12" w:rsidRDefault="00D128D6">
      <w:pPr>
        <w:spacing w:after="160" w:line="259" w:lineRule="auto"/>
        <w:rPr>
          <w:rFonts w:ascii="Arial" w:eastAsia="Calibri" w:hAnsi="Arial" w:cs="Arial"/>
          <w:b/>
          <w:bCs/>
          <w:i/>
          <w:iCs/>
          <w:szCs w:val="22"/>
        </w:rPr>
      </w:pPr>
      <w:r w:rsidRPr="003A2B12">
        <w:rPr>
          <w:rFonts w:ascii="Arial" w:eastAsia="Calibri" w:hAnsi="Arial" w:cs="Arial"/>
          <w:b/>
          <w:bCs/>
          <w:i/>
          <w:iCs/>
          <w:szCs w:val="22"/>
        </w:rPr>
        <w:br w:type="page"/>
      </w:r>
    </w:p>
    <w:p w:rsidR="002514FF" w:rsidRPr="003A2B12" w:rsidRDefault="002514FF" w:rsidP="00977B92">
      <w:pPr>
        <w:spacing w:before="120" w:after="120" w:line="360" w:lineRule="exact"/>
        <w:rPr>
          <w:rFonts w:ascii="Arial" w:eastAsia="Calibri" w:hAnsi="Arial" w:cs="Arial"/>
          <w:i/>
          <w:iCs/>
          <w:szCs w:val="22"/>
        </w:rPr>
      </w:pPr>
      <w:r w:rsidRPr="003A2B12">
        <w:rPr>
          <w:rFonts w:ascii="Arial" w:eastAsia="Calibri" w:hAnsi="Arial" w:cs="Arial"/>
          <w:b/>
          <w:bCs/>
          <w:i/>
          <w:iCs/>
          <w:szCs w:val="22"/>
        </w:rPr>
        <w:lastRenderedPageBreak/>
        <w:t xml:space="preserve">Goodwill </w:t>
      </w:r>
    </w:p>
    <w:p w:rsidR="00D268B8" w:rsidRPr="003A2B12" w:rsidRDefault="00D268B8" w:rsidP="00977B92">
      <w:pPr>
        <w:spacing w:before="120" w:after="120" w:line="360" w:lineRule="exact"/>
        <w:rPr>
          <w:rFonts w:ascii="Arial" w:eastAsia="Calibri" w:hAnsi="Arial" w:cs="Arial"/>
          <w:szCs w:val="22"/>
        </w:rPr>
      </w:pPr>
      <w:r w:rsidRPr="003A2B12">
        <w:rPr>
          <w:rFonts w:ascii="Arial" w:eastAsia="Calibri" w:hAnsi="Arial" w:cs="Arial"/>
          <w:spacing w:val="-4"/>
          <w:szCs w:val="22"/>
        </w:rPr>
        <w:t xml:space="preserve">I have focused my audit on the consideration of the impairment of goodwill, as discussed in Note </w:t>
      </w:r>
      <w:r w:rsidR="001B599F" w:rsidRPr="003A2B12">
        <w:rPr>
          <w:rFonts w:ascii="Arial" w:eastAsia="Calibri" w:hAnsi="Arial" w:cs="Arial"/>
          <w:spacing w:val="-4"/>
          <w:szCs w:val="22"/>
        </w:rPr>
        <w:t>17</w:t>
      </w:r>
      <w:r w:rsidRPr="003A2B12">
        <w:rPr>
          <w:rFonts w:ascii="Arial" w:eastAsia="Calibri" w:hAnsi="Arial" w:cs="Arial"/>
          <w:szCs w:val="22"/>
        </w:rPr>
        <w:t xml:space="preserve"> to the financial statements, because the assessment of impairment of goodwill is a significant accounting estimate requiring management to exercise a high degree of judg</w:t>
      </w:r>
      <w:r w:rsidR="00270E8F" w:rsidRPr="003A2B12">
        <w:rPr>
          <w:rFonts w:ascii="Arial" w:eastAsia="Calibri" w:hAnsi="Arial" w:cs="Arial"/>
          <w:szCs w:val="22"/>
        </w:rPr>
        <w:t>e</w:t>
      </w:r>
      <w:r w:rsidRPr="003A2B12">
        <w:rPr>
          <w:rFonts w:ascii="Arial" w:eastAsia="Calibri" w:hAnsi="Arial" w:cs="Arial"/>
          <w:szCs w:val="22"/>
        </w:rPr>
        <w:t xml:space="preserve">ment in identifying the cash generating units, estimating the cash inflows that are expected to be generated from that group of assets in the future, and setting an appropriate discount rate and long-term growth rate. There are thus risks with respect to the amount of goodwill. </w:t>
      </w:r>
      <w:r w:rsidR="00D32C27" w:rsidRPr="003A2B12">
        <w:rPr>
          <w:rFonts w:ascii="Arial" w:eastAsia="Calibri" w:hAnsi="Arial" w:cs="Arial"/>
          <w:szCs w:val="22"/>
          <w:cs/>
        </w:rPr>
        <w:t xml:space="preserve"> </w:t>
      </w:r>
      <w:r w:rsidR="00D32C27" w:rsidRPr="003A2B12">
        <w:rPr>
          <w:rFonts w:ascii="Arial" w:eastAsia="Calibri" w:hAnsi="Arial" w:cs="Arial"/>
          <w:szCs w:val="22"/>
        </w:rPr>
        <w:t>I therefore gave significant attention to the amount of goodwill of the Group.</w:t>
      </w:r>
    </w:p>
    <w:p w:rsidR="00D268B8" w:rsidRPr="003A2B12" w:rsidRDefault="00D268B8" w:rsidP="00977B92">
      <w:pPr>
        <w:spacing w:before="120" w:after="120" w:line="360" w:lineRule="exact"/>
        <w:rPr>
          <w:rFonts w:ascii="Arial" w:eastAsia="Calibri" w:hAnsi="Arial" w:cs="Arial"/>
          <w:szCs w:val="22"/>
        </w:rPr>
      </w:pPr>
      <w:r w:rsidRPr="003A2B12">
        <w:rPr>
          <w:rFonts w:ascii="Arial" w:eastAsia="Calibri" w:hAnsi="Arial" w:cs="Arial"/>
          <w:szCs w:val="22"/>
        </w:rPr>
        <w:t xml:space="preserve">I assessed the identification of cash generating units and the financial models selected by management by gaining an understanding of management’s decision-making process and assessing whether the decisions made were consistent with how assets are utilised. In addition, </w:t>
      </w:r>
      <w:r w:rsidR="00390958" w:rsidRPr="003A2B12">
        <w:rPr>
          <w:rFonts w:ascii="Arial" w:eastAsia="Calibri" w:hAnsi="Arial" w:cs="Arial"/>
          <w:szCs w:val="22"/>
        </w:rPr>
        <w:t xml:space="preserve">              </w:t>
      </w:r>
      <w:r w:rsidRPr="003A2B12">
        <w:rPr>
          <w:rFonts w:ascii="Arial" w:eastAsia="Calibri" w:hAnsi="Arial" w:cs="Arial"/>
          <w:szCs w:val="22"/>
        </w:rPr>
        <w:t>I tested the significant assumptions applied by management in preparing estimates of the cash flows expected to be realised from the assets, by comparing those assumptions with information from both internal and external sources and comparing past cash flow projections to actual operating results in order to evaluate the exercise of management judg</w:t>
      </w:r>
      <w:r w:rsidR="00270E8F" w:rsidRPr="003A2B12">
        <w:rPr>
          <w:rFonts w:ascii="Arial" w:eastAsia="Calibri" w:hAnsi="Arial" w:cs="Arial"/>
          <w:szCs w:val="22"/>
        </w:rPr>
        <w:t>e</w:t>
      </w:r>
      <w:r w:rsidRPr="003A2B12">
        <w:rPr>
          <w:rFonts w:ascii="Arial" w:eastAsia="Calibri" w:hAnsi="Arial" w:cs="Arial"/>
          <w:szCs w:val="22"/>
        </w:rPr>
        <w:t xml:space="preserve">ment in estimating the cash flow projections. I also evaluated the discount rate applied by management through analysis of the </w:t>
      </w:r>
      <w:r w:rsidR="00A705F0" w:rsidRPr="003A2B12">
        <w:rPr>
          <w:rFonts w:ascii="Arial" w:eastAsia="Calibri" w:hAnsi="Arial" w:cs="Arial"/>
          <w:szCs w:val="22"/>
        </w:rPr>
        <w:t xml:space="preserve">moving </w:t>
      </w:r>
      <w:r w:rsidRPr="003A2B12">
        <w:rPr>
          <w:rFonts w:ascii="Arial" w:eastAsia="Calibri" w:hAnsi="Arial" w:cs="Arial"/>
          <w:szCs w:val="22"/>
        </w:rPr>
        <w:t xml:space="preserve">average </w:t>
      </w:r>
      <w:r w:rsidR="00A705F0" w:rsidRPr="003A2B12">
        <w:rPr>
          <w:rFonts w:ascii="Arial" w:eastAsia="Calibri" w:hAnsi="Arial" w:cs="Arial"/>
          <w:szCs w:val="22"/>
        </w:rPr>
        <w:t xml:space="preserve">finance </w:t>
      </w:r>
      <w:r w:rsidRPr="003A2B12">
        <w:rPr>
          <w:rFonts w:ascii="Arial" w:eastAsia="Calibri" w:hAnsi="Arial" w:cs="Arial"/>
          <w:szCs w:val="22"/>
        </w:rPr>
        <w:t>costs of the Company and its subsidiaries and of the industry, tested the calculation of the realisable values of the assets using the selected financial model. Moreover, I reviewed the disclosures made with respect to the imp</w:t>
      </w:r>
      <w:r w:rsidR="00270E8F" w:rsidRPr="003A2B12">
        <w:rPr>
          <w:rFonts w:ascii="Arial" w:eastAsia="Calibri" w:hAnsi="Arial" w:cs="Arial"/>
          <w:szCs w:val="22"/>
        </w:rPr>
        <w:t>airment assessment for goodwill</w:t>
      </w:r>
      <w:r w:rsidRPr="003A2B12">
        <w:rPr>
          <w:rFonts w:ascii="Arial" w:eastAsia="Calibri" w:hAnsi="Arial" w:cs="Arial"/>
          <w:szCs w:val="22"/>
        </w:rPr>
        <w:t>.</w:t>
      </w:r>
    </w:p>
    <w:p w:rsidR="00FD02F9" w:rsidRPr="003A2B12" w:rsidRDefault="00FD02F9" w:rsidP="00977B92">
      <w:pPr>
        <w:spacing w:before="120" w:after="120" w:line="360" w:lineRule="exact"/>
        <w:rPr>
          <w:rFonts w:ascii="Arial" w:hAnsi="Arial" w:cs="Arial"/>
          <w:b/>
          <w:bCs/>
          <w:i/>
          <w:iCs/>
          <w:szCs w:val="22"/>
        </w:rPr>
      </w:pPr>
      <w:r w:rsidRPr="003A2B12">
        <w:rPr>
          <w:rFonts w:ascii="Arial" w:hAnsi="Arial" w:cs="Arial"/>
          <w:b/>
          <w:bCs/>
          <w:i/>
          <w:iCs/>
          <w:szCs w:val="22"/>
        </w:rPr>
        <w:t>Litigation</w:t>
      </w:r>
    </w:p>
    <w:p w:rsidR="00FD02F9" w:rsidRPr="003A2B12" w:rsidRDefault="00FD02F9" w:rsidP="00977B92">
      <w:pPr>
        <w:pStyle w:val="Default"/>
        <w:spacing w:before="120" w:after="120" w:line="360" w:lineRule="exact"/>
        <w:rPr>
          <w:sz w:val="22"/>
          <w:szCs w:val="22"/>
        </w:rPr>
      </w:pPr>
      <w:r w:rsidRPr="003A2B12">
        <w:rPr>
          <w:sz w:val="22"/>
          <w:szCs w:val="22"/>
        </w:rPr>
        <w:t>As discussed in</w:t>
      </w:r>
      <w:r w:rsidR="00053C66" w:rsidRPr="003A2B12">
        <w:rPr>
          <w:sz w:val="22"/>
          <w:szCs w:val="22"/>
        </w:rPr>
        <w:t xml:space="preserve"> </w:t>
      </w:r>
      <w:r w:rsidR="00AB4A76" w:rsidRPr="003A2B12">
        <w:rPr>
          <w:sz w:val="22"/>
          <w:szCs w:val="22"/>
        </w:rPr>
        <w:t>emphasis</w:t>
      </w:r>
      <w:r w:rsidR="00053C66" w:rsidRPr="003A2B12">
        <w:rPr>
          <w:sz w:val="22"/>
          <w:szCs w:val="22"/>
        </w:rPr>
        <w:t xml:space="preserve"> of </w:t>
      </w:r>
      <w:r w:rsidR="009F55BF" w:rsidRPr="003A2B12">
        <w:rPr>
          <w:sz w:val="22"/>
          <w:szCs w:val="22"/>
        </w:rPr>
        <w:t>matters</w:t>
      </w:r>
      <w:r w:rsidR="00AB4A76" w:rsidRPr="003A2B12">
        <w:rPr>
          <w:sz w:val="22"/>
          <w:szCs w:val="22"/>
        </w:rPr>
        <w:t xml:space="preserve"> and</w:t>
      </w:r>
      <w:r w:rsidRPr="003A2B12">
        <w:rPr>
          <w:sz w:val="22"/>
          <w:szCs w:val="22"/>
        </w:rPr>
        <w:t xml:space="preserve"> Note </w:t>
      </w:r>
      <w:r w:rsidR="00627D19" w:rsidRPr="003A2B12">
        <w:rPr>
          <w:sz w:val="22"/>
          <w:szCs w:val="22"/>
        </w:rPr>
        <w:t>22</w:t>
      </w:r>
      <w:r w:rsidRPr="003A2B12">
        <w:rPr>
          <w:sz w:val="22"/>
          <w:szCs w:val="22"/>
        </w:rPr>
        <w:t xml:space="preserve"> to the financial statements, the Company</w:t>
      </w:r>
      <w:r w:rsidR="002C516D" w:rsidRPr="003A2B12">
        <w:rPr>
          <w:sz w:val="22"/>
          <w:szCs w:val="22"/>
        </w:rPr>
        <w:t xml:space="preserve"> and its subsidiary</w:t>
      </w:r>
      <w:r w:rsidRPr="003A2B12">
        <w:rPr>
          <w:sz w:val="22"/>
          <w:szCs w:val="22"/>
        </w:rPr>
        <w:t xml:space="preserve"> had contingent liabilities arising from</w:t>
      </w:r>
      <w:r w:rsidR="002C516D" w:rsidRPr="003A2B12">
        <w:rPr>
          <w:sz w:val="22"/>
          <w:szCs w:val="22"/>
        </w:rPr>
        <w:t xml:space="preserve"> many</w:t>
      </w:r>
      <w:r w:rsidRPr="003A2B12">
        <w:rPr>
          <w:sz w:val="22"/>
          <w:szCs w:val="22"/>
        </w:rPr>
        <w:t xml:space="preserve"> litigation</w:t>
      </w:r>
      <w:r w:rsidR="002C516D" w:rsidRPr="003A2B12">
        <w:rPr>
          <w:sz w:val="22"/>
          <w:szCs w:val="22"/>
        </w:rPr>
        <w:t>s</w:t>
      </w:r>
      <w:r w:rsidRPr="003A2B12">
        <w:rPr>
          <w:sz w:val="22"/>
          <w:szCs w:val="22"/>
        </w:rPr>
        <w:t xml:space="preserve"> relating to discontinu</w:t>
      </w:r>
      <w:r w:rsidR="00BF22B2" w:rsidRPr="003A2B12">
        <w:rPr>
          <w:sz w:val="22"/>
          <w:szCs w:val="22"/>
        </w:rPr>
        <w:t>ation of</w:t>
      </w:r>
      <w:r w:rsidRPr="003A2B12">
        <w:rPr>
          <w:sz w:val="22"/>
          <w:szCs w:val="22"/>
        </w:rPr>
        <w:t xml:space="preserve"> the lifelong membership programs. </w:t>
      </w:r>
      <w:r w:rsidR="003A2B12" w:rsidRPr="003A2B12">
        <w:rPr>
          <w:sz w:val="22"/>
          <w:szCs w:val="22"/>
        </w:rPr>
        <w:t>Since then</w:t>
      </w:r>
      <w:r w:rsidR="001B75DD" w:rsidRPr="003A2B12">
        <w:rPr>
          <w:sz w:val="22"/>
          <w:szCs w:val="22"/>
        </w:rPr>
        <w:t xml:space="preserve">, </w:t>
      </w:r>
      <w:r w:rsidR="00BF22B2" w:rsidRPr="003A2B12">
        <w:rPr>
          <w:sz w:val="22"/>
          <w:szCs w:val="22"/>
        </w:rPr>
        <w:t xml:space="preserve">the </w:t>
      </w:r>
      <w:r w:rsidR="001B75DD" w:rsidRPr="003A2B12">
        <w:rPr>
          <w:sz w:val="22"/>
          <w:szCs w:val="22"/>
        </w:rPr>
        <w:t>C</w:t>
      </w:r>
      <w:r w:rsidR="000D623B" w:rsidRPr="003A2B12">
        <w:rPr>
          <w:sz w:val="22"/>
          <w:szCs w:val="22"/>
        </w:rPr>
        <w:t>ivil Court judg</w:t>
      </w:r>
      <w:r w:rsidR="001B75DD" w:rsidRPr="003A2B12">
        <w:rPr>
          <w:sz w:val="22"/>
          <w:szCs w:val="22"/>
        </w:rPr>
        <w:t xml:space="preserve">ed some cases and the Company </w:t>
      </w:r>
      <w:r w:rsidR="00BC3DC5" w:rsidRPr="003A2B12">
        <w:rPr>
          <w:sz w:val="22"/>
          <w:szCs w:val="22"/>
        </w:rPr>
        <w:t>and its subsidiary</w:t>
      </w:r>
      <w:r w:rsidR="00BC3DC5">
        <w:rPr>
          <w:rFonts w:cstheme="minorBidi"/>
          <w:sz w:val="22"/>
          <w:szCs w:val="22"/>
        </w:rPr>
        <w:t xml:space="preserve"> to continue the life long membership programs</w:t>
      </w:r>
      <w:r w:rsidR="000D623B" w:rsidRPr="003A2B12">
        <w:rPr>
          <w:sz w:val="22"/>
          <w:szCs w:val="22"/>
        </w:rPr>
        <w:t xml:space="preserve">. </w:t>
      </w:r>
      <w:r w:rsidR="003A2B12" w:rsidRPr="003A2B12">
        <w:rPr>
          <w:sz w:val="22"/>
          <w:szCs w:val="22"/>
        </w:rPr>
        <w:t>In the fourth quarter of 2018, the Court of Appeal affirmed the judgment of the Civil Court on some of the cases of the Company.  As at 31 December 2018, the Company and its subsidiary recorded a provision for contingent liabilities from litigation in case the Company and its subsidiary</w:t>
      </w:r>
      <w:r w:rsidR="003A2B12" w:rsidRPr="003A2B12">
        <w:rPr>
          <w:sz w:val="22"/>
          <w:szCs w:val="22"/>
          <w:cs/>
        </w:rPr>
        <w:t xml:space="preserve"> </w:t>
      </w:r>
      <w:r w:rsidR="003A2B12" w:rsidRPr="003A2B12">
        <w:rPr>
          <w:sz w:val="22"/>
          <w:szCs w:val="22"/>
        </w:rPr>
        <w:t xml:space="preserve">have to comply with the judgment. </w:t>
      </w:r>
      <w:r w:rsidR="000D623B" w:rsidRPr="003A2B12">
        <w:rPr>
          <w:sz w:val="22"/>
          <w:szCs w:val="22"/>
        </w:rPr>
        <w:t xml:space="preserve">However, the Company </w:t>
      </w:r>
      <w:r w:rsidR="003A2B12" w:rsidRPr="003A2B12">
        <w:rPr>
          <w:sz w:val="22"/>
          <w:szCs w:val="22"/>
        </w:rPr>
        <w:t>utili</w:t>
      </w:r>
      <w:r w:rsidR="00BC3DC5">
        <w:rPr>
          <w:sz w:val="22"/>
          <w:szCs w:val="22"/>
        </w:rPr>
        <w:t>s</w:t>
      </w:r>
      <w:r w:rsidR="003A2B12" w:rsidRPr="003A2B12">
        <w:rPr>
          <w:sz w:val="22"/>
          <w:szCs w:val="22"/>
        </w:rPr>
        <w:t>e its legal right to file an appeal and a petition against the ruling of the Civil Court</w:t>
      </w:r>
      <w:r w:rsidR="00BF22B2" w:rsidRPr="003A2B12">
        <w:rPr>
          <w:sz w:val="22"/>
          <w:szCs w:val="22"/>
        </w:rPr>
        <w:t>, and currently</w:t>
      </w:r>
      <w:r w:rsidRPr="003A2B12">
        <w:rPr>
          <w:sz w:val="22"/>
          <w:szCs w:val="22"/>
        </w:rPr>
        <w:t xml:space="preserve"> </w:t>
      </w:r>
      <w:r w:rsidR="00BF22B2" w:rsidRPr="003A2B12">
        <w:rPr>
          <w:sz w:val="22"/>
          <w:szCs w:val="22"/>
        </w:rPr>
        <w:t>the cases are not yet final</w:t>
      </w:r>
      <w:r w:rsidR="00BC3DC5">
        <w:rPr>
          <w:sz w:val="22"/>
          <w:szCs w:val="22"/>
        </w:rPr>
        <w:t>is</w:t>
      </w:r>
      <w:r w:rsidR="00BF22B2" w:rsidRPr="003A2B12">
        <w:rPr>
          <w:sz w:val="22"/>
          <w:szCs w:val="22"/>
        </w:rPr>
        <w:t>ed. T</w:t>
      </w:r>
      <w:r w:rsidRPr="003A2B12">
        <w:rPr>
          <w:sz w:val="22"/>
          <w:szCs w:val="22"/>
        </w:rPr>
        <w:t>he management needs to exercise significant judgement and take into account related laws and regulations in assessing the effects of the litigation, in order to determine the corresponding liabilities. However, the actual outcomes of the litigation may differ from the estimates. There are therefore risks with respect to the recognition of provision or disclosure of contingent liabilities with respect to the litigation.</w:t>
      </w:r>
      <w:r w:rsidR="000F028E" w:rsidRPr="003A2B12">
        <w:rPr>
          <w:sz w:val="22"/>
          <w:szCs w:val="22"/>
        </w:rPr>
        <w:t xml:space="preserve"> Therefore</w:t>
      </w:r>
      <w:r w:rsidR="009F55BF" w:rsidRPr="003A2B12">
        <w:rPr>
          <w:sz w:val="22"/>
          <w:szCs w:val="22"/>
        </w:rPr>
        <w:t>,</w:t>
      </w:r>
      <w:r w:rsidR="000F028E" w:rsidRPr="003A2B12">
        <w:rPr>
          <w:sz w:val="22"/>
          <w:szCs w:val="22"/>
        </w:rPr>
        <w:t xml:space="preserve"> </w:t>
      </w:r>
      <w:r w:rsidR="00215A26" w:rsidRPr="003A2B12">
        <w:rPr>
          <w:sz w:val="22"/>
          <w:szCs w:val="22"/>
        </w:rPr>
        <w:t>I g</w:t>
      </w:r>
      <w:r w:rsidR="000D623B" w:rsidRPr="003A2B12">
        <w:rPr>
          <w:sz w:val="22"/>
          <w:szCs w:val="22"/>
        </w:rPr>
        <w:t>ave</w:t>
      </w:r>
      <w:r w:rsidR="000F028E" w:rsidRPr="003A2B12">
        <w:rPr>
          <w:sz w:val="22"/>
          <w:szCs w:val="22"/>
        </w:rPr>
        <w:t xml:space="preserve"> </w:t>
      </w:r>
      <w:r w:rsidR="00215A26" w:rsidRPr="003A2B12">
        <w:rPr>
          <w:sz w:val="22"/>
          <w:szCs w:val="22"/>
        </w:rPr>
        <w:t>significant attention</w:t>
      </w:r>
      <w:r w:rsidR="000F028E" w:rsidRPr="003A2B12">
        <w:rPr>
          <w:sz w:val="22"/>
          <w:szCs w:val="22"/>
        </w:rPr>
        <w:t xml:space="preserve"> to the audit of </w:t>
      </w:r>
      <w:r w:rsidR="00B151D8" w:rsidRPr="003A2B12">
        <w:rPr>
          <w:sz w:val="22"/>
          <w:szCs w:val="22"/>
        </w:rPr>
        <w:t>this</w:t>
      </w:r>
      <w:r w:rsidR="000F028E" w:rsidRPr="003A2B12">
        <w:rPr>
          <w:sz w:val="22"/>
          <w:szCs w:val="22"/>
        </w:rPr>
        <w:t xml:space="preserve"> litigation.</w:t>
      </w:r>
    </w:p>
    <w:p w:rsidR="00FD02F9" w:rsidRPr="003A2B12" w:rsidRDefault="00FD02F9" w:rsidP="009C3D94">
      <w:pPr>
        <w:spacing w:before="120" w:after="120" w:line="380" w:lineRule="exact"/>
        <w:rPr>
          <w:rFonts w:ascii="Arial" w:hAnsi="Arial" w:cs="Arial"/>
          <w:szCs w:val="22"/>
        </w:rPr>
      </w:pPr>
      <w:r w:rsidRPr="003A2B12">
        <w:rPr>
          <w:rFonts w:ascii="Arial" w:hAnsi="Arial" w:cs="Arial"/>
          <w:szCs w:val="22"/>
        </w:rPr>
        <w:lastRenderedPageBreak/>
        <w:t>I inquired with the Company’s management and legal department regarding the procedures followed to collate and monitor lawsuits filed and pending as at the date of the financial statements, reviewed legal consultation fees to check the completeness of the litigation notified by the Company</w:t>
      </w:r>
      <w:r w:rsidR="00817C1B">
        <w:rPr>
          <w:rFonts w:ascii="Arial" w:hAnsi="Arial" w:hint="cs"/>
          <w:szCs w:val="22"/>
          <w:cs/>
        </w:rPr>
        <w:t xml:space="preserve"> </w:t>
      </w:r>
      <w:r w:rsidR="00817C1B">
        <w:rPr>
          <w:rFonts w:ascii="Arial" w:hAnsi="Arial"/>
          <w:szCs w:val="22"/>
        </w:rPr>
        <w:t xml:space="preserve">and </w:t>
      </w:r>
      <w:r w:rsidR="005D4565">
        <w:rPr>
          <w:rFonts w:ascii="Arial" w:hAnsi="Arial"/>
          <w:szCs w:val="22"/>
        </w:rPr>
        <w:t>its</w:t>
      </w:r>
      <w:r w:rsidR="00817C1B">
        <w:rPr>
          <w:rFonts w:ascii="Arial" w:hAnsi="Arial"/>
          <w:szCs w:val="22"/>
        </w:rPr>
        <w:t xml:space="preserve"> subsidiary</w:t>
      </w:r>
      <w:r w:rsidRPr="003A2B12">
        <w:rPr>
          <w:rFonts w:ascii="Arial" w:hAnsi="Arial" w:cs="Arial"/>
          <w:szCs w:val="22"/>
        </w:rPr>
        <w:t>, inquired about the details and progress of cases and the methods applied by the management in estimating liabilities from litigation, and assessed the judgement exercised by the management in estimating these liabilities. To carry out these proced</w:t>
      </w:r>
      <w:r w:rsidR="00BF22B2" w:rsidRPr="003A2B12">
        <w:rPr>
          <w:rFonts w:ascii="Arial" w:hAnsi="Arial" w:cs="Arial"/>
          <w:szCs w:val="22"/>
        </w:rPr>
        <w:t>ures, I performed the following:</w:t>
      </w:r>
    </w:p>
    <w:p w:rsidR="00FD02F9" w:rsidRPr="003A2B12" w:rsidRDefault="00FD02F9" w:rsidP="009C3D94">
      <w:pPr>
        <w:pStyle w:val="ps-000-normal"/>
        <w:numPr>
          <w:ilvl w:val="0"/>
          <w:numId w:val="7"/>
        </w:numPr>
        <w:spacing w:before="120" w:line="380" w:lineRule="exact"/>
        <w:ind w:left="540" w:hanging="540"/>
        <w:rPr>
          <w:rFonts w:ascii="Arial" w:hAnsi="Arial" w:cs="Arial"/>
          <w:sz w:val="22"/>
          <w:szCs w:val="22"/>
        </w:rPr>
      </w:pPr>
      <w:r w:rsidRPr="003A2B12">
        <w:rPr>
          <w:rFonts w:ascii="Arial" w:hAnsi="Arial" w:cs="Arial"/>
          <w:sz w:val="22"/>
          <w:szCs w:val="22"/>
        </w:rPr>
        <w:t>Reviewed relevant conditions and provisions of agreements, together with the claims and obje</w:t>
      </w:r>
      <w:r w:rsidR="00817C1B">
        <w:rPr>
          <w:rFonts w:ascii="Arial" w:hAnsi="Arial" w:cs="Arial"/>
          <w:sz w:val="22"/>
          <w:szCs w:val="22"/>
        </w:rPr>
        <w:t xml:space="preserve">ctions submitted by the Company, </w:t>
      </w:r>
      <w:r w:rsidR="00817C1B" w:rsidRPr="00817C1B">
        <w:rPr>
          <w:rFonts w:ascii="Arial" w:hAnsi="Arial" w:cs="Arial"/>
          <w:sz w:val="22"/>
          <w:szCs w:val="22"/>
        </w:rPr>
        <w:t>a subsidiary</w:t>
      </w:r>
      <w:r w:rsidR="00817C1B" w:rsidRPr="003A2B12">
        <w:rPr>
          <w:rFonts w:ascii="Arial" w:hAnsi="Arial" w:cs="Arial"/>
          <w:sz w:val="22"/>
          <w:szCs w:val="22"/>
        </w:rPr>
        <w:t xml:space="preserve"> </w:t>
      </w:r>
      <w:r w:rsidRPr="003A2B12">
        <w:rPr>
          <w:rFonts w:ascii="Arial" w:hAnsi="Arial" w:cs="Arial"/>
          <w:sz w:val="22"/>
          <w:szCs w:val="22"/>
        </w:rPr>
        <w:t xml:space="preserve">and counterparties to the court for the purpose of providing background </w:t>
      </w:r>
      <w:r w:rsidR="00BF22B2" w:rsidRPr="003A2B12">
        <w:rPr>
          <w:rFonts w:ascii="Arial" w:hAnsi="Arial" w:cs="Arial"/>
          <w:sz w:val="22"/>
          <w:szCs w:val="22"/>
        </w:rPr>
        <w:t>of</w:t>
      </w:r>
      <w:r w:rsidRPr="003A2B12">
        <w:rPr>
          <w:rFonts w:ascii="Arial" w:hAnsi="Arial" w:cs="Arial"/>
          <w:sz w:val="22"/>
          <w:szCs w:val="22"/>
        </w:rPr>
        <w:t xml:space="preserve"> the litigation.</w:t>
      </w:r>
    </w:p>
    <w:p w:rsidR="00FD02F9" w:rsidRPr="003A2B12" w:rsidRDefault="00FD02F9" w:rsidP="009C3D94">
      <w:pPr>
        <w:pStyle w:val="ps-000-normal"/>
        <w:numPr>
          <w:ilvl w:val="0"/>
          <w:numId w:val="7"/>
        </w:numPr>
        <w:spacing w:before="120" w:line="380" w:lineRule="exact"/>
        <w:ind w:left="540" w:hanging="540"/>
        <w:rPr>
          <w:rFonts w:ascii="Arial" w:hAnsi="Arial" w:cs="Arial"/>
          <w:sz w:val="22"/>
          <w:szCs w:val="22"/>
        </w:rPr>
      </w:pPr>
      <w:r w:rsidRPr="003A2B12">
        <w:rPr>
          <w:rFonts w:ascii="Arial" w:hAnsi="Arial" w:cs="Arial"/>
          <w:sz w:val="22"/>
          <w:szCs w:val="22"/>
        </w:rPr>
        <w:t>Reviewed correspondence</w:t>
      </w:r>
      <w:r w:rsidR="006C4D9A" w:rsidRPr="003A2B12">
        <w:rPr>
          <w:rFonts w:ascii="Arial" w:hAnsi="Arial" w:cs="Arial"/>
          <w:sz w:val="22"/>
          <w:szCs w:val="22"/>
        </w:rPr>
        <w:t>s</w:t>
      </w:r>
      <w:r w:rsidRPr="003A2B12">
        <w:rPr>
          <w:rFonts w:ascii="Arial" w:hAnsi="Arial" w:cs="Arial"/>
          <w:sz w:val="22"/>
          <w:szCs w:val="22"/>
        </w:rPr>
        <w:t xml:space="preserve"> between the Company</w:t>
      </w:r>
      <w:r w:rsidR="00817C1B">
        <w:rPr>
          <w:rFonts w:ascii="Arial" w:hAnsi="Arial" w:cs="Arial"/>
          <w:sz w:val="22"/>
          <w:szCs w:val="22"/>
        </w:rPr>
        <w:t xml:space="preserve">, </w:t>
      </w:r>
      <w:r w:rsidR="00817C1B" w:rsidRPr="00817C1B">
        <w:rPr>
          <w:rFonts w:ascii="Arial" w:hAnsi="Arial" w:cs="Arial"/>
          <w:sz w:val="22"/>
          <w:szCs w:val="22"/>
        </w:rPr>
        <w:t>a subsidiary</w:t>
      </w:r>
      <w:r w:rsidRPr="003A2B12">
        <w:rPr>
          <w:rFonts w:ascii="Arial" w:hAnsi="Arial" w:cs="Arial"/>
          <w:sz w:val="22"/>
          <w:szCs w:val="22"/>
        </w:rPr>
        <w:t xml:space="preserve"> and the legal consultant</w:t>
      </w:r>
      <w:r w:rsidR="000D623B" w:rsidRPr="003A2B12">
        <w:rPr>
          <w:rFonts w:ascii="Arial" w:hAnsi="Arial" w:cs="Arial"/>
          <w:sz w:val="22"/>
          <w:szCs w:val="22"/>
        </w:rPr>
        <w:t>s</w:t>
      </w:r>
      <w:r w:rsidRPr="003A2B12">
        <w:rPr>
          <w:rFonts w:ascii="Arial" w:hAnsi="Arial" w:cs="Arial"/>
          <w:sz w:val="22"/>
          <w:szCs w:val="22"/>
        </w:rPr>
        <w:t xml:space="preserve"> involved in the litigation,</w:t>
      </w:r>
      <w:r w:rsidR="003F209E" w:rsidRPr="003A2B12">
        <w:rPr>
          <w:rFonts w:ascii="Arial" w:hAnsi="Arial" w:cs="Arial"/>
          <w:sz w:val="22"/>
          <w:szCs w:val="22"/>
        </w:rPr>
        <w:t xml:space="preserve"> including </w:t>
      </w:r>
      <w:r w:rsidR="006C4D9A" w:rsidRPr="003A2B12">
        <w:rPr>
          <w:rFonts w:ascii="Arial" w:hAnsi="Arial" w:cs="Arial"/>
          <w:sz w:val="22"/>
          <w:szCs w:val="22"/>
        </w:rPr>
        <w:t>the</w:t>
      </w:r>
      <w:r w:rsidR="00D22F69">
        <w:rPr>
          <w:rFonts w:ascii="Arial" w:hAnsi="Arial" w:cstheme="minorBidi" w:hint="cs"/>
          <w:sz w:val="22"/>
          <w:szCs w:val="22"/>
          <w:cs/>
        </w:rPr>
        <w:t xml:space="preserve"> </w:t>
      </w:r>
      <w:r w:rsidR="00D22F69">
        <w:rPr>
          <w:rFonts w:ascii="Arial" w:hAnsi="Arial" w:cstheme="minorBidi"/>
          <w:sz w:val="22"/>
          <w:szCs w:val="22"/>
        </w:rPr>
        <w:t xml:space="preserve">Company and </w:t>
      </w:r>
      <w:r w:rsidR="005D4565">
        <w:rPr>
          <w:rFonts w:ascii="Arial" w:hAnsi="Arial" w:cstheme="minorBidi"/>
          <w:sz w:val="22"/>
          <w:szCs w:val="22"/>
        </w:rPr>
        <w:t>its</w:t>
      </w:r>
      <w:r w:rsidR="00D22F69">
        <w:rPr>
          <w:rFonts w:ascii="Arial" w:hAnsi="Arial" w:cstheme="minorBidi"/>
          <w:sz w:val="22"/>
          <w:szCs w:val="22"/>
        </w:rPr>
        <w:t xml:space="preserve"> subsidiary’s</w:t>
      </w:r>
      <w:r w:rsidR="006C4D9A" w:rsidRPr="003A2B12">
        <w:rPr>
          <w:rFonts w:ascii="Arial" w:hAnsi="Arial" w:cs="Arial"/>
          <w:sz w:val="22"/>
          <w:szCs w:val="22"/>
        </w:rPr>
        <w:t xml:space="preserve"> </w:t>
      </w:r>
      <w:r w:rsidR="003F209E" w:rsidRPr="003A2B12">
        <w:rPr>
          <w:rFonts w:ascii="Arial" w:hAnsi="Arial" w:cs="Arial"/>
          <w:sz w:val="22"/>
          <w:szCs w:val="22"/>
        </w:rPr>
        <w:t xml:space="preserve">Civil Court’s </w:t>
      </w:r>
      <w:r w:rsidR="009C621E" w:rsidRPr="003A2B12">
        <w:rPr>
          <w:rFonts w:ascii="Arial" w:hAnsi="Arial" w:cs="Arial"/>
          <w:sz w:val="22"/>
          <w:szCs w:val="22"/>
        </w:rPr>
        <w:t xml:space="preserve">and </w:t>
      </w:r>
      <w:r w:rsidR="00977B92">
        <w:rPr>
          <w:rFonts w:ascii="Arial" w:hAnsi="Arial" w:cs="Arial"/>
          <w:sz w:val="22"/>
          <w:szCs w:val="22"/>
        </w:rPr>
        <w:t xml:space="preserve">the Court of </w:t>
      </w:r>
      <w:r w:rsidR="009C621E" w:rsidRPr="003A2B12">
        <w:rPr>
          <w:rFonts w:ascii="Arial" w:hAnsi="Arial" w:cs="Arial"/>
          <w:sz w:val="22"/>
          <w:szCs w:val="22"/>
        </w:rPr>
        <w:t xml:space="preserve">Appeal’s </w:t>
      </w:r>
      <w:r w:rsidR="003F209E" w:rsidRPr="003A2B12">
        <w:rPr>
          <w:rFonts w:ascii="Arial" w:hAnsi="Arial" w:cs="Arial"/>
          <w:sz w:val="22"/>
          <w:szCs w:val="22"/>
        </w:rPr>
        <w:t>verdicts, appeals</w:t>
      </w:r>
      <w:r w:rsidR="009C621E" w:rsidRPr="003A2B12">
        <w:rPr>
          <w:rFonts w:ascii="Arial" w:hAnsi="Arial" w:cs="Arial"/>
          <w:sz w:val="22"/>
          <w:szCs w:val="22"/>
        </w:rPr>
        <w:t>, petition</w:t>
      </w:r>
      <w:r w:rsidR="003F209E" w:rsidRPr="003A2B12">
        <w:rPr>
          <w:rFonts w:ascii="Arial" w:hAnsi="Arial" w:cs="Arial"/>
          <w:sz w:val="22"/>
          <w:szCs w:val="22"/>
        </w:rPr>
        <w:t xml:space="preserve"> </w:t>
      </w:r>
      <w:r w:rsidRPr="003A2B12">
        <w:rPr>
          <w:rFonts w:ascii="Arial" w:hAnsi="Arial" w:cs="Arial"/>
          <w:sz w:val="22"/>
          <w:szCs w:val="22"/>
        </w:rPr>
        <w:t>and relevant supporting documentation used by management and prepared by external experts, and sent confirmation letters to the legal consultant</w:t>
      </w:r>
      <w:r w:rsidR="006C4D9A" w:rsidRPr="003A2B12">
        <w:rPr>
          <w:rFonts w:ascii="Arial" w:hAnsi="Arial" w:cs="Arial"/>
          <w:sz w:val="22"/>
          <w:szCs w:val="22"/>
        </w:rPr>
        <w:t>s</w:t>
      </w:r>
      <w:r w:rsidRPr="003A2B12">
        <w:rPr>
          <w:rFonts w:ascii="Arial" w:hAnsi="Arial" w:cs="Arial"/>
          <w:sz w:val="22"/>
          <w:szCs w:val="22"/>
        </w:rPr>
        <w:t xml:space="preserve"> whose services were used by the Company</w:t>
      </w:r>
      <w:r w:rsidR="00817C1B">
        <w:rPr>
          <w:rFonts w:ascii="Arial" w:hAnsi="Arial" w:cs="Arial"/>
          <w:sz w:val="22"/>
          <w:szCs w:val="22"/>
        </w:rPr>
        <w:t xml:space="preserve"> and </w:t>
      </w:r>
      <w:r w:rsidR="005D4565">
        <w:rPr>
          <w:rFonts w:ascii="Arial" w:hAnsi="Arial" w:cs="Arial"/>
          <w:sz w:val="22"/>
          <w:szCs w:val="22"/>
        </w:rPr>
        <w:t>its</w:t>
      </w:r>
      <w:r w:rsidR="00817C1B" w:rsidRPr="00817C1B">
        <w:rPr>
          <w:rFonts w:ascii="Arial" w:hAnsi="Arial" w:cs="Arial"/>
          <w:sz w:val="22"/>
          <w:szCs w:val="22"/>
        </w:rPr>
        <w:t xml:space="preserve"> subsidiary</w:t>
      </w:r>
      <w:r w:rsidRPr="003A2B12">
        <w:rPr>
          <w:rFonts w:ascii="Arial" w:hAnsi="Arial" w:cs="Arial"/>
          <w:sz w:val="22"/>
          <w:szCs w:val="22"/>
        </w:rPr>
        <w:t xml:space="preserve"> requesting written reports on case details and status, and legal opinions on the possible effects of the litigation on the Company</w:t>
      </w:r>
      <w:r w:rsidR="00F96ED9">
        <w:rPr>
          <w:rFonts w:ascii="Arial" w:hAnsi="Arial" w:cs="Arial"/>
          <w:sz w:val="22"/>
          <w:szCs w:val="22"/>
        </w:rPr>
        <w:t xml:space="preserve"> and </w:t>
      </w:r>
      <w:r w:rsidR="005D4565">
        <w:rPr>
          <w:rFonts w:ascii="Arial" w:hAnsi="Arial" w:cs="Arial"/>
          <w:sz w:val="22"/>
          <w:szCs w:val="22"/>
        </w:rPr>
        <w:t>its</w:t>
      </w:r>
      <w:r w:rsidR="00F96ED9">
        <w:rPr>
          <w:rFonts w:ascii="Arial" w:hAnsi="Arial" w:cs="Arial"/>
          <w:sz w:val="22"/>
          <w:szCs w:val="22"/>
        </w:rPr>
        <w:t xml:space="preserve"> subsidiary</w:t>
      </w:r>
      <w:r w:rsidRPr="003A2B12">
        <w:rPr>
          <w:rFonts w:ascii="Arial" w:hAnsi="Arial" w:cs="Arial"/>
          <w:sz w:val="22"/>
          <w:szCs w:val="22"/>
        </w:rPr>
        <w:t>. I als</w:t>
      </w:r>
      <w:r w:rsidR="006C4D9A" w:rsidRPr="003A2B12">
        <w:rPr>
          <w:rFonts w:ascii="Arial" w:hAnsi="Arial" w:cs="Arial"/>
          <w:sz w:val="22"/>
          <w:szCs w:val="22"/>
        </w:rPr>
        <w:t>o assessed the legal consultant</w:t>
      </w:r>
      <w:r w:rsidRPr="003A2B12">
        <w:rPr>
          <w:rFonts w:ascii="Arial" w:hAnsi="Arial" w:cs="Arial"/>
          <w:sz w:val="22"/>
          <w:szCs w:val="22"/>
        </w:rPr>
        <w:t>s</w:t>
      </w:r>
      <w:r w:rsidR="006C4D9A" w:rsidRPr="003A2B12">
        <w:rPr>
          <w:rFonts w:ascii="Arial" w:hAnsi="Arial" w:cs="Arial"/>
          <w:sz w:val="22"/>
          <w:szCs w:val="22"/>
        </w:rPr>
        <w:t>’</w:t>
      </w:r>
      <w:r w:rsidRPr="003A2B12">
        <w:rPr>
          <w:rFonts w:ascii="Arial" w:hAnsi="Arial" w:cs="Arial"/>
          <w:sz w:val="22"/>
          <w:szCs w:val="22"/>
        </w:rPr>
        <w:t xml:space="preserve"> competence, experiences, independence and </w:t>
      </w:r>
      <w:r w:rsidR="00F96ED9">
        <w:rPr>
          <w:rFonts w:ascii="Arial" w:hAnsi="Arial" w:cs="Arial"/>
          <w:sz w:val="22"/>
          <w:szCs w:val="22"/>
        </w:rPr>
        <w:t>object</w:t>
      </w:r>
      <w:r w:rsidR="00F96ED9" w:rsidRPr="003A2B12">
        <w:rPr>
          <w:rFonts w:ascii="Arial" w:hAnsi="Arial" w:cs="Arial"/>
          <w:sz w:val="22"/>
          <w:szCs w:val="22"/>
        </w:rPr>
        <w:t>ivity</w:t>
      </w:r>
      <w:r w:rsidRPr="003A2B12">
        <w:rPr>
          <w:rFonts w:ascii="Arial" w:hAnsi="Arial" w:cs="Arial"/>
          <w:sz w:val="22"/>
          <w:szCs w:val="22"/>
        </w:rPr>
        <w:t xml:space="preserve"> in accordance with relevant auditing standards, and I considered whether the legal principles and regulations and leading cases referred to by the legal consultant</w:t>
      </w:r>
      <w:r w:rsidR="006C4D9A" w:rsidRPr="003A2B12">
        <w:rPr>
          <w:rFonts w:ascii="Arial" w:hAnsi="Arial" w:cs="Arial"/>
          <w:sz w:val="22"/>
          <w:szCs w:val="22"/>
        </w:rPr>
        <w:t>s</w:t>
      </w:r>
      <w:r w:rsidRPr="003A2B12">
        <w:rPr>
          <w:rFonts w:ascii="Arial" w:hAnsi="Arial" w:cs="Arial"/>
          <w:sz w:val="22"/>
          <w:szCs w:val="22"/>
        </w:rPr>
        <w:t xml:space="preserve"> were relevant to the Company</w:t>
      </w:r>
      <w:r w:rsidR="00817C1B">
        <w:rPr>
          <w:rFonts w:ascii="Arial" w:hAnsi="Arial" w:cs="Arial"/>
          <w:sz w:val="22"/>
          <w:szCs w:val="22"/>
        </w:rPr>
        <w:t xml:space="preserve"> and </w:t>
      </w:r>
      <w:r w:rsidR="005D4565">
        <w:rPr>
          <w:rFonts w:ascii="Arial" w:hAnsi="Arial" w:cs="Arial"/>
          <w:sz w:val="22"/>
          <w:szCs w:val="22"/>
        </w:rPr>
        <w:t>its</w:t>
      </w:r>
      <w:r w:rsidR="00817C1B" w:rsidRPr="00817C1B">
        <w:rPr>
          <w:rFonts w:ascii="Arial" w:hAnsi="Arial" w:cs="Arial"/>
          <w:sz w:val="22"/>
          <w:szCs w:val="22"/>
        </w:rPr>
        <w:t xml:space="preserve"> subsidiary</w:t>
      </w:r>
      <w:r w:rsidR="00F96ED9">
        <w:rPr>
          <w:rFonts w:ascii="Arial" w:hAnsi="Arial" w:cs="Arial"/>
          <w:sz w:val="22"/>
          <w:szCs w:val="22"/>
        </w:rPr>
        <w:t>’s</w:t>
      </w:r>
      <w:r w:rsidRPr="003A2B12">
        <w:rPr>
          <w:rFonts w:ascii="Arial" w:hAnsi="Arial" w:cs="Arial"/>
          <w:sz w:val="22"/>
          <w:szCs w:val="22"/>
        </w:rPr>
        <w:t xml:space="preserve"> litigation.</w:t>
      </w:r>
    </w:p>
    <w:p w:rsidR="00FD02F9" w:rsidRPr="003A2B12" w:rsidRDefault="00FD02F9" w:rsidP="009C3D94">
      <w:pPr>
        <w:pStyle w:val="ps-000-normal"/>
        <w:numPr>
          <w:ilvl w:val="0"/>
          <w:numId w:val="7"/>
        </w:numPr>
        <w:spacing w:before="120" w:line="380" w:lineRule="exact"/>
        <w:ind w:left="540" w:hanging="540"/>
        <w:rPr>
          <w:rFonts w:ascii="Arial" w:hAnsi="Arial" w:cs="Arial"/>
          <w:sz w:val="22"/>
          <w:szCs w:val="22"/>
        </w:rPr>
      </w:pPr>
      <w:r w:rsidRPr="003A2B12">
        <w:rPr>
          <w:rFonts w:ascii="Arial" w:hAnsi="Arial" w:cs="Arial"/>
          <w:sz w:val="22"/>
          <w:szCs w:val="22"/>
        </w:rPr>
        <w:t xml:space="preserve">I assessed the </w:t>
      </w:r>
      <w:r w:rsidR="009C621E" w:rsidRPr="003A2B12">
        <w:rPr>
          <w:rFonts w:ascii="Arial" w:hAnsi="Arial" w:cs="Arial"/>
          <w:sz w:val="22"/>
          <w:szCs w:val="22"/>
        </w:rPr>
        <w:t>actuary competence, experiences and</w:t>
      </w:r>
      <w:r w:rsidRPr="003A2B12">
        <w:rPr>
          <w:rFonts w:ascii="Arial" w:hAnsi="Arial" w:cs="Arial"/>
          <w:sz w:val="22"/>
          <w:szCs w:val="22"/>
        </w:rPr>
        <w:t xml:space="preserve"> independence in accordance with relevant auditing standards, </w:t>
      </w:r>
      <w:r w:rsidR="009C621E" w:rsidRPr="003A2B12">
        <w:rPr>
          <w:rFonts w:ascii="Arial" w:hAnsi="Arial" w:cs="Arial"/>
          <w:sz w:val="22"/>
          <w:szCs w:val="22"/>
        </w:rPr>
        <w:t>relating to the consideration of the various assumptions to estimate the contingent liabilities for continuation of lifelong membership programs</w:t>
      </w:r>
      <w:r w:rsidRPr="003A2B12">
        <w:rPr>
          <w:rFonts w:ascii="Arial" w:hAnsi="Arial" w:cs="Arial"/>
          <w:sz w:val="22"/>
          <w:szCs w:val="22"/>
        </w:rPr>
        <w:t>.</w:t>
      </w:r>
    </w:p>
    <w:p w:rsidR="00FD02F9" w:rsidRPr="003A2B12" w:rsidRDefault="00FD02F9" w:rsidP="009C3D94">
      <w:pPr>
        <w:spacing w:before="120" w:after="120" w:line="380" w:lineRule="exact"/>
        <w:rPr>
          <w:rFonts w:ascii="Arial" w:hAnsi="Arial" w:cs="Arial"/>
          <w:szCs w:val="22"/>
        </w:rPr>
      </w:pPr>
      <w:r w:rsidRPr="003A2B12">
        <w:rPr>
          <w:rFonts w:ascii="Arial" w:hAnsi="Arial" w:cs="Arial"/>
          <w:szCs w:val="22"/>
        </w:rPr>
        <w:t xml:space="preserve">In addition, I reviewed the disclosure of information relating to </w:t>
      </w:r>
      <w:r w:rsidR="0010375B" w:rsidRPr="003A2B12">
        <w:rPr>
          <w:rFonts w:ascii="Arial" w:hAnsi="Arial" w:cs="Arial"/>
          <w:szCs w:val="22"/>
        </w:rPr>
        <w:t>litigation in the n</w:t>
      </w:r>
      <w:r w:rsidRPr="003A2B12">
        <w:rPr>
          <w:rFonts w:ascii="Arial" w:hAnsi="Arial" w:cs="Arial"/>
          <w:szCs w:val="22"/>
        </w:rPr>
        <w:t>otes to the financial statements.</w:t>
      </w:r>
    </w:p>
    <w:p w:rsidR="002577C1" w:rsidRPr="003A2B12" w:rsidRDefault="002577C1" w:rsidP="009C3D94">
      <w:pPr>
        <w:spacing w:before="120" w:after="120" w:line="380" w:lineRule="exact"/>
        <w:rPr>
          <w:rFonts w:ascii="Arial" w:hAnsi="Arial" w:cs="Arial"/>
          <w:b/>
          <w:bCs/>
          <w:szCs w:val="22"/>
        </w:rPr>
      </w:pPr>
      <w:r w:rsidRPr="003A2B12">
        <w:rPr>
          <w:rFonts w:ascii="Arial" w:hAnsi="Arial" w:cs="Arial"/>
          <w:b/>
          <w:bCs/>
          <w:szCs w:val="22"/>
        </w:rPr>
        <w:t>Other Information</w:t>
      </w:r>
    </w:p>
    <w:p w:rsidR="00A56488" w:rsidRPr="003A2B12" w:rsidRDefault="00A56488" w:rsidP="009C3D94">
      <w:pPr>
        <w:pStyle w:val="ps-000-normal"/>
        <w:spacing w:before="80" w:after="80" w:line="380" w:lineRule="exact"/>
        <w:rPr>
          <w:rFonts w:ascii="Arial" w:hAnsi="Arial" w:cs="Arial"/>
          <w:sz w:val="22"/>
          <w:szCs w:val="22"/>
        </w:rPr>
      </w:pPr>
      <w:r w:rsidRPr="003A2B12">
        <w:rPr>
          <w:rFonts w:ascii="Arial" w:hAnsi="Arial" w:cs="Arial"/>
          <w:sz w:val="22"/>
          <w:szCs w:val="22"/>
        </w:rPr>
        <w:t>Management is responsible for the other information. The other information comprise</w:t>
      </w:r>
      <w:r w:rsidR="00BC05D3" w:rsidRPr="003A2B12">
        <w:rPr>
          <w:rFonts w:ascii="Arial" w:hAnsi="Arial" w:cs="Arial"/>
          <w:sz w:val="22"/>
          <w:szCs w:val="22"/>
        </w:rPr>
        <w:t>s</w:t>
      </w:r>
      <w:r w:rsidRPr="003A2B12">
        <w:rPr>
          <w:rFonts w:ascii="Arial" w:hAnsi="Arial" w:cs="Arial"/>
          <w:sz w:val="22"/>
          <w:szCs w:val="22"/>
        </w:rPr>
        <w:t xml:space="preserve"> the information included in annual report of the Group, but does not include the financial statements and my auditor’s report thereon. The annual report of the Group is expected to be made available to me after the date of this auditor’s report.</w:t>
      </w:r>
    </w:p>
    <w:p w:rsidR="00A56488" w:rsidRPr="003A2B12" w:rsidRDefault="00A56488" w:rsidP="009C3D94">
      <w:pPr>
        <w:pStyle w:val="ps-000-normal"/>
        <w:spacing w:before="80" w:after="80" w:line="380" w:lineRule="exact"/>
        <w:rPr>
          <w:rFonts w:ascii="Arial" w:hAnsi="Arial" w:cs="Arial"/>
          <w:sz w:val="22"/>
          <w:szCs w:val="22"/>
        </w:rPr>
      </w:pPr>
      <w:r w:rsidRPr="003A2B12">
        <w:rPr>
          <w:rFonts w:ascii="Arial" w:hAnsi="Arial" w:cs="Arial"/>
          <w:sz w:val="22"/>
          <w:szCs w:val="22"/>
        </w:rPr>
        <w:t>My opinion on the financial statements does not cover the other information and I do not express any form of assurance conclusion thereon.</w:t>
      </w:r>
    </w:p>
    <w:p w:rsidR="00A56488" w:rsidRPr="003A2B12" w:rsidRDefault="00A56488" w:rsidP="009C3D94">
      <w:pPr>
        <w:pStyle w:val="ps-000-normal"/>
        <w:spacing w:before="80" w:after="80" w:line="380" w:lineRule="exact"/>
        <w:rPr>
          <w:rFonts w:ascii="Arial" w:hAnsi="Arial" w:cs="Arial"/>
          <w:sz w:val="22"/>
          <w:szCs w:val="22"/>
        </w:rPr>
      </w:pPr>
      <w:r w:rsidRPr="003A2B12">
        <w:rPr>
          <w:rFonts w:ascii="Arial" w:hAnsi="Arial" w:cs="Arial"/>
          <w:sz w:val="22"/>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A56488" w:rsidRPr="003A2B12" w:rsidRDefault="00A56488" w:rsidP="009C3D94">
      <w:pPr>
        <w:pStyle w:val="ps-000-normal"/>
        <w:spacing w:before="120" w:line="380" w:lineRule="exact"/>
        <w:rPr>
          <w:rFonts w:ascii="Arial" w:hAnsi="Arial" w:cs="Arial"/>
          <w:sz w:val="22"/>
          <w:szCs w:val="22"/>
        </w:rPr>
      </w:pPr>
      <w:r w:rsidRPr="003A2B12">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2577C1" w:rsidRPr="003A2B12" w:rsidRDefault="002577C1" w:rsidP="009C3D94">
      <w:pPr>
        <w:spacing w:before="120" w:after="120" w:line="380" w:lineRule="exact"/>
        <w:rPr>
          <w:rFonts w:ascii="Arial" w:hAnsi="Arial" w:cs="Arial"/>
          <w:b/>
          <w:bCs/>
          <w:szCs w:val="22"/>
        </w:rPr>
      </w:pPr>
      <w:r w:rsidRPr="003A2B12">
        <w:rPr>
          <w:rFonts w:ascii="Arial" w:hAnsi="Arial" w:cs="Arial"/>
          <w:b/>
          <w:bCs/>
          <w:szCs w:val="22"/>
        </w:rPr>
        <w:t>Responsibilities of Management and Those Charged with Governance for the Financial Statements</w:t>
      </w:r>
    </w:p>
    <w:p w:rsidR="002577C1" w:rsidRPr="003A2B12" w:rsidRDefault="002577C1" w:rsidP="009C3D94">
      <w:pPr>
        <w:spacing w:before="120" w:after="120" w:line="380" w:lineRule="exact"/>
        <w:rPr>
          <w:rFonts w:ascii="Arial" w:hAnsi="Arial" w:cs="Arial"/>
          <w:szCs w:val="22"/>
        </w:rPr>
      </w:pPr>
      <w:r w:rsidRPr="003A2B12">
        <w:rPr>
          <w:rFonts w:ascii="Arial" w:hAnsi="Arial" w:cs="Arial"/>
          <w:szCs w:val="22"/>
        </w:rPr>
        <w:t xml:space="preserve">Management is responsible for the preparation and fair presentation of the financial statements in accordance with </w:t>
      </w:r>
      <w:r w:rsidR="00E72623" w:rsidRPr="003A2B12">
        <w:rPr>
          <w:rFonts w:ascii="Arial" w:hAnsi="Arial" w:cs="Arial"/>
          <w:szCs w:val="22"/>
        </w:rPr>
        <w:t xml:space="preserve">Thai </w:t>
      </w:r>
      <w:r w:rsidR="001E6EFB" w:rsidRPr="003A2B12">
        <w:rPr>
          <w:rFonts w:ascii="Arial" w:hAnsi="Arial" w:cs="Arial"/>
          <w:szCs w:val="22"/>
        </w:rPr>
        <w:t>F</w:t>
      </w:r>
      <w:r w:rsidR="00E72623" w:rsidRPr="003A2B12">
        <w:rPr>
          <w:rFonts w:ascii="Arial" w:hAnsi="Arial" w:cs="Arial"/>
          <w:szCs w:val="22"/>
        </w:rPr>
        <w:t xml:space="preserve">inancial </w:t>
      </w:r>
      <w:r w:rsidR="001E6EFB" w:rsidRPr="003A2B12">
        <w:rPr>
          <w:rFonts w:ascii="Arial" w:hAnsi="Arial" w:cs="Arial"/>
          <w:szCs w:val="22"/>
        </w:rPr>
        <w:t>R</w:t>
      </w:r>
      <w:r w:rsidR="00E72623" w:rsidRPr="003A2B12">
        <w:rPr>
          <w:rFonts w:ascii="Arial" w:hAnsi="Arial" w:cs="Arial"/>
          <w:szCs w:val="22"/>
        </w:rPr>
        <w:t>eporting Standards,</w:t>
      </w:r>
      <w:r w:rsidRPr="003A2B12">
        <w:rPr>
          <w:rFonts w:ascii="Arial" w:hAnsi="Arial" w:cs="Arial"/>
          <w:szCs w:val="22"/>
        </w:rPr>
        <w:t xml:space="preserve"> and for such internal control as management determines is necessary to enable the preparation of financial statements that are free from material misstatement, whether due to fraud or error. </w:t>
      </w:r>
    </w:p>
    <w:p w:rsidR="002577C1" w:rsidRPr="003A2B12" w:rsidRDefault="002577C1" w:rsidP="009C3D94">
      <w:pPr>
        <w:spacing w:before="120" w:after="120" w:line="380" w:lineRule="exact"/>
        <w:rPr>
          <w:rFonts w:ascii="Arial" w:hAnsi="Arial" w:cs="Arial"/>
          <w:szCs w:val="22"/>
        </w:rPr>
      </w:pPr>
      <w:r w:rsidRPr="003A2B12">
        <w:rPr>
          <w:rFonts w:ascii="Arial" w:hAnsi="Arial" w:cs="Arial"/>
          <w:szCs w:val="22"/>
        </w:rPr>
        <w:t xml:space="preserve">In preparing the financial statements, management is responsible for assessing the </w:t>
      </w:r>
      <w:r w:rsidR="00A56488" w:rsidRPr="003A2B12">
        <w:rPr>
          <w:rFonts w:ascii="Arial" w:hAnsi="Arial" w:cs="Arial"/>
          <w:szCs w:val="22"/>
        </w:rPr>
        <w:t>Group</w:t>
      </w:r>
      <w:r w:rsidRPr="003A2B12">
        <w:rPr>
          <w:rFonts w:ascii="Arial" w:hAnsi="Arial" w:cs="Arial"/>
          <w:szCs w:val="22"/>
        </w:rPr>
        <w:t>’s ability to continue as a going concern, disclosing, as applicable, matters related to going concern and</w:t>
      </w:r>
      <w:r w:rsidR="00E72623" w:rsidRPr="003A2B12">
        <w:rPr>
          <w:rFonts w:ascii="Arial" w:hAnsi="Arial" w:cs="Arial"/>
          <w:szCs w:val="22"/>
        </w:rPr>
        <w:t xml:space="preserve"> </w:t>
      </w:r>
      <w:r w:rsidRPr="003A2B12">
        <w:rPr>
          <w:rFonts w:ascii="Arial" w:hAnsi="Arial" w:cs="Arial"/>
          <w:szCs w:val="22"/>
        </w:rPr>
        <w:t xml:space="preserve">using the going concern basis of accounting unless management either intends to liquidate the </w:t>
      </w:r>
      <w:r w:rsidR="00A56488" w:rsidRPr="003A2B12">
        <w:rPr>
          <w:rFonts w:ascii="Arial" w:hAnsi="Arial" w:cs="Arial"/>
          <w:szCs w:val="22"/>
        </w:rPr>
        <w:t>Group</w:t>
      </w:r>
      <w:r w:rsidRPr="003A2B12">
        <w:rPr>
          <w:rFonts w:ascii="Arial" w:hAnsi="Arial" w:cs="Arial"/>
          <w:szCs w:val="22"/>
        </w:rPr>
        <w:t xml:space="preserve"> or to cease operations, or has no realistic alternative but to do so. </w:t>
      </w:r>
    </w:p>
    <w:p w:rsidR="00C91ABA" w:rsidRPr="003A2B12" w:rsidRDefault="002577C1" w:rsidP="009C3D94">
      <w:pPr>
        <w:spacing w:before="120" w:after="120" w:line="380" w:lineRule="exact"/>
        <w:rPr>
          <w:rFonts w:ascii="Arial" w:hAnsi="Arial" w:cs="Arial"/>
          <w:szCs w:val="22"/>
        </w:rPr>
      </w:pPr>
      <w:r w:rsidRPr="003A2B12">
        <w:rPr>
          <w:rFonts w:ascii="Arial" w:hAnsi="Arial" w:cs="Arial"/>
          <w:szCs w:val="22"/>
        </w:rPr>
        <w:t xml:space="preserve">Those charged with governance are responsible for overseeing the </w:t>
      </w:r>
      <w:r w:rsidR="00A56488" w:rsidRPr="003A2B12">
        <w:rPr>
          <w:rFonts w:ascii="Arial" w:hAnsi="Arial" w:cs="Arial"/>
          <w:szCs w:val="22"/>
        </w:rPr>
        <w:t>Group</w:t>
      </w:r>
      <w:r w:rsidRPr="003A2B12">
        <w:rPr>
          <w:rFonts w:ascii="Arial" w:hAnsi="Arial" w:cs="Arial"/>
          <w:szCs w:val="22"/>
        </w:rPr>
        <w:t>’s financial reporting process.</w:t>
      </w:r>
    </w:p>
    <w:p w:rsidR="00A56488" w:rsidRPr="003A2B12" w:rsidRDefault="00A56488" w:rsidP="009C3D94">
      <w:pPr>
        <w:spacing w:before="120" w:after="120" w:line="380" w:lineRule="exact"/>
        <w:rPr>
          <w:rFonts w:ascii="Arial" w:hAnsi="Arial" w:cs="Arial"/>
          <w:b/>
          <w:bCs/>
          <w:szCs w:val="22"/>
        </w:rPr>
      </w:pPr>
      <w:r w:rsidRPr="003A2B12">
        <w:rPr>
          <w:rFonts w:ascii="Arial" w:hAnsi="Arial" w:cs="Arial"/>
          <w:b/>
          <w:bCs/>
          <w:szCs w:val="22"/>
        </w:rPr>
        <w:t>Auditor’s Responsibilities for the Audit of the Financial Statements</w:t>
      </w:r>
    </w:p>
    <w:p w:rsidR="00A56488" w:rsidRPr="003A2B12" w:rsidRDefault="00A56488" w:rsidP="009C3D94">
      <w:pPr>
        <w:spacing w:before="120" w:after="120" w:line="380" w:lineRule="exact"/>
        <w:rPr>
          <w:rFonts w:ascii="Arial" w:hAnsi="Arial" w:cs="Arial"/>
          <w:szCs w:val="22"/>
        </w:rPr>
      </w:pPr>
      <w:r w:rsidRPr="003A2B12">
        <w:rPr>
          <w:rFonts w:ascii="Arial" w:hAnsi="Arial" w:cs="Arial"/>
          <w:szCs w:val="22"/>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A56488" w:rsidRPr="003A2B12" w:rsidRDefault="00A56488" w:rsidP="009C3D94">
      <w:pPr>
        <w:pStyle w:val="ps-000-normal"/>
        <w:spacing w:before="120" w:line="380" w:lineRule="exact"/>
        <w:rPr>
          <w:rFonts w:ascii="Arial" w:hAnsi="Arial" w:cs="Arial"/>
          <w:sz w:val="22"/>
          <w:szCs w:val="22"/>
        </w:rPr>
      </w:pPr>
      <w:r w:rsidRPr="003A2B12">
        <w:rPr>
          <w:rFonts w:ascii="Arial" w:hAnsi="Arial" w:cs="Arial"/>
          <w:sz w:val="22"/>
          <w:szCs w:val="22"/>
        </w:rPr>
        <w:t>As part of an audit in accordance with Thai Standards on Auditing, I exercise professional judgement and maintain professional skepticism throughout the audit. I also:</w:t>
      </w:r>
    </w:p>
    <w:p w:rsidR="00977B92" w:rsidRDefault="00977B92">
      <w:pPr>
        <w:spacing w:after="160" w:line="259" w:lineRule="auto"/>
        <w:rPr>
          <w:rFonts w:ascii="Arial" w:eastAsia="Times New Roman" w:hAnsi="Arial" w:cs="Arial"/>
          <w:color w:val="000000"/>
          <w:szCs w:val="22"/>
        </w:rPr>
      </w:pPr>
      <w:r>
        <w:rPr>
          <w:rFonts w:ascii="Arial" w:hAnsi="Arial" w:cs="Arial"/>
          <w:szCs w:val="22"/>
        </w:rPr>
        <w:br w:type="page"/>
      </w:r>
    </w:p>
    <w:p w:rsidR="00A56488" w:rsidRPr="003A2B12" w:rsidRDefault="00A56488" w:rsidP="009C3D94">
      <w:pPr>
        <w:pStyle w:val="ps-000-normal"/>
        <w:numPr>
          <w:ilvl w:val="0"/>
          <w:numId w:val="7"/>
        </w:numPr>
        <w:spacing w:before="120" w:line="380" w:lineRule="exact"/>
        <w:ind w:left="540" w:hanging="540"/>
        <w:rPr>
          <w:rFonts w:ascii="Arial" w:hAnsi="Arial" w:cs="Arial"/>
          <w:sz w:val="22"/>
          <w:szCs w:val="22"/>
        </w:rPr>
      </w:pPr>
      <w:r w:rsidRPr="003A2B12">
        <w:rPr>
          <w:rFonts w:ascii="Arial" w:hAnsi="Arial" w:cs="Arial"/>
          <w:sz w:val="22"/>
          <w:szCs w:val="22"/>
        </w:rPr>
        <w:lastRenderedPageBreak/>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A56488" w:rsidRPr="003A2B12" w:rsidRDefault="00A56488" w:rsidP="009C3D94">
      <w:pPr>
        <w:pStyle w:val="ps-000-normal"/>
        <w:numPr>
          <w:ilvl w:val="0"/>
          <w:numId w:val="7"/>
        </w:numPr>
        <w:spacing w:before="120" w:line="380" w:lineRule="exact"/>
        <w:ind w:left="540" w:hanging="540"/>
        <w:rPr>
          <w:rFonts w:ascii="Arial" w:hAnsi="Arial" w:cs="Arial"/>
          <w:sz w:val="22"/>
          <w:szCs w:val="22"/>
        </w:rPr>
      </w:pPr>
      <w:r w:rsidRPr="003A2B12">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A56488" w:rsidRPr="003A2B12" w:rsidRDefault="00A56488" w:rsidP="009C3D94">
      <w:pPr>
        <w:pStyle w:val="ps-000-normal"/>
        <w:numPr>
          <w:ilvl w:val="0"/>
          <w:numId w:val="7"/>
        </w:numPr>
        <w:spacing w:before="120" w:line="380" w:lineRule="exact"/>
        <w:ind w:left="540" w:hanging="540"/>
        <w:rPr>
          <w:rFonts w:ascii="Arial" w:hAnsi="Arial" w:cs="Arial"/>
          <w:sz w:val="22"/>
          <w:szCs w:val="22"/>
        </w:rPr>
      </w:pPr>
      <w:r w:rsidRPr="003A2B12">
        <w:rPr>
          <w:rFonts w:ascii="Arial" w:hAnsi="Arial" w:cs="Arial"/>
          <w:sz w:val="22"/>
          <w:szCs w:val="22"/>
        </w:rPr>
        <w:t>Evaluate the appropriateness of accounting policies used and the reasonableness of accounting estimates and related disclosures made by management.</w:t>
      </w:r>
    </w:p>
    <w:p w:rsidR="00A56488" w:rsidRPr="003A2B12" w:rsidRDefault="00A56488" w:rsidP="009C3D94">
      <w:pPr>
        <w:pStyle w:val="ps-000-normal"/>
        <w:numPr>
          <w:ilvl w:val="0"/>
          <w:numId w:val="7"/>
        </w:numPr>
        <w:spacing w:before="120" w:line="380" w:lineRule="exact"/>
        <w:ind w:left="540" w:hanging="540"/>
        <w:rPr>
          <w:rFonts w:ascii="Arial" w:hAnsi="Arial" w:cs="Arial"/>
          <w:sz w:val="22"/>
          <w:szCs w:val="22"/>
        </w:rPr>
      </w:pPr>
      <w:r w:rsidRPr="003A2B12">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A56488" w:rsidRPr="003A2B12" w:rsidRDefault="00A56488" w:rsidP="009C3D94">
      <w:pPr>
        <w:pStyle w:val="ps-000-normal"/>
        <w:numPr>
          <w:ilvl w:val="0"/>
          <w:numId w:val="7"/>
        </w:numPr>
        <w:spacing w:before="120" w:line="380" w:lineRule="exact"/>
        <w:ind w:left="540" w:hanging="540"/>
        <w:rPr>
          <w:rFonts w:ascii="Arial" w:hAnsi="Arial" w:cs="Arial"/>
          <w:sz w:val="22"/>
          <w:szCs w:val="22"/>
        </w:rPr>
      </w:pPr>
      <w:r w:rsidRPr="003A2B12">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A56488" w:rsidRPr="003A2B12" w:rsidRDefault="00A56488" w:rsidP="009C3D94">
      <w:pPr>
        <w:pStyle w:val="ps-000-normal"/>
        <w:numPr>
          <w:ilvl w:val="0"/>
          <w:numId w:val="7"/>
        </w:numPr>
        <w:spacing w:before="120" w:line="380" w:lineRule="exact"/>
        <w:ind w:left="540" w:hanging="540"/>
        <w:rPr>
          <w:rFonts w:ascii="Arial" w:hAnsi="Arial" w:cs="Arial"/>
          <w:sz w:val="22"/>
          <w:szCs w:val="22"/>
        </w:rPr>
      </w:pPr>
      <w:r w:rsidRPr="003A2B12">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A56488" w:rsidRPr="003A2B12" w:rsidRDefault="00A56488" w:rsidP="009C3D94">
      <w:pPr>
        <w:pStyle w:val="ps-000-normal"/>
        <w:spacing w:before="120" w:line="380" w:lineRule="exact"/>
        <w:rPr>
          <w:rFonts w:ascii="Arial" w:hAnsi="Arial" w:cs="Arial"/>
          <w:sz w:val="22"/>
          <w:szCs w:val="22"/>
        </w:rPr>
      </w:pPr>
      <w:r w:rsidRPr="003A2B12">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111A19" w:rsidRDefault="00111A19">
      <w:pPr>
        <w:spacing w:after="160" w:line="259" w:lineRule="auto"/>
        <w:rPr>
          <w:rFonts w:ascii="Arial" w:eastAsia="Times New Roman" w:hAnsi="Arial" w:cs="Arial"/>
          <w:color w:val="000000"/>
          <w:szCs w:val="22"/>
        </w:rPr>
      </w:pPr>
      <w:r>
        <w:rPr>
          <w:rFonts w:ascii="Arial" w:hAnsi="Arial" w:cs="Arial"/>
          <w:szCs w:val="22"/>
        </w:rPr>
        <w:br w:type="page"/>
      </w:r>
    </w:p>
    <w:p w:rsidR="00A56488" w:rsidRPr="003A2B12" w:rsidRDefault="00A56488" w:rsidP="009C3D94">
      <w:pPr>
        <w:pStyle w:val="ps-000-normal"/>
        <w:spacing w:before="120" w:line="380" w:lineRule="exact"/>
        <w:rPr>
          <w:rFonts w:ascii="Arial" w:hAnsi="Arial" w:cs="Arial"/>
          <w:sz w:val="22"/>
          <w:szCs w:val="22"/>
        </w:rPr>
      </w:pPr>
      <w:r w:rsidRPr="003A2B12">
        <w:rPr>
          <w:rFonts w:ascii="Arial" w:hAnsi="Arial" w:cs="Arial"/>
          <w:sz w:val="22"/>
          <w:szCs w:val="22"/>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A56488" w:rsidRPr="003A2B12" w:rsidRDefault="00A56488" w:rsidP="009C3D94">
      <w:pPr>
        <w:pStyle w:val="ps-000-normal"/>
        <w:spacing w:before="120" w:line="380" w:lineRule="exact"/>
        <w:rPr>
          <w:rFonts w:ascii="Arial" w:hAnsi="Arial" w:cs="Arial"/>
          <w:sz w:val="22"/>
          <w:szCs w:val="22"/>
        </w:rPr>
      </w:pPr>
      <w:r w:rsidRPr="003A2B12">
        <w:rPr>
          <w:rFonts w:ascii="Arial" w:hAnsi="Arial" w:cs="Arial"/>
          <w:sz w:val="22"/>
          <w:szCs w:val="22"/>
        </w:rPr>
        <w:t xml:space="preserve">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w:t>
      </w:r>
      <w:r w:rsidRPr="003A2B12">
        <w:rPr>
          <w:rFonts w:ascii="Arial" w:hAnsi="Arial" w:cs="Arial"/>
          <w:spacing w:val="-2"/>
          <w:sz w:val="22"/>
          <w:szCs w:val="22"/>
        </w:rPr>
        <w:t>regulation precludes public disclosure about the matter or when, in extremely rare circumstances,</w:t>
      </w:r>
      <w:r w:rsidRPr="003A2B12">
        <w:rPr>
          <w:rFonts w:ascii="Arial" w:hAnsi="Arial" w:cs="Arial"/>
          <w:sz w:val="22"/>
          <w:szCs w:val="22"/>
        </w:rPr>
        <w:t xml:space="preserve">               I determine that a matter should not be communicated in my report because the adverse consequences of doing so would reasonably be expected to outweigh the public interest benefits of such communication.</w:t>
      </w:r>
    </w:p>
    <w:p w:rsidR="00A56488" w:rsidRPr="003A2B12" w:rsidRDefault="001B599F" w:rsidP="0010375B">
      <w:pPr>
        <w:pStyle w:val="ps-000-normal"/>
        <w:spacing w:before="240" w:line="380" w:lineRule="exact"/>
        <w:rPr>
          <w:rFonts w:ascii="Arial" w:hAnsi="Arial" w:cs="Arial"/>
          <w:sz w:val="22"/>
          <w:szCs w:val="22"/>
        </w:rPr>
      </w:pPr>
      <w:r w:rsidRPr="003A2B12">
        <w:rPr>
          <w:rFonts w:ascii="Arial" w:hAnsi="Arial" w:cs="Arial"/>
          <w:sz w:val="22"/>
          <w:szCs w:val="22"/>
        </w:rPr>
        <w:t>I am responsible for</w:t>
      </w:r>
      <w:r w:rsidR="00A56488" w:rsidRPr="003A2B12">
        <w:rPr>
          <w:rFonts w:ascii="Arial" w:hAnsi="Arial" w:cs="Arial"/>
          <w:sz w:val="22"/>
          <w:szCs w:val="22"/>
        </w:rPr>
        <w:t xml:space="preserve"> the audit resulting in this </w:t>
      </w:r>
      <w:r w:rsidRPr="003A2B12">
        <w:rPr>
          <w:rFonts w:ascii="Arial" w:hAnsi="Arial" w:cs="Arial"/>
          <w:sz w:val="22"/>
          <w:szCs w:val="22"/>
        </w:rPr>
        <w:t>independent auditor’s report.</w:t>
      </w:r>
    </w:p>
    <w:p w:rsidR="006C12BE" w:rsidRPr="003A2B12" w:rsidRDefault="006C12BE" w:rsidP="009C3D94">
      <w:pPr>
        <w:spacing w:before="120" w:after="120" w:line="380" w:lineRule="exact"/>
        <w:rPr>
          <w:rFonts w:ascii="Arial" w:hAnsi="Arial" w:cs="Arial"/>
          <w:szCs w:val="22"/>
        </w:rPr>
      </w:pPr>
    </w:p>
    <w:p w:rsidR="00A56488" w:rsidRPr="003A2B12" w:rsidRDefault="00A56488" w:rsidP="009C3D94">
      <w:pPr>
        <w:spacing w:before="120" w:after="120" w:line="380" w:lineRule="exact"/>
        <w:rPr>
          <w:rFonts w:ascii="Arial" w:hAnsi="Arial" w:cs="Arial"/>
          <w:szCs w:val="22"/>
        </w:rPr>
      </w:pPr>
    </w:p>
    <w:p w:rsidR="00235D4D" w:rsidRDefault="00235D4D" w:rsidP="009C3D94">
      <w:pPr>
        <w:spacing w:before="120" w:after="120" w:line="380" w:lineRule="exact"/>
        <w:rPr>
          <w:rFonts w:ascii="Arial" w:hAnsi="Arial" w:cs="Arial"/>
          <w:szCs w:val="22"/>
        </w:rPr>
      </w:pPr>
    </w:p>
    <w:p w:rsidR="00111A19" w:rsidRPr="003A2B12" w:rsidRDefault="00111A19" w:rsidP="009C3D94">
      <w:pPr>
        <w:spacing w:before="120" w:after="120" w:line="380" w:lineRule="exact"/>
        <w:rPr>
          <w:rFonts w:ascii="Arial" w:hAnsi="Arial" w:cs="Arial"/>
          <w:szCs w:val="22"/>
        </w:rPr>
      </w:pPr>
    </w:p>
    <w:p w:rsidR="006C12BE" w:rsidRPr="003A2B12" w:rsidRDefault="00D128D6" w:rsidP="009C3D94">
      <w:pPr>
        <w:tabs>
          <w:tab w:val="left" w:pos="720"/>
          <w:tab w:val="center" w:pos="6480"/>
        </w:tabs>
        <w:overflowPunct w:val="0"/>
        <w:autoSpaceDE w:val="0"/>
        <w:autoSpaceDN w:val="0"/>
        <w:adjustRightInd w:val="0"/>
        <w:spacing w:after="0" w:line="380" w:lineRule="exact"/>
        <w:textAlignment w:val="baseline"/>
        <w:rPr>
          <w:rFonts w:ascii="Arial" w:eastAsia="Times New Roman" w:hAnsi="Arial" w:cs="Arial"/>
          <w:szCs w:val="22"/>
        </w:rPr>
      </w:pPr>
      <w:r w:rsidRPr="003A2B12">
        <w:rPr>
          <w:rFonts w:ascii="Arial" w:eastAsia="Times New Roman" w:hAnsi="Arial" w:cs="Arial"/>
          <w:szCs w:val="22"/>
        </w:rPr>
        <w:t>Wichart Lokatekrawee</w:t>
      </w:r>
    </w:p>
    <w:p w:rsidR="006C12BE" w:rsidRPr="003A2B12" w:rsidRDefault="006C12BE" w:rsidP="009C3D94">
      <w:pPr>
        <w:overflowPunct w:val="0"/>
        <w:autoSpaceDE w:val="0"/>
        <w:autoSpaceDN w:val="0"/>
        <w:adjustRightInd w:val="0"/>
        <w:spacing w:after="0" w:line="380" w:lineRule="exact"/>
        <w:textAlignment w:val="baseline"/>
        <w:rPr>
          <w:rFonts w:ascii="Arial" w:eastAsia="Times New Roman" w:hAnsi="Arial" w:cs="Arial"/>
          <w:szCs w:val="22"/>
        </w:rPr>
      </w:pPr>
      <w:r w:rsidRPr="003A2B12">
        <w:rPr>
          <w:rFonts w:ascii="Arial" w:eastAsia="Times New Roman" w:hAnsi="Arial" w:cs="Arial"/>
          <w:szCs w:val="22"/>
        </w:rPr>
        <w:t>Certified Public Accountant (Thailand) No. 4</w:t>
      </w:r>
      <w:r w:rsidR="00D128D6" w:rsidRPr="003A2B12">
        <w:rPr>
          <w:rFonts w:ascii="Arial" w:eastAsia="Times New Roman" w:hAnsi="Arial" w:cs="Arial"/>
          <w:szCs w:val="22"/>
        </w:rPr>
        <w:t>451</w:t>
      </w:r>
    </w:p>
    <w:p w:rsidR="006C12BE" w:rsidRPr="003A2B12" w:rsidRDefault="006C12BE" w:rsidP="009C3D94">
      <w:pPr>
        <w:overflowPunct w:val="0"/>
        <w:autoSpaceDE w:val="0"/>
        <w:autoSpaceDN w:val="0"/>
        <w:adjustRightInd w:val="0"/>
        <w:spacing w:after="0" w:line="380" w:lineRule="exact"/>
        <w:textAlignment w:val="baseline"/>
        <w:rPr>
          <w:rFonts w:ascii="Arial" w:eastAsia="Times New Roman" w:hAnsi="Arial" w:cs="Arial"/>
          <w:szCs w:val="22"/>
        </w:rPr>
      </w:pPr>
    </w:p>
    <w:p w:rsidR="006C12BE" w:rsidRPr="003A2B12" w:rsidRDefault="006C12BE" w:rsidP="009C3D94">
      <w:pPr>
        <w:overflowPunct w:val="0"/>
        <w:autoSpaceDE w:val="0"/>
        <w:autoSpaceDN w:val="0"/>
        <w:adjustRightInd w:val="0"/>
        <w:spacing w:after="0" w:line="380" w:lineRule="exact"/>
        <w:textAlignment w:val="baseline"/>
        <w:rPr>
          <w:rFonts w:ascii="Arial" w:eastAsia="Times New Roman" w:hAnsi="Arial" w:cs="Arial"/>
          <w:szCs w:val="22"/>
        </w:rPr>
      </w:pPr>
      <w:r w:rsidRPr="003A2B12">
        <w:rPr>
          <w:rFonts w:ascii="Arial" w:eastAsia="Times New Roman" w:hAnsi="Arial" w:cs="Arial"/>
          <w:szCs w:val="22"/>
        </w:rPr>
        <w:t>EY Office Limited</w:t>
      </w:r>
    </w:p>
    <w:p w:rsidR="006C12BE" w:rsidRPr="003A2B12" w:rsidRDefault="006C12BE" w:rsidP="009C3D94">
      <w:pPr>
        <w:overflowPunct w:val="0"/>
        <w:autoSpaceDE w:val="0"/>
        <w:autoSpaceDN w:val="0"/>
        <w:adjustRightInd w:val="0"/>
        <w:spacing w:after="0" w:line="380" w:lineRule="exact"/>
        <w:textAlignment w:val="baseline"/>
        <w:rPr>
          <w:rFonts w:ascii="Arial" w:hAnsi="Arial" w:cs="Arial"/>
          <w:szCs w:val="22"/>
        </w:rPr>
      </w:pPr>
      <w:r w:rsidRPr="003A2B12">
        <w:rPr>
          <w:rFonts w:ascii="Arial" w:eastAsia="Times New Roman" w:hAnsi="Arial" w:cs="Arial"/>
          <w:szCs w:val="22"/>
        </w:rPr>
        <w:t>Bangkok:</w:t>
      </w:r>
      <w:r w:rsidR="00A56488" w:rsidRPr="003A2B12">
        <w:rPr>
          <w:rFonts w:ascii="Arial" w:eastAsia="Times New Roman" w:hAnsi="Arial" w:cs="Arial"/>
          <w:szCs w:val="22"/>
        </w:rPr>
        <w:t xml:space="preserve"> </w:t>
      </w:r>
      <w:r w:rsidR="00B05E41" w:rsidRPr="003A2B12">
        <w:rPr>
          <w:rFonts w:ascii="Arial" w:eastAsia="Times New Roman" w:hAnsi="Arial" w:cs="Arial"/>
          <w:szCs w:val="22"/>
        </w:rPr>
        <w:t>28 February 2019</w:t>
      </w:r>
    </w:p>
    <w:sectPr w:rsidR="006C12BE" w:rsidRPr="003A2B12" w:rsidSect="00543E34">
      <w:footerReference w:type="default" r:id="rId15"/>
      <w:pgSz w:w="11909" w:h="16834" w:code="9"/>
      <w:pgMar w:top="2160" w:right="1080" w:bottom="1080" w:left="1339"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19BE" w:rsidRDefault="00FA19BE" w:rsidP="008831E0">
      <w:pPr>
        <w:spacing w:after="0" w:line="240" w:lineRule="auto"/>
      </w:pPr>
      <w:r>
        <w:separator/>
      </w:r>
    </w:p>
  </w:endnote>
  <w:endnote w:type="continuationSeparator" w:id="0">
    <w:p w:rsidR="00FA19BE" w:rsidRDefault="00FA19BE" w:rsidP="00883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42F" w:rsidRDefault="00C624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42F" w:rsidRDefault="00C624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42F" w:rsidRDefault="00C624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FBD" w:rsidRPr="008831E0" w:rsidRDefault="00B31FBD" w:rsidP="008831E0">
    <w:pPr>
      <w:pStyle w:val="Footer"/>
      <w:tabs>
        <w:tab w:val="clear" w:pos="4680"/>
        <w:tab w:val="clear" w:pos="9360"/>
      </w:tabs>
      <w:jc w:val="right"/>
      <w:rPr>
        <w:rFonts w:ascii="Arial" w:hAnsi="Arial" w:cs="Arial"/>
        <w:caps/>
        <w:noProof/>
      </w:rPr>
    </w:pPr>
  </w:p>
  <w:p w:rsidR="00B31FBD" w:rsidRDefault="00B31FB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475" w:rsidRPr="008831E0" w:rsidRDefault="003B1475" w:rsidP="008831E0">
    <w:pPr>
      <w:pStyle w:val="Footer"/>
      <w:tabs>
        <w:tab w:val="clear" w:pos="4680"/>
        <w:tab w:val="clear" w:pos="9360"/>
      </w:tabs>
      <w:jc w:val="right"/>
      <w:rPr>
        <w:rFonts w:ascii="Arial" w:hAnsi="Arial" w:cs="Arial"/>
        <w:caps/>
        <w:noProof/>
      </w:rPr>
    </w:pPr>
    <w:r w:rsidRPr="008831E0">
      <w:rPr>
        <w:rFonts w:ascii="Arial" w:hAnsi="Arial" w:cs="Arial"/>
        <w:caps/>
      </w:rPr>
      <w:fldChar w:fldCharType="begin"/>
    </w:r>
    <w:r w:rsidRPr="008831E0">
      <w:rPr>
        <w:rFonts w:ascii="Arial" w:hAnsi="Arial" w:cs="Arial"/>
        <w:caps/>
      </w:rPr>
      <w:instrText xml:space="preserve"> PAGE   \* MERGEFORMAT </w:instrText>
    </w:r>
    <w:r w:rsidRPr="008831E0">
      <w:rPr>
        <w:rFonts w:ascii="Arial" w:hAnsi="Arial" w:cs="Arial"/>
        <w:caps/>
      </w:rPr>
      <w:fldChar w:fldCharType="separate"/>
    </w:r>
    <w:r w:rsidR="00C6242F">
      <w:rPr>
        <w:rFonts w:ascii="Arial" w:hAnsi="Arial" w:cs="Arial"/>
        <w:caps/>
        <w:noProof/>
      </w:rPr>
      <w:t>9</w:t>
    </w:r>
    <w:r w:rsidRPr="008831E0">
      <w:rPr>
        <w:rFonts w:ascii="Arial" w:hAnsi="Arial" w:cs="Arial"/>
        <w:caps/>
        <w:noProof/>
      </w:rPr>
      <w:fldChar w:fldCharType="end"/>
    </w:r>
  </w:p>
  <w:p w:rsidR="003B1475" w:rsidRDefault="003B14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19BE" w:rsidRDefault="00FA19BE" w:rsidP="008831E0">
      <w:pPr>
        <w:spacing w:after="0" w:line="240" w:lineRule="auto"/>
      </w:pPr>
      <w:r>
        <w:separator/>
      </w:r>
    </w:p>
  </w:footnote>
  <w:footnote w:type="continuationSeparator" w:id="0">
    <w:p w:rsidR="00FA19BE" w:rsidRDefault="00FA19BE" w:rsidP="008831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42F" w:rsidRDefault="00C624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4A61" w:rsidRPr="00C6242F" w:rsidRDefault="00964A61" w:rsidP="00C6242F">
    <w:pPr>
      <w:pStyle w:val="Header"/>
    </w:pP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50CA" w:rsidRDefault="00BB50CA">
    <w:pPr>
      <w:pStyle w:val="Header"/>
    </w:pPr>
    <w:r>
      <w:rPr>
        <w:noProof/>
      </w:rPr>
      <w:drawing>
        <wp:anchor distT="0" distB="0" distL="114300" distR="114300" simplePos="0" relativeHeight="251659264" behindDoc="1" locked="0" layoutInCell="1" allowOverlap="1">
          <wp:simplePos x="0" y="0"/>
          <wp:positionH relativeFrom="column">
            <wp:posOffset>2732405</wp:posOffset>
          </wp:positionH>
          <wp:positionV relativeFrom="paragraph">
            <wp:posOffset>-69215</wp:posOffset>
          </wp:positionV>
          <wp:extent cx="615315" cy="345440"/>
          <wp:effectExtent l="19050" t="19050" r="13335" b="1651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44472" t="-72227" r="44308" b="-60190"/>
                  <a:stretch>
                    <a:fillRect/>
                  </a:stretch>
                </pic:blipFill>
                <pic:spPr bwMode="auto">
                  <a:xfrm>
                    <a:off x="0" y="0"/>
                    <a:ext cx="615315" cy="345440"/>
                  </a:xfrm>
                  <a:prstGeom prst="rect">
                    <a:avLst/>
                  </a:prstGeom>
                  <a:noFill/>
                  <a:ln w="15875">
                    <a:solidFill>
                      <a:srgbClr val="FF0000"/>
                    </a:solid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C1A8F"/>
    <w:multiLevelType w:val="hybridMultilevel"/>
    <w:tmpl w:val="D6C4BE78"/>
    <w:lvl w:ilvl="0" w:tplc="A3EC26F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9E61F7"/>
    <w:multiLevelType w:val="hybridMultilevel"/>
    <w:tmpl w:val="69DC76E2"/>
    <w:lvl w:ilvl="0" w:tplc="2E3E4C00">
      <w:start w:val="1"/>
      <w:numFmt w:val="bullet"/>
      <w:lvlText w:val="►"/>
      <w:lvlJc w:val="left"/>
      <w:pPr>
        <w:ind w:left="1440" w:hanging="360"/>
      </w:pPr>
      <w:rPr>
        <w:rFonts w:ascii="Arial" w:hAnsi="Arial" w:hint="default"/>
        <w:color w:val="auto"/>
        <w:sz w:val="24"/>
      </w:rPr>
    </w:lvl>
    <w:lvl w:ilvl="1" w:tplc="2E3E4C00">
      <w:start w:val="1"/>
      <w:numFmt w:val="bullet"/>
      <w:lvlText w:val="►"/>
      <w:lvlJc w:val="left"/>
      <w:pPr>
        <w:ind w:left="2340" w:hanging="540"/>
      </w:pPr>
      <w:rPr>
        <w:rFonts w:ascii="Arial" w:hAnsi="Arial" w:hint="default"/>
        <w:color w:val="auto"/>
        <w:sz w:val="24"/>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92034F0"/>
    <w:multiLevelType w:val="hybridMultilevel"/>
    <w:tmpl w:val="F2949EE2"/>
    <w:lvl w:ilvl="0" w:tplc="F256919E">
      <w:start w:val="1"/>
      <w:numFmt w:val="thaiLetters"/>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5D5EB8"/>
    <w:multiLevelType w:val="hybridMultilevel"/>
    <w:tmpl w:val="01C8A35A"/>
    <w:lvl w:ilvl="0" w:tplc="E8D2456E">
      <w:start w:val="1"/>
      <w:numFmt w:val="lowerLetter"/>
      <w:lvlText w:val="%1)"/>
      <w:lvlJc w:val="left"/>
      <w:pPr>
        <w:ind w:left="900" w:hanging="54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754BDD"/>
    <w:multiLevelType w:val="hybridMultilevel"/>
    <w:tmpl w:val="89F4D4CA"/>
    <w:lvl w:ilvl="0" w:tplc="ED6E4E1E">
      <w:start w:val="1"/>
      <w:numFmt w:val="bullet"/>
      <w:lvlText w:val="►"/>
      <w:lvlJc w:val="left"/>
      <w:pPr>
        <w:ind w:left="720" w:hanging="360"/>
      </w:pPr>
      <w:rPr>
        <w:rFonts w:ascii="Arial" w:hAnsi="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D65A59"/>
    <w:multiLevelType w:val="hybridMultilevel"/>
    <w:tmpl w:val="97484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433275"/>
    <w:multiLevelType w:val="hybridMultilevel"/>
    <w:tmpl w:val="921EF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7"/>
  </w:num>
  <w:num w:numId="4">
    <w:abstractNumId w:val="8"/>
  </w:num>
  <w:num w:numId="5">
    <w:abstractNumId w:val="0"/>
  </w:num>
  <w:num w:numId="6">
    <w:abstractNumId w:val="2"/>
  </w:num>
  <w:num w:numId="7">
    <w:abstractNumId w:val="1"/>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hdrShapeDefaults>
    <o:shapedefaults v:ext="edit" spidmax="3891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473"/>
    <w:rsid w:val="000002B5"/>
    <w:rsid w:val="000025BA"/>
    <w:rsid w:val="00021F25"/>
    <w:rsid w:val="00053C66"/>
    <w:rsid w:val="000719D1"/>
    <w:rsid w:val="00073317"/>
    <w:rsid w:val="000737CF"/>
    <w:rsid w:val="000900D6"/>
    <w:rsid w:val="000A48C0"/>
    <w:rsid w:val="000A5A0A"/>
    <w:rsid w:val="000A6A8E"/>
    <w:rsid w:val="000B2047"/>
    <w:rsid w:val="000B29E6"/>
    <w:rsid w:val="000C7747"/>
    <w:rsid w:val="000C7B1A"/>
    <w:rsid w:val="000D623B"/>
    <w:rsid w:val="000E1695"/>
    <w:rsid w:val="000F028E"/>
    <w:rsid w:val="000F4711"/>
    <w:rsid w:val="0010375B"/>
    <w:rsid w:val="00111A19"/>
    <w:rsid w:val="00113877"/>
    <w:rsid w:val="00137AF7"/>
    <w:rsid w:val="001461F2"/>
    <w:rsid w:val="001A01A1"/>
    <w:rsid w:val="001B0715"/>
    <w:rsid w:val="001B599F"/>
    <w:rsid w:val="001B66A9"/>
    <w:rsid w:val="001B75DD"/>
    <w:rsid w:val="001E6EFB"/>
    <w:rsid w:val="001F098E"/>
    <w:rsid w:val="0020300D"/>
    <w:rsid w:val="00205E2A"/>
    <w:rsid w:val="00206BDA"/>
    <w:rsid w:val="00215A26"/>
    <w:rsid w:val="002209E4"/>
    <w:rsid w:val="00230B12"/>
    <w:rsid w:val="00235D4D"/>
    <w:rsid w:val="002362AF"/>
    <w:rsid w:val="002514FF"/>
    <w:rsid w:val="002577C1"/>
    <w:rsid w:val="00260CA8"/>
    <w:rsid w:val="00270E8F"/>
    <w:rsid w:val="0027693E"/>
    <w:rsid w:val="00280583"/>
    <w:rsid w:val="00291787"/>
    <w:rsid w:val="002B3825"/>
    <w:rsid w:val="002B4AFD"/>
    <w:rsid w:val="002C3BD6"/>
    <w:rsid w:val="002C516D"/>
    <w:rsid w:val="002C6197"/>
    <w:rsid w:val="002D5AA3"/>
    <w:rsid w:val="002E04B2"/>
    <w:rsid w:val="002F3BEB"/>
    <w:rsid w:val="002F593B"/>
    <w:rsid w:val="003115C3"/>
    <w:rsid w:val="0031347D"/>
    <w:rsid w:val="003307A5"/>
    <w:rsid w:val="003458E7"/>
    <w:rsid w:val="00351498"/>
    <w:rsid w:val="00362094"/>
    <w:rsid w:val="00366580"/>
    <w:rsid w:val="00370C6D"/>
    <w:rsid w:val="00380806"/>
    <w:rsid w:val="003860DF"/>
    <w:rsid w:val="00390958"/>
    <w:rsid w:val="0039314E"/>
    <w:rsid w:val="003A06FC"/>
    <w:rsid w:val="003A2B12"/>
    <w:rsid w:val="003B1475"/>
    <w:rsid w:val="003F209E"/>
    <w:rsid w:val="00414FC3"/>
    <w:rsid w:val="004724AB"/>
    <w:rsid w:val="00490DF6"/>
    <w:rsid w:val="004B4906"/>
    <w:rsid w:val="004D376C"/>
    <w:rsid w:val="004D6E0D"/>
    <w:rsid w:val="004F033D"/>
    <w:rsid w:val="00510DB5"/>
    <w:rsid w:val="005344E2"/>
    <w:rsid w:val="00536DFC"/>
    <w:rsid w:val="00543E34"/>
    <w:rsid w:val="0055006B"/>
    <w:rsid w:val="005B1EDA"/>
    <w:rsid w:val="005B3762"/>
    <w:rsid w:val="005C65C8"/>
    <w:rsid w:val="005C74F0"/>
    <w:rsid w:val="005D2D3B"/>
    <w:rsid w:val="005D4565"/>
    <w:rsid w:val="005E1E0D"/>
    <w:rsid w:val="0061134A"/>
    <w:rsid w:val="00627D19"/>
    <w:rsid w:val="00666925"/>
    <w:rsid w:val="006815A5"/>
    <w:rsid w:val="00684A7B"/>
    <w:rsid w:val="00692883"/>
    <w:rsid w:val="006A3307"/>
    <w:rsid w:val="006A5427"/>
    <w:rsid w:val="006B113D"/>
    <w:rsid w:val="006C12BE"/>
    <w:rsid w:val="006C46BD"/>
    <w:rsid w:val="006C4A63"/>
    <w:rsid w:val="006C4D9A"/>
    <w:rsid w:val="006C6E78"/>
    <w:rsid w:val="00716AD1"/>
    <w:rsid w:val="00723B2F"/>
    <w:rsid w:val="007431DF"/>
    <w:rsid w:val="007441E5"/>
    <w:rsid w:val="00775378"/>
    <w:rsid w:val="00782955"/>
    <w:rsid w:val="00783DB7"/>
    <w:rsid w:val="007D7E0A"/>
    <w:rsid w:val="007F61D9"/>
    <w:rsid w:val="00800425"/>
    <w:rsid w:val="00817C1B"/>
    <w:rsid w:val="0082313A"/>
    <w:rsid w:val="00832CEA"/>
    <w:rsid w:val="00866F93"/>
    <w:rsid w:val="008831E0"/>
    <w:rsid w:val="008A4A8E"/>
    <w:rsid w:val="008A637D"/>
    <w:rsid w:val="008F11E7"/>
    <w:rsid w:val="008F36DA"/>
    <w:rsid w:val="00900173"/>
    <w:rsid w:val="00906C40"/>
    <w:rsid w:val="009165F8"/>
    <w:rsid w:val="0093002F"/>
    <w:rsid w:val="009326F1"/>
    <w:rsid w:val="00964A61"/>
    <w:rsid w:val="00977B92"/>
    <w:rsid w:val="009904F9"/>
    <w:rsid w:val="009B56A7"/>
    <w:rsid w:val="009C3D94"/>
    <w:rsid w:val="009C621E"/>
    <w:rsid w:val="009D0195"/>
    <w:rsid w:val="009E2E22"/>
    <w:rsid w:val="009F55BF"/>
    <w:rsid w:val="009F5E42"/>
    <w:rsid w:val="00A24831"/>
    <w:rsid w:val="00A26BD1"/>
    <w:rsid w:val="00A47560"/>
    <w:rsid w:val="00A505B6"/>
    <w:rsid w:val="00A52AE3"/>
    <w:rsid w:val="00A56488"/>
    <w:rsid w:val="00A578D8"/>
    <w:rsid w:val="00A705F0"/>
    <w:rsid w:val="00A77B42"/>
    <w:rsid w:val="00AA09DA"/>
    <w:rsid w:val="00AA12B5"/>
    <w:rsid w:val="00AB4A76"/>
    <w:rsid w:val="00AC4626"/>
    <w:rsid w:val="00AD1EE2"/>
    <w:rsid w:val="00AF0048"/>
    <w:rsid w:val="00AF0FE4"/>
    <w:rsid w:val="00B04BC5"/>
    <w:rsid w:val="00B056B4"/>
    <w:rsid w:val="00B05E41"/>
    <w:rsid w:val="00B1024A"/>
    <w:rsid w:val="00B11E3A"/>
    <w:rsid w:val="00B151D8"/>
    <w:rsid w:val="00B31FBD"/>
    <w:rsid w:val="00B40473"/>
    <w:rsid w:val="00B41F07"/>
    <w:rsid w:val="00B444AC"/>
    <w:rsid w:val="00B554E2"/>
    <w:rsid w:val="00B56ABA"/>
    <w:rsid w:val="00B85DB0"/>
    <w:rsid w:val="00B90777"/>
    <w:rsid w:val="00BB01C7"/>
    <w:rsid w:val="00BB50CA"/>
    <w:rsid w:val="00BC05D3"/>
    <w:rsid w:val="00BC3DC5"/>
    <w:rsid w:val="00BE33F1"/>
    <w:rsid w:val="00BF22B2"/>
    <w:rsid w:val="00C371E0"/>
    <w:rsid w:val="00C44043"/>
    <w:rsid w:val="00C6242F"/>
    <w:rsid w:val="00C70776"/>
    <w:rsid w:val="00C91ABA"/>
    <w:rsid w:val="00C9554A"/>
    <w:rsid w:val="00CA2730"/>
    <w:rsid w:val="00CB12C0"/>
    <w:rsid w:val="00CD6905"/>
    <w:rsid w:val="00CF7446"/>
    <w:rsid w:val="00D128D6"/>
    <w:rsid w:val="00D22F69"/>
    <w:rsid w:val="00D23793"/>
    <w:rsid w:val="00D268B8"/>
    <w:rsid w:val="00D32C27"/>
    <w:rsid w:val="00D67E50"/>
    <w:rsid w:val="00D70AC9"/>
    <w:rsid w:val="00DA0449"/>
    <w:rsid w:val="00DB0149"/>
    <w:rsid w:val="00DB474E"/>
    <w:rsid w:val="00DC149C"/>
    <w:rsid w:val="00DE73A4"/>
    <w:rsid w:val="00E233E1"/>
    <w:rsid w:val="00E41F2D"/>
    <w:rsid w:val="00E45D9A"/>
    <w:rsid w:val="00E72623"/>
    <w:rsid w:val="00E730DF"/>
    <w:rsid w:val="00EB62EB"/>
    <w:rsid w:val="00F019A7"/>
    <w:rsid w:val="00F127AE"/>
    <w:rsid w:val="00F13065"/>
    <w:rsid w:val="00F20F4B"/>
    <w:rsid w:val="00F408D9"/>
    <w:rsid w:val="00F44B37"/>
    <w:rsid w:val="00F94ECD"/>
    <w:rsid w:val="00F96ED9"/>
    <w:rsid w:val="00FA19BE"/>
    <w:rsid w:val="00FD02F9"/>
    <w:rsid w:val="00FF366E"/>
    <w:rsid w:val="00FF6E1F"/>
    <w:rsid w:val="00FF7F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5:docId w15:val="{BE6D9F82-D0CD-426F-B444-A02FAE38A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0473"/>
    <w:pPr>
      <w:spacing w:after="200" w:line="276" w:lineRule="auto"/>
    </w:pPr>
  </w:style>
  <w:style w:type="paragraph" w:styleId="Heading4">
    <w:name w:val="heading 4"/>
    <w:basedOn w:val="Normal"/>
    <w:next w:val="Normal"/>
    <w:link w:val="Heading4Char"/>
    <w:qFormat/>
    <w:rsid w:val="00BB50CA"/>
    <w:pPr>
      <w:keepNext/>
      <w:overflowPunct w:val="0"/>
      <w:autoSpaceDE w:val="0"/>
      <w:autoSpaceDN w:val="0"/>
      <w:adjustRightInd w:val="0"/>
      <w:spacing w:after="0" w:line="380" w:lineRule="exact"/>
      <w:jc w:val="both"/>
      <w:textAlignment w:val="baseline"/>
      <w:outlineLvl w:val="3"/>
    </w:pPr>
    <w:rPr>
      <w:rFonts w:ascii="Angsana New" w:eastAsia="Times New Roman" w:hAnsi="Angsana New" w:cs="Angsana New"/>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473"/>
    <w:pPr>
      <w:ind w:left="720"/>
      <w:contextualSpacing/>
    </w:pPr>
  </w:style>
  <w:style w:type="paragraph" w:customStyle="1" w:styleId="Default">
    <w:name w:val="Default"/>
    <w:rsid w:val="005C74F0"/>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8831E0"/>
    <w:pPr>
      <w:tabs>
        <w:tab w:val="center" w:pos="4680"/>
        <w:tab w:val="right" w:pos="9360"/>
      </w:tabs>
      <w:spacing w:after="0" w:line="240" w:lineRule="auto"/>
    </w:pPr>
  </w:style>
  <w:style w:type="character" w:customStyle="1" w:styleId="HeaderChar">
    <w:name w:val="Header Char"/>
    <w:basedOn w:val="DefaultParagraphFont"/>
    <w:link w:val="Header"/>
    <w:rsid w:val="008831E0"/>
  </w:style>
  <w:style w:type="paragraph" w:styleId="Footer">
    <w:name w:val="footer"/>
    <w:basedOn w:val="Normal"/>
    <w:link w:val="FooterChar"/>
    <w:uiPriority w:val="99"/>
    <w:unhideWhenUsed/>
    <w:rsid w:val="008831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31E0"/>
  </w:style>
  <w:style w:type="paragraph" w:styleId="BalloonText">
    <w:name w:val="Balloon Text"/>
    <w:basedOn w:val="Normal"/>
    <w:link w:val="BalloonTextChar"/>
    <w:uiPriority w:val="99"/>
    <w:semiHidden/>
    <w:unhideWhenUsed/>
    <w:rsid w:val="00F20F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20F4B"/>
    <w:rPr>
      <w:rFonts w:ascii="Segoe UI" w:hAnsi="Segoe UI" w:cs="Angsana New"/>
      <w:sz w:val="18"/>
      <w:szCs w:val="22"/>
    </w:rPr>
  </w:style>
  <w:style w:type="character" w:customStyle="1" w:styleId="Heading4Char">
    <w:name w:val="Heading 4 Char"/>
    <w:basedOn w:val="DefaultParagraphFont"/>
    <w:link w:val="Heading4"/>
    <w:rsid w:val="00BB50CA"/>
    <w:rPr>
      <w:rFonts w:ascii="Angsana New" w:eastAsia="Times New Roman" w:hAnsi="Angsana New" w:cs="Angsana New"/>
      <w:sz w:val="28"/>
      <w:lang w:val="x-none" w:eastAsia="x-none"/>
    </w:rPr>
  </w:style>
  <w:style w:type="paragraph" w:customStyle="1" w:styleId="ps-000-normal">
    <w:name w:val="ps-000-normal"/>
    <w:basedOn w:val="Normal"/>
    <w:rsid w:val="00A56488"/>
    <w:pPr>
      <w:spacing w:after="120" w:line="240" w:lineRule="auto"/>
    </w:pPr>
    <w:rPr>
      <w:rFonts w:ascii="Verdana" w:eastAsia="Times New Roman" w:hAnsi="Verdana" w:cs="Times New Roman"/>
      <w:color w:val="000000"/>
      <w:sz w:val="20"/>
      <w:szCs w:val="20"/>
    </w:rPr>
  </w:style>
  <w:style w:type="character" w:styleId="CommentReference">
    <w:name w:val="annotation reference"/>
    <w:basedOn w:val="DefaultParagraphFont"/>
    <w:uiPriority w:val="99"/>
    <w:semiHidden/>
    <w:unhideWhenUsed/>
    <w:rsid w:val="00C70776"/>
    <w:rPr>
      <w:sz w:val="16"/>
      <w:szCs w:val="16"/>
    </w:rPr>
  </w:style>
  <w:style w:type="paragraph" w:styleId="CommentText">
    <w:name w:val="annotation text"/>
    <w:basedOn w:val="Normal"/>
    <w:link w:val="CommentTextChar"/>
    <w:uiPriority w:val="99"/>
    <w:semiHidden/>
    <w:unhideWhenUsed/>
    <w:rsid w:val="00C70776"/>
    <w:pPr>
      <w:spacing w:line="240" w:lineRule="auto"/>
    </w:pPr>
    <w:rPr>
      <w:sz w:val="20"/>
      <w:szCs w:val="25"/>
    </w:rPr>
  </w:style>
  <w:style w:type="character" w:customStyle="1" w:styleId="CommentTextChar">
    <w:name w:val="Comment Text Char"/>
    <w:basedOn w:val="DefaultParagraphFont"/>
    <w:link w:val="CommentText"/>
    <w:uiPriority w:val="99"/>
    <w:semiHidden/>
    <w:rsid w:val="00C70776"/>
    <w:rPr>
      <w:sz w:val="20"/>
      <w:szCs w:val="25"/>
    </w:rPr>
  </w:style>
  <w:style w:type="paragraph" w:styleId="CommentSubject">
    <w:name w:val="annotation subject"/>
    <w:basedOn w:val="CommentText"/>
    <w:next w:val="CommentText"/>
    <w:link w:val="CommentSubjectChar"/>
    <w:uiPriority w:val="99"/>
    <w:semiHidden/>
    <w:unhideWhenUsed/>
    <w:rsid w:val="00C70776"/>
    <w:rPr>
      <w:b/>
      <w:bCs/>
    </w:rPr>
  </w:style>
  <w:style w:type="character" w:customStyle="1" w:styleId="CommentSubjectChar">
    <w:name w:val="Comment Subject Char"/>
    <w:basedOn w:val="CommentTextChar"/>
    <w:link w:val="CommentSubject"/>
    <w:uiPriority w:val="99"/>
    <w:semiHidden/>
    <w:rsid w:val="00C70776"/>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392199">
      <w:bodyDiv w:val="1"/>
      <w:marLeft w:val="0"/>
      <w:marRight w:val="0"/>
      <w:marTop w:val="0"/>
      <w:marBottom w:val="0"/>
      <w:divBdr>
        <w:top w:val="none" w:sz="0" w:space="0" w:color="auto"/>
        <w:left w:val="none" w:sz="0" w:space="0" w:color="auto"/>
        <w:bottom w:val="none" w:sz="0" w:space="0" w:color="auto"/>
        <w:right w:val="none" w:sz="0" w:space="0" w:color="auto"/>
      </w:divBdr>
    </w:div>
    <w:div w:id="301891489">
      <w:bodyDiv w:val="1"/>
      <w:marLeft w:val="0"/>
      <w:marRight w:val="0"/>
      <w:marTop w:val="0"/>
      <w:marBottom w:val="0"/>
      <w:divBdr>
        <w:top w:val="none" w:sz="0" w:space="0" w:color="auto"/>
        <w:left w:val="none" w:sz="0" w:space="0" w:color="auto"/>
        <w:bottom w:val="none" w:sz="0" w:space="0" w:color="auto"/>
        <w:right w:val="none" w:sz="0" w:space="0" w:color="auto"/>
      </w:divBdr>
    </w:div>
    <w:div w:id="182940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7FC7F-D77C-4952-B1CC-86FF5AECD62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38797</vt:lpwstr>
  </property>
  <property fmtid="{D5CDD505-2E9C-101B-9397-08002B2CF9AE}" pid="4" name="OptimizationTime">
    <vt:lpwstr>20190228_1744</vt:lpwstr>
  </property>
</Properties>
</file>

<file path=docProps/app.xml><?xml version="1.0" encoding="utf-8"?>
<Properties xmlns="http://schemas.openxmlformats.org/officeDocument/2006/extended-properties" xmlns:vt="http://schemas.openxmlformats.org/officeDocument/2006/docPropsVTypes">
  <Template>Normal</Template>
  <TotalTime>1</TotalTime>
  <Pages>10</Pages>
  <Words>3249</Words>
  <Characters>18524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Piya Chaipruckmalakarn</dc:creator>
  <cp:keywords/>
  <dc:description/>
  <cp:lastModifiedBy>Wantana Sangyangam</cp:lastModifiedBy>
  <cp:revision>3</cp:revision>
  <cp:lastPrinted>2019-02-27T09:13:00Z</cp:lastPrinted>
  <dcterms:created xsi:type="dcterms:W3CDTF">2019-02-28T10:32:00Z</dcterms:created>
  <dcterms:modified xsi:type="dcterms:W3CDTF">2019-02-28T10:32:00Z</dcterms:modified>
</cp:coreProperties>
</file>