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>
        <w:rPr>
          <w:rFonts w:ascii="Angsana New" w:hAnsi="Angsana New" w:cs="Angsana New"/>
          <w:sz w:val="48"/>
          <w:szCs w:val="48"/>
          <w:u w:val="none"/>
        </w:rPr>
        <w:t>(</w:t>
      </w:r>
      <w:r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>
        <w:rPr>
          <w:rFonts w:ascii="Angsana New" w:hAnsi="Angsana New" w:cs="Angsana New"/>
          <w:sz w:val="48"/>
          <w:szCs w:val="48"/>
          <w:u w:val="none"/>
        </w:rPr>
        <w:t>)</w:t>
      </w:r>
    </w:p>
    <w:p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>
          <w:footerReference w:type="even" r:id="rId9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>
      <w:pPr>
        <w:ind w:right="562"/>
        <w:jc w:val="thaiDistribute"/>
        <w:rPr>
          <w:rFonts w:ascii="Angsana New" w:hAnsi="Angsana New"/>
          <w:sz w:val="30"/>
          <w:szCs w:val="30"/>
        </w:rPr>
      </w:pPr>
    </w:p>
    <w:p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2562                        </w:t>
      </w:r>
      <w:r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เฉพาะกิจการ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</w:rPr>
        <w:t xml:space="preserve">2562 </w:t>
      </w:r>
      <w:r>
        <w:rPr>
          <w:rFonts w:ascii="Angsana New" w:hAnsi="Angsana New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/>
          <w:sz w:val="30"/>
          <w:szCs w:val="30"/>
        </w:rPr>
        <w:t xml:space="preserve">       </w:t>
      </w:r>
      <w:r>
        <w:rPr>
          <w:rFonts w:ascii="Angsana New" w:hAnsi="Angsana New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>
        <w:rPr>
          <w:rFonts w:ascii="Angsana New" w:hAnsi="Angsana New"/>
          <w:sz w:val="30"/>
          <w:szCs w:val="30"/>
          <w:cs/>
          <w:lang w:val="th-TH"/>
        </w:rPr>
        <w:t>และ</w:t>
      </w:r>
      <w:r>
        <w:rPr>
          <w:rFonts w:ascii="Angsana New" w:hAnsi="Angsana New"/>
          <w:sz w:val="30"/>
          <w:szCs w:val="30"/>
          <w:cs/>
        </w:rPr>
        <w:t xml:space="preserve">งบกระแสเงินสดรวมและงบกระแสเงินสดเฉพาะกิจการ สำหรับงวดหกเดือนสิ้นสุดวันที่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>
        <w:rPr>
          <w:rFonts w:ascii="Angsana New" w:hAnsi="Angsana New"/>
          <w:sz w:val="30"/>
          <w:szCs w:val="30"/>
          <w:cs/>
          <w:lang w:val="th-TH"/>
        </w:rPr>
        <w:t>ของ</w:t>
      </w:r>
      <w:r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จำกัด (มหาชน) และบริษัทย่อย</w:t>
      </w:r>
      <w:r>
        <w:rPr>
          <w:rFonts w:ascii="Angsana New" w:hAnsi="Angsana New"/>
          <w:color w:val="FFFFFF"/>
          <w:sz w:val="30"/>
          <w:szCs w:val="30"/>
        </w:rPr>
        <w:t>l</w:t>
      </w: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 และของเฉพาะ</w:t>
      </w:r>
      <w:r>
        <w:rPr>
          <w:rFonts w:ascii="Angsana New" w:hAnsi="Angsana New"/>
          <w:spacing w:val="6"/>
          <w:sz w:val="30"/>
          <w:szCs w:val="30"/>
          <w:cs/>
        </w:rPr>
        <w:t xml:space="preserve">บริษัทควอลิตี้คอนสตรัคชั่นโปรดัคส์ จำกัด (มหาชน) </w:t>
      </w:r>
      <w:r>
        <w:rPr>
          <w:rFonts w:ascii="Angsana New" w:hAnsi="Angsana New"/>
          <w:spacing w:val="6"/>
          <w:sz w:val="30"/>
          <w:szCs w:val="30"/>
          <w:lang w:val="en-GB"/>
        </w:rPr>
        <w:t>(“</w:t>
      </w:r>
      <w:r>
        <w:rPr>
          <w:rFonts w:ascii="Angsana New" w:hAnsi="Angsana New"/>
          <w:spacing w:val="6"/>
          <w:sz w:val="30"/>
          <w:szCs w:val="30"/>
          <w:cs/>
          <w:lang w:val="en-GB"/>
        </w:rPr>
        <w:t>บริษัท</w:t>
      </w:r>
      <w:r>
        <w:rPr>
          <w:rFonts w:ascii="Angsana New" w:hAnsi="Angsana New"/>
          <w:spacing w:val="6"/>
          <w:sz w:val="30"/>
          <w:szCs w:val="30"/>
        </w:rPr>
        <w:t xml:space="preserve">”) </w:t>
      </w:r>
      <w:r>
        <w:rPr>
          <w:rFonts w:ascii="Angsana New" w:hAnsi="Angsana New"/>
          <w:spacing w:val="6"/>
          <w:sz w:val="30"/>
          <w:szCs w:val="30"/>
          <w:cs/>
        </w:rPr>
        <w:t>ตามลำดับ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</w:t>
      </w:r>
      <w:r>
        <w:rPr>
          <w:rFonts w:ascii="Angsana New" w:hAnsi="Angsana New"/>
          <w:spacing w:val="-4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pacing w:val="-4"/>
          <w:sz w:val="30"/>
          <w:szCs w:val="30"/>
        </w:rPr>
        <w:t xml:space="preserve">34 </w:t>
      </w:r>
      <w:r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การรายงานทางการเงิน</w:t>
      </w:r>
      <w:r>
        <w:rPr>
          <w:rFonts w:ascii="Angsana New" w:hAnsi="Angsana New"/>
          <w:spacing w:val="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="Angsana New" w:hAnsi="Angsana New"/>
          <w:spacing w:val="4"/>
          <w:sz w:val="30"/>
          <w:szCs w:val="30"/>
        </w:rPr>
        <w:t xml:space="preserve">                 </w:t>
      </w:r>
      <w:r>
        <w:rPr>
          <w:rFonts w:ascii="Angsana New" w:hAnsi="Angsana New"/>
          <w:spacing w:val="4"/>
          <w:sz w:val="30"/>
          <w:szCs w:val="30"/>
          <w:cs/>
        </w:rPr>
        <w:t>ผลการ</w:t>
      </w:r>
      <w:r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รหัส</w:t>
      </w:r>
      <w:r>
        <w:rPr>
          <w:rFonts w:ascii="Angsana New" w:hAnsi="Angsana New"/>
          <w:spacing w:val="4"/>
          <w:sz w:val="30"/>
          <w:szCs w:val="30"/>
        </w:rPr>
        <w:t xml:space="preserve"> 2410 “</w:t>
      </w:r>
      <w:r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16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pacing w:val="-16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ธัญลักษณ์ เกตุแก้ว)</w:t>
      </w:r>
    </w:p>
    <w:p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8179</w:t>
      </w:r>
    </w:p>
    <w:p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กรุงเทพมหานคร</w:t>
      </w:r>
    </w:p>
    <w:p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2562</w:t>
      </w:r>
    </w:p>
    <w:p>
      <w:pPr>
        <w:rPr>
          <w:rFonts w:ascii="Angsana New" w:hAnsi="Angsana New"/>
        </w:rPr>
      </w:pPr>
    </w:p>
    <w:p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bookmarkStart w:id="0" w:name="_GoBack"/>
      <w:bookmarkEnd w:id="0"/>
    </w:p>
    <w:sectPr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>
      <w:rPr>
        <w:rFonts w:ascii="Angsana New" w:hAnsi="Angsana New"/>
        <w:sz w:val="30"/>
        <w:szCs w:val="30"/>
      </w:rPr>
      <w:fldChar w:fldCharType="end"/>
    </w:r>
  </w:p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qua009a191b-06t-1 Rev 10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  <w:rPr>
        <w:rFonts w:ascii="Angsana New" w:hAnsi="Angsana New"/>
        <w:sz w:val="32"/>
        <w:szCs w:val="32"/>
      </w:rPr>
    </w:pPr>
  </w:p>
  <w:p>
    <w:pPr>
      <w:pStyle w:val="Header"/>
      <w:rPr>
        <w:rFonts w:ascii="Angsana New" w:hAnsi="Angsana New"/>
        <w:sz w:val="32"/>
        <w:szCs w:val="32"/>
      </w:rPr>
    </w:pPr>
  </w:p>
  <w:p>
    <w:pPr>
      <w:pStyle w:val="Header"/>
      <w:rPr>
        <w:rFonts w:ascii="Angsana New" w:hAnsi="Angsana New"/>
        <w:sz w:val="32"/>
        <w:szCs w:val="32"/>
      </w:rPr>
    </w:pPr>
  </w:p>
  <w:p>
    <w:pPr>
      <w:pStyle w:val="Header"/>
      <w:rPr>
        <w:rFonts w:ascii="Angsana New" w:hAnsi="Angsana New"/>
        <w:sz w:val="32"/>
        <w:szCs w:val="32"/>
      </w:rPr>
    </w:pPr>
  </w:p>
  <w:p>
    <w:pPr>
      <w:pStyle w:val="Header"/>
      <w:rPr>
        <w:rFonts w:ascii="Angsana New" w:hAnsi="Angsana New"/>
        <w:sz w:val="32"/>
        <w:szCs w:val="32"/>
      </w:rPr>
    </w:pPr>
  </w:p>
  <w:p>
    <w:pPr>
      <w:pStyle w:val="Header"/>
      <w:rPr>
        <w:rFonts w:ascii="Angsana New" w:hAnsi="Angsana New"/>
        <w:sz w:val="32"/>
        <w:szCs w:val="32"/>
      </w:rPr>
    </w:pPr>
  </w:p>
  <w:p>
    <w:pPr>
      <w:pStyle w:val="Header"/>
      <w:rPr>
        <w:rFonts w:ascii="Angsana New" w:hAnsi="Angsana New"/>
        <w:sz w:val="32"/>
        <w:szCs w:val="32"/>
      </w:rPr>
    </w:pPr>
  </w:p>
  <w:p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บริษัทควอลิตี้คอนสตรัคชั่นโปรดัคส์ จำกัด (มหาชน) และบริษัทย่อย</w:t>
    </w:r>
  </w:p>
  <w:p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และบริษัทย่อย</w:t>
    </w:r>
  </w:p>
  <w:p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hint="cs"/>
        <w:b/>
        <w:bCs/>
        <w:sz w:val="32"/>
        <w:szCs w:val="32"/>
      </w:rPr>
      <w:t>2548</w:t>
    </w:r>
  </w:p>
  <w:p>
    <w:pPr>
      <w:pStyle w:val="Header"/>
      <w:rPr>
        <w:sz w:val="16"/>
        <w:szCs w:val="16"/>
      </w:rPr>
    </w:pPr>
  </w:p>
  <w:p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18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>
    <w:nsid w:val="55E2014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5"/>
  </w:num>
  <w:num w:numId="14">
    <w:abstractNumId w:val="16"/>
  </w:num>
  <w:num w:numId="15">
    <w:abstractNumId w:val="20"/>
  </w:num>
  <w:num w:numId="16">
    <w:abstractNumId w:val="26"/>
  </w:num>
  <w:num w:numId="17">
    <w:abstractNumId w:val="27"/>
  </w:num>
  <w:num w:numId="18">
    <w:abstractNumId w:val="11"/>
  </w:num>
  <w:num w:numId="19">
    <w:abstractNumId w:val="17"/>
  </w:num>
  <w:num w:numId="20">
    <w:abstractNumId w:val="10"/>
  </w:num>
  <w:num w:numId="21">
    <w:abstractNumId w:val="15"/>
  </w:num>
  <w:num w:numId="22">
    <w:abstractNumId w:val="24"/>
  </w:num>
  <w:num w:numId="23">
    <w:abstractNumId w:val="18"/>
  </w:num>
  <w:num w:numId="24">
    <w:abstractNumId w:val="21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2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12"/>
  </w:num>
  <w:num w:numId="3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1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acctfourfigures">
    <w:name w:val="acct four figures"/>
    <w:aliases w:val="a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acctfourfigures">
    <w:name w:val="acct four figures"/>
    <w:aliases w:val="a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64E8C-4BAF-4E5F-8D72-41B98E5CA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Kanisorn, Ratanabunterng</dc:creator>
  <cp:keywords/>
  <dc:description/>
  <cp:lastModifiedBy>Tidarat  Pakeeporn</cp:lastModifiedBy>
  <cp:revision>3</cp:revision>
  <cp:lastPrinted>2019-08-02T06:57:00Z</cp:lastPrinted>
  <dcterms:created xsi:type="dcterms:W3CDTF">2019-08-06T04:26:00Z</dcterms:created>
  <dcterms:modified xsi:type="dcterms:W3CDTF">2019-08-08T01:08:00Z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