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44511D" w:rsidTr="00D37812">
        <w:trPr>
          <w:trHeight w:val="2865"/>
        </w:trPr>
        <w:tc>
          <w:tcPr>
            <w:tcW w:w="2628" w:type="dxa"/>
          </w:tcPr>
          <w:p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E4656" w:rsidRPr="00D85CF8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4"/>
                <w:szCs w:val="24"/>
                <w:lang w:val="en-US"/>
              </w:rPr>
            </w:pPr>
            <w:bookmarkStart w:id="0" w:name="OLE_LINK1"/>
            <w:bookmarkStart w:id="1" w:name="OLE_LINK2"/>
            <w:r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Thai Plaspac Public Company Limited</w:t>
            </w:r>
            <w:r w:rsidR="00D51106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 xml:space="preserve"> </w:t>
            </w:r>
            <w:r w:rsidR="00971600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and its subsidiar</w:t>
            </w:r>
            <w:r w:rsidR="00971600" w:rsidRPr="00D85CF8">
              <w:rPr>
                <w:rFonts w:cs="Angsana New"/>
                <w:color w:val="7F7E82"/>
                <w:sz w:val="24"/>
                <w:szCs w:val="24"/>
                <w:lang w:val="en-US"/>
              </w:rPr>
              <w:t>ies</w:t>
            </w:r>
          </w:p>
          <w:p w:rsidR="00AB64DC" w:rsidRPr="00D85CF8" w:rsidRDefault="00AB64DC" w:rsidP="00D85CF8">
            <w:pPr>
              <w:spacing w:line="380" w:lineRule="exact"/>
              <w:ind w:right="-78"/>
              <w:rPr>
                <w:rFonts w:cs="Times New Roman"/>
                <w:color w:val="7F7E82"/>
                <w:sz w:val="24"/>
                <w:szCs w:val="24"/>
                <w:lang w:val="en-US"/>
              </w:rPr>
            </w:pPr>
            <w:r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Review report and</w:t>
            </w:r>
            <w:r w:rsidR="00D51106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 xml:space="preserve"> consolidated</w:t>
            </w:r>
            <w:r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 xml:space="preserve"> interim financial statements</w:t>
            </w:r>
          </w:p>
          <w:p w:rsidR="009E4656" w:rsidRPr="00D51106" w:rsidRDefault="00A5092D" w:rsidP="00D85CF8">
            <w:pPr>
              <w:spacing w:line="380" w:lineRule="exact"/>
              <w:ind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For the three-month</w:t>
            </w:r>
            <w:r w:rsidR="007038A1" w:rsidRPr="00D85CF8">
              <w:rPr>
                <w:rFonts w:cstheme="minorBidi" w:hint="cs"/>
                <w:color w:val="7F7E82"/>
                <w:sz w:val="24"/>
                <w:szCs w:val="24"/>
                <w:cs/>
                <w:lang w:val="en-US"/>
              </w:rPr>
              <w:t xml:space="preserve"> </w:t>
            </w:r>
            <w:r w:rsidR="00EF5281" w:rsidRPr="00D85CF8">
              <w:rPr>
                <w:rFonts w:cstheme="minorBidi"/>
                <w:color w:val="7F7E82"/>
                <w:sz w:val="24"/>
                <w:szCs w:val="24"/>
                <w:lang w:val="en-US"/>
              </w:rPr>
              <w:t xml:space="preserve">and </w:t>
            </w:r>
            <w:r w:rsidR="00B155FC" w:rsidRPr="00D85CF8">
              <w:rPr>
                <w:rFonts w:cstheme="minorBidi"/>
                <w:color w:val="7F7E82"/>
                <w:sz w:val="24"/>
                <w:szCs w:val="24"/>
                <w:lang w:val="en-US"/>
              </w:rPr>
              <w:t>nine</w:t>
            </w:r>
            <w:r w:rsidR="00EF5281" w:rsidRPr="00D85CF8">
              <w:rPr>
                <w:rFonts w:cstheme="minorBidi"/>
                <w:color w:val="7F7E82"/>
                <w:sz w:val="24"/>
                <w:szCs w:val="24"/>
                <w:lang w:val="en-US"/>
              </w:rPr>
              <w:t xml:space="preserve">-month </w:t>
            </w:r>
            <w:r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period</w:t>
            </w:r>
            <w:r w:rsidR="00EF5281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s</w:t>
            </w:r>
            <w:r w:rsidR="00AB64DC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 xml:space="preserve"> ended </w:t>
            </w:r>
            <w:bookmarkEnd w:id="0"/>
            <w:bookmarkEnd w:id="1"/>
            <w:r w:rsidR="00EF5281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 xml:space="preserve">30 </w:t>
            </w:r>
            <w:r w:rsidR="00D85CF8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>September</w:t>
            </w:r>
            <w:r w:rsidR="005D5E6A" w:rsidRPr="00D85CF8">
              <w:rPr>
                <w:rFonts w:cs="Times New Roman"/>
                <w:color w:val="7F7E82"/>
                <w:sz w:val="24"/>
                <w:szCs w:val="24"/>
                <w:lang w:val="en-US"/>
              </w:rPr>
              <w:t xml:space="preserve"> 2019</w:t>
            </w:r>
          </w:p>
        </w:tc>
      </w:tr>
    </w:tbl>
    <w:p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headerReference w:type="first" r:id="rId8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:rsidR="00C6533D" w:rsidRDefault="00C6533D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:rsidR="00580DE3" w:rsidRPr="00580DE3" w:rsidRDefault="00580DE3" w:rsidP="00580DE3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:rsidR="00580DE3" w:rsidRPr="00580DE3" w:rsidRDefault="00580DE3" w:rsidP="00D91658">
      <w:pPr>
        <w:spacing w:before="80" w:after="80" w:line="34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EF5281">
        <w:rPr>
          <w:rFonts w:ascii="Arial" w:hAnsi="Arial" w:cs="Arial"/>
          <w:sz w:val="22"/>
          <w:szCs w:val="22"/>
          <w:lang w:val="en-US"/>
        </w:rPr>
        <w:t xml:space="preserve">30 </w:t>
      </w:r>
      <w:r w:rsidR="00B155FC">
        <w:rPr>
          <w:rFonts w:ascii="Arial" w:hAnsi="Arial" w:cs="Arial"/>
          <w:sz w:val="22"/>
          <w:szCs w:val="22"/>
          <w:lang w:val="en-US"/>
        </w:rPr>
        <w:t>September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5D5E6A">
        <w:rPr>
          <w:rFonts w:ascii="Arial" w:hAnsi="Arial" w:cs="Arial"/>
          <w:sz w:val="22"/>
          <w:szCs w:val="22"/>
          <w:lang w:val="en-US"/>
        </w:rPr>
        <w:t>2019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EF5281">
        <w:rPr>
          <w:rFonts w:ascii="Arial" w:hAnsi="Arial" w:cs="Arial"/>
          <w:sz w:val="22"/>
          <w:szCs w:val="22"/>
          <w:lang w:val="en-US"/>
        </w:rPr>
        <w:t xml:space="preserve"> for the three-month and </w:t>
      </w:r>
      <w:r w:rsidR="00526E1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="00B155FC">
        <w:rPr>
          <w:rFonts w:ascii="Arial" w:hAnsi="Arial" w:cs="Arial"/>
          <w:sz w:val="22"/>
          <w:szCs w:val="22"/>
          <w:lang w:val="en-US"/>
        </w:rPr>
        <w:t>nine</w:t>
      </w:r>
      <w:r w:rsidR="00EF5281">
        <w:rPr>
          <w:rFonts w:ascii="Arial" w:hAnsi="Arial" w:cs="Arial"/>
          <w:sz w:val="22"/>
          <w:szCs w:val="22"/>
          <w:lang w:val="en-US"/>
        </w:rPr>
        <w:t xml:space="preserve">-month periods </w:t>
      </w:r>
      <w:r w:rsidR="00CB70FA">
        <w:rPr>
          <w:rFonts w:ascii="Arial" w:hAnsi="Arial" w:cs="Browallia New"/>
          <w:sz w:val="22"/>
          <w:lang w:val="en-US"/>
        </w:rPr>
        <w:t xml:space="preserve">then </w:t>
      </w:r>
      <w:r w:rsidR="00EF5281">
        <w:rPr>
          <w:rFonts w:ascii="Arial" w:hAnsi="Arial" w:cs="Arial"/>
          <w:sz w:val="22"/>
          <w:szCs w:val="22"/>
          <w:lang w:val="en-US"/>
        </w:rPr>
        <w:t>ended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526E1F">
        <w:rPr>
          <w:rFonts w:ascii="Arial" w:hAnsi="Arial" w:cs="Arial"/>
          <w:sz w:val="22"/>
          <w:szCs w:val="22"/>
          <w:lang w:val="en-US"/>
        </w:rPr>
        <w:t xml:space="preserve">the </w:t>
      </w:r>
      <w:r w:rsidR="00CB70FA">
        <w:rPr>
          <w:rFonts w:ascii="Arial" w:hAnsi="Arial" w:cs="Arial"/>
          <w:sz w:val="22"/>
          <w:szCs w:val="22"/>
          <w:lang w:val="en-US"/>
        </w:rPr>
        <w:t xml:space="preserve">related </w:t>
      </w:r>
      <w:r w:rsidR="00526E1F">
        <w:rPr>
          <w:rFonts w:ascii="Arial" w:hAnsi="Arial" w:cs="Arial"/>
          <w:sz w:val="22"/>
          <w:szCs w:val="22"/>
          <w:lang w:val="en-US"/>
        </w:rPr>
        <w:t xml:space="preserve">consolidated statements of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changes </w:t>
      </w:r>
      <w:proofErr w:type="gramStart"/>
      <w:r w:rsidRPr="00580DE3">
        <w:rPr>
          <w:rFonts w:ascii="Arial" w:hAnsi="Arial" w:cs="Arial"/>
          <w:sz w:val="22"/>
          <w:szCs w:val="22"/>
          <w:lang w:val="en-US"/>
        </w:rPr>
        <w:t xml:space="preserve">in </w:t>
      </w:r>
      <w:r w:rsidR="00C6533D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shareholders</w:t>
      </w:r>
      <w:proofErr w:type="gramEnd"/>
      <w:r w:rsidRPr="00580DE3">
        <w:rPr>
          <w:rFonts w:ascii="Arial" w:hAnsi="Arial" w:cs="Arial"/>
          <w:sz w:val="22"/>
          <w:szCs w:val="22"/>
          <w:lang w:val="en-US"/>
        </w:rPr>
        <w:t xml:space="preserve">’ equity, and cash flows for the </w:t>
      </w:r>
      <w:r w:rsidR="00B155FC">
        <w:rPr>
          <w:rFonts w:ascii="Arial" w:hAnsi="Arial" w:cs="Arial"/>
          <w:sz w:val="22"/>
          <w:szCs w:val="22"/>
          <w:lang w:val="en-US"/>
        </w:rPr>
        <w:t>nine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-month period then ended, as well as the condensed notes to the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C6533D">
        <w:rPr>
          <w:rFonts w:ascii="Arial" w:hAnsi="Arial" w:cstheme="minorBidi" w:hint="cs"/>
          <w:sz w:val="22"/>
          <w:szCs w:val="22"/>
          <w:cs/>
          <w:lang w:val="en-US"/>
        </w:rPr>
        <w:t xml:space="preserve">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My responsibility is to express a conclusion on this interim financial information based </w:t>
      </w:r>
      <w:r w:rsidR="00CB70FA">
        <w:rPr>
          <w:rFonts w:ascii="Arial" w:hAnsi="Arial" w:cs="Arial"/>
          <w:sz w:val="22"/>
          <w:szCs w:val="22"/>
          <w:lang w:val="en-US"/>
        </w:rPr>
        <w:t xml:space="preserve">on </w:t>
      </w:r>
      <w:r w:rsidR="00C6533D">
        <w:rPr>
          <w:rFonts w:ascii="Arial" w:hAnsi="Arial" w:cstheme="minorBidi" w:hint="cs"/>
          <w:sz w:val="22"/>
          <w:szCs w:val="22"/>
          <w:cs/>
          <w:lang w:val="en-US"/>
        </w:rPr>
        <w:t xml:space="preserve">           </w:t>
      </w:r>
      <w:r w:rsidR="00CB70FA">
        <w:rPr>
          <w:rFonts w:ascii="Arial" w:hAnsi="Arial" w:cs="Arial"/>
          <w:sz w:val="22"/>
          <w:szCs w:val="22"/>
          <w:lang w:val="en-US"/>
        </w:rPr>
        <w:t xml:space="preserve">my </w:t>
      </w:r>
      <w:r w:rsidRPr="00580DE3">
        <w:rPr>
          <w:rFonts w:ascii="Arial" w:hAnsi="Arial" w:cs="Arial"/>
          <w:sz w:val="22"/>
          <w:szCs w:val="22"/>
          <w:lang w:val="en-US"/>
        </w:rPr>
        <w:t>review.</w:t>
      </w:r>
    </w:p>
    <w:p w:rsidR="00580DE3" w:rsidRPr="00580DE3" w:rsidRDefault="00580DE3" w:rsidP="00D91658">
      <w:pPr>
        <w:spacing w:before="80" w:after="80" w:line="340" w:lineRule="exact"/>
        <w:ind w:right="22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:rsidR="00580DE3" w:rsidRPr="00580DE3" w:rsidRDefault="00580DE3" w:rsidP="00D91658">
      <w:pPr>
        <w:spacing w:before="80" w:after="80" w:line="340" w:lineRule="exact"/>
        <w:ind w:right="220"/>
        <w:rPr>
          <w:rFonts w:ascii="Arial" w:hAnsi="Arial" w:cs="Arial"/>
          <w:sz w:val="22"/>
          <w:szCs w:val="22"/>
          <w:cs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C6533D">
        <w:rPr>
          <w:rFonts w:ascii="Arial" w:hAnsi="Arial" w:cstheme="minorBidi" w:hint="cs"/>
          <w:sz w:val="22"/>
          <w:szCs w:val="22"/>
          <w:cs/>
          <w:lang w:val="en-US"/>
        </w:rPr>
        <w:t xml:space="preserve">            </w:t>
      </w:r>
      <w:r w:rsidRPr="00580DE3">
        <w:rPr>
          <w:rFonts w:ascii="Arial" w:hAnsi="Arial" w:cs="Arial"/>
          <w:sz w:val="22"/>
          <w:szCs w:val="22"/>
          <w:lang w:val="en-US"/>
        </w:rPr>
        <w:t>with Thai Standards on Auditing and consequently does not enable me to obtain assurance that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>,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cs/>
        </w:rPr>
        <w:t xml:space="preserve">I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do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not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opinion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>.</w:t>
      </w:r>
    </w:p>
    <w:p w:rsidR="00580DE3" w:rsidRPr="00580DE3" w:rsidRDefault="00580DE3" w:rsidP="00D91658">
      <w:pPr>
        <w:spacing w:before="80" w:after="80" w:line="340" w:lineRule="exact"/>
        <w:ind w:right="22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:rsidR="00580DE3" w:rsidRDefault="00580DE3" w:rsidP="00D91658">
      <w:pPr>
        <w:spacing w:before="80" w:after="80" w:line="340" w:lineRule="exact"/>
        <w:ind w:right="22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:rsidR="00D91658" w:rsidRPr="00003176" w:rsidRDefault="00D91658" w:rsidP="00D91658">
      <w:pPr>
        <w:spacing w:before="120" w:after="120" w:line="340" w:lineRule="exact"/>
        <w:ind w:right="-130"/>
        <w:rPr>
          <w:rFonts w:ascii="Arial" w:hAnsi="Arial" w:cs="Arial"/>
          <w:b/>
          <w:bCs/>
          <w:sz w:val="22"/>
          <w:szCs w:val="22"/>
          <w:cs/>
          <w:lang w:val="en-US"/>
        </w:rPr>
      </w:pPr>
      <w:proofErr w:type="spellStart"/>
      <w:r w:rsidRPr="00003176">
        <w:rPr>
          <w:rFonts w:ascii="Arial" w:hAnsi="Arial" w:cs="Arial" w:hint="cs"/>
          <w:b/>
          <w:bCs/>
          <w:sz w:val="22"/>
          <w:szCs w:val="22"/>
          <w:cs/>
          <w:lang w:val="en-US"/>
        </w:rPr>
        <w:t>Emphasis</w:t>
      </w:r>
      <w:proofErr w:type="spellEnd"/>
      <w:r w:rsidRPr="00003176">
        <w:rPr>
          <w:rFonts w:ascii="Arial" w:hAnsi="Arial" w:cs="Arial" w:hint="cs"/>
          <w:b/>
          <w:bCs/>
          <w:sz w:val="22"/>
          <w:szCs w:val="22"/>
          <w:cs/>
          <w:lang w:val="en-US"/>
        </w:rPr>
        <w:t xml:space="preserve"> of </w:t>
      </w:r>
      <w:proofErr w:type="spellStart"/>
      <w:r w:rsidRPr="00003176">
        <w:rPr>
          <w:rFonts w:ascii="Arial" w:hAnsi="Arial" w:cs="Arial" w:hint="cs"/>
          <w:b/>
          <w:bCs/>
          <w:sz w:val="22"/>
          <w:szCs w:val="22"/>
          <w:cs/>
          <w:lang w:val="en-US"/>
        </w:rPr>
        <w:t>Matters</w:t>
      </w:r>
      <w:proofErr w:type="spellEnd"/>
    </w:p>
    <w:p w:rsidR="00D91658" w:rsidRPr="00BE1109" w:rsidRDefault="00D91658" w:rsidP="00D91658">
      <w:pPr>
        <w:spacing w:before="120" w:after="120" w:line="340" w:lineRule="exact"/>
        <w:ind w:right="-130"/>
        <w:rPr>
          <w:rFonts w:ascii="Arial" w:hAnsi="Arial" w:cstheme="minorBidi"/>
          <w:sz w:val="22"/>
          <w:szCs w:val="22"/>
          <w:lang w:val="en-US"/>
        </w:rPr>
      </w:pPr>
      <w:r w:rsidRPr="00BE1109">
        <w:rPr>
          <w:rFonts w:ascii="Arial" w:hAnsi="Arial" w:cs="Arial"/>
          <w:sz w:val="22"/>
          <w:szCs w:val="22"/>
          <w:lang w:val="en-US"/>
        </w:rPr>
        <w:t xml:space="preserve">Without expressing a qualified conclusion on the </w:t>
      </w:r>
      <w:proofErr w:type="gramStart"/>
      <w:r w:rsidRPr="00BE1109">
        <w:rPr>
          <w:rFonts w:ascii="Arial" w:hAnsi="Arial" w:cs="Arial"/>
          <w:sz w:val="22"/>
          <w:szCs w:val="22"/>
          <w:lang w:val="en-US"/>
        </w:rPr>
        <w:t>aforementioned interim</w:t>
      </w:r>
      <w:proofErr w:type="gramEnd"/>
      <w:r w:rsidRPr="00BE1109">
        <w:rPr>
          <w:rFonts w:ascii="Arial" w:hAnsi="Arial" w:cs="Arial"/>
          <w:sz w:val="22"/>
          <w:szCs w:val="22"/>
          <w:lang w:val="en-US"/>
        </w:rPr>
        <w:t xml:space="preserve"> financial information,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BE1109">
        <w:rPr>
          <w:rFonts w:ascii="Arial" w:hAnsi="Arial" w:cs="Arial"/>
          <w:sz w:val="22"/>
          <w:szCs w:val="22"/>
          <w:lang w:val="en-US"/>
        </w:rPr>
        <w:t xml:space="preserve">I draw attention to the Note 1.3 to financial statements. </w:t>
      </w:r>
    </w:p>
    <w:p w:rsidR="00367661" w:rsidRDefault="00367661" w:rsidP="00D91658">
      <w:pPr>
        <w:spacing w:before="120" w:after="120" w:line="340" w:lineRule="exact"/>
        <w:ind w:right="-130"/>
        <w:rPr>
          <w:rFonts w:ascii="Arial" w:hAnsi="Arial" w:cs="Angsana New"/>
          <w:b/>
          <w:bCs/>
          <w:sz w:val="22"/>
          <w:szCs w:val="22"/>
          <w:cs/>
          <w:lang w:val="en-US"/>
        </w:rPr>
        <w:sectPr w:rsidR="00367661" w:rsidSect="00EF5281">
          <w:footerReference w:type="first" r:id="rId9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</w:sectPr>
      </w:pPr>
    </w:p>
    <w:p w:rsidR="00971600" w:rsidRPr="002A37FF" w:rsidRDefault="00BE1109" w:rsidP="00D91658">
      <w:pPr>
        <w:pStyle w:val="ps-000-normal"/>
        <w:numPr>
          <w:ilvl w:val="0"/>
          <w:numId w:val="1"/>
        </w:numPr>
        <w:spacing w:before="80" w:after="80" w:line="340" w:lineRule="exact"/>
        <w:ind w:right="-130"/>
        <w:rPr>
          <w:rFonts w:ascii="Arial" w:hAnsi="Arial" w:cstheme="minorBidi"/>
          <w:sz w:val="22"/>
          <w:szCs w:val="22"/>
        </w:rPr>
      </w:pPr>
      <w:r w:rsidRPr="00B155FC">
        <w:rPr>
          <w:rFonts w:ascii="Arial" w:hAnsi="Arial" w:cs="Browallia New"/>
          <w:sz w:val="22"/>
          <w:szCs w:val="28"/>
        </w:rPr>
        <w:lastRenderedPageBreak/>
        <w:t>On</w:t>
      </w:r>
      <w:r w:rsidRPr="00B155FC">
        <w:rPr>
          <w:rFonts w:ascii="Arial" w:hAnsi="Arial" w:cs="Arial"/>
          <w:sz w:val="22"/>
          <w:szCs w:val="22"/>
        </w:rPr>
        <w:t xml:space="preserve"> 28 August 2018, TPAC Packaging India Private Limited</w:t>
      </w:r>
      <w:r w:rsidRPr="00B155FC">
        <w:rPr>
          <w:rFonts w:ascii="Arial" w:hAnsi="Arial" w:cs="Browallia New"/>
          <w:sz w:val="22"/>
        </w:rPr>
        <w:t xml:space="preserve"> (the subsidiary company) </w:t>
      </w:r>
      <w:r w:rsidRPr="00B155FC">
        <w:rPr>
          <w:rFonts w:ascii="Arial" w:hAnsi="Arial" w:cs="Arial"/>
          <w:sz w:val="22"/>
          <w:szCs w:val="22"/>
        </w:rPr>
        <w:t xml:space="preserve">acquired all assets and liabilities of Sunrise Containers Limited through the amalgamation of </w:t>
      </w:r>
      <w:proofErr w:type="spellStart"/>
      <w:r w:rsidRPr="00B155FC">
        <w:rPr>
          <w:rFonts w:ascii="Arial" w:hAnsi="Arial" w:cs="Arial"/>
          <w:sz w:val="22"/>
          <w:szCs w:val="22"/>
        </w:rPr>
        <w:t>TPAC</w:t>
      </w:r>
      <w:proofErr w:type="spellEnd"/>
      <w:r w:rsidRPr="00B155FC">
        <w:rPr>
          <w:rFonts w:ascii="Arial" w:hAnsi="Arial" w:cs="Arial"/>
          <w:sz w:val="22"/>
          <w:szCs w:val="22"/>
        </w:rPr>
        <w:t xml:space="preserve"> Packaging India Private Limited and Sunrise Containers Limited under </w:t>
      </w:r>
      <w:r w:rsidR="00B155FC">
        <w:rPr>
          <w:rFonts w:ascii="Arial" w:hAnsi="Arial" w:cs="Arial"/>
          <w:sz w:val="22"/>
          <w:szCs w:val="22"/>
        </w:rPr>
        <w:br/>
      </w:r>
      <w:r w:rsidRPr="00B155FC">
        <w:rPr>
          <w:rFonts w:ascii="Arial" w:hAnsi="Arial" w:cs="Arial"/>
          <w:sz w:val="22"/>
          <w:szCs w:val="22"/>
        </w:rPr>
        <w:t xml:space="preserve">the Indian laws, whereby TPAC Packaging India Private Limited is the operating entity. </w:t>
      </w:r>
      <w:r w:rsidR="00B155FC">
        <w:rPr>
          <w:rFonts w:ascii="Arial" w:hAnsi="Arial" w:cs="Arial"/>
          <w:sz w:val="22"/>
          <w:szCs w:val="22"/>
        </w:rPr>
        <w:br/>
      </w:r>
      <w:r w:rsidRPr="00B155FC">
        <w:rPr>
          <w:rFonts w:ascii="Arial" w:hAnsi="Arial" w:cs="Arial"/>
          <w:sz w:val="22"/>
          <w:szCs w:val="22"/>
        </w:rPr>
        <w:t xml:space="preserve">The consideration was paid to the former shareholders for 80% amounting to </w:t>
      </w:r>
      <w:r w:rsidR="00B155FC">
        <w:rPr>
          <w:rFonts w:ascii="Arial" w:hAnsi="Arial" w:cs="Arial"/>
          <w:sz w:val="22"/>
          <w:szCs w:val="22"/>
        </w:rPr>
        <w:br/>
      </w:r>
      <w:r w:rsidRPr="00B155FC">
        <w:rPr>
          <w:rFonts w:ascii="Arial" w:hAnsi="Arial" w:cs="Arial"/>
          <w:sz w:val="22"/>
          <w:szCs w:val="22"/>
        </w:rPr>
        <w:t>INR 4,735 million</w:t>
      </w:r>
      <w:r w:rsidR="00500DF5" w:rsidRPr="00B155FC">
        <w:rPr>
          <w:rFonts w:ascii="Arial" w:hAnsi="Arial" w:cs="Arial"/>
          <w:sz w:val="22"/>
          <w:szCs w:val="22"/>
        </w:rPr>
        <w:t xml:space="preserve"> or Baht </w:t>
      </w:r>
      <w:r w:rsidR="00500DF5" w:rsidRPr="00B155FC">
        <w:rPr>
          <w:rFonts w:ascii="Arial" w:hAnsi="Arial" w:cstheme="minorBidi"/>
          <w:sz w:val="22"/>
          <w:szCs w:val="22"/>
        </w:rPr>
        <w:t>2,178 million</w:t>
      </w:r>
      <w:r w:rsidRPr="00B155FC">
        <w:rPr>
          <w:rFonts w:ascii="Arial" w:hAnsi="Arial" w:cs="Arial"/>
          <w:sz w:val="22"/>
          <w:szCs w:val="22"/>
        </w:rPr>
        <w:t xml:space="preserve">, and TPAC Packaging India Private Limited </w:t>
      </w:r>
      <w:r w:rsidR="00B155FC">
        <w:rPr>
          <w:rFonts w:ascii="Arial" w:hAnsi="Arial" w:cs="Arial"/>
          <w:sz w:val="22"/>
          <w:szCs w:val="22"/>
        </w:rPr>
        <w:br/>
      </w:r>
      <w:r w:rsidRPr="00B155FC">
        <w:rPr>
          <w:rFonts w:ascii="Arial" w:hAnsi="Arial" w:cs="Arial"/>
          <w:sz w:val="22"/>
          <w:szCs w:val="22"/>
        </w:rPr>
        <w:t>issued 20% new shares to former shareholders.</w:t>
      </w:r>
      <w:r w:rsidR="00B155FC">
        <w:rPr>
          <w:rFonts w:ascii="Arial" w:hAnsi="Arial" w:cs="Arial"/>
          <w:sz w:val="22"/>
          <w:szCs w:val="22"/>
        </w:rPr>
        <w:t xml:space="preserve"> </w:t>
      </w:r>
      <w:r w:rsidR="00B155FC">
        <w:rPr>
          <w:rFonts w:ascii="Arial" w:hAnsi="Arial" w:cs="Arial"/>
          <w:sz w:val="22"/>
          <w:szCs w:val="22"/>
        </w:rPr>
        <w:br/>
      </w:r>
      <w:r w:rsidR="00CB70FA" w:rsidRPr="00B155FC">
        <w:rPr>
          <w:rFonts w:ascii="Arial" w:hAnsi="Arial" w:cs="Arial"/>
          <w:sz w:val="22"/>
          <w:szCs w:val="22"/>
        </w:rPr>
        <w:t>During the second quarter of the year 2019</w:t>
      </w:r>
      <w:r w:rsidRPr="00B155FC">
        <w:rPr>
          <w:rFonts w:ascii="Arial" w:hAnsi="Arial" w:cs="Arial"/>
          <w:sz w:val="22"/>
          <w:szCs w:val="22"/>
        </w:rPr>
        <w:t xml:space="preserve">, the subsidiary company </w:t>
      </w:r>
      <w:r w:rsidR="00CB70FA" w:rsidRPr="00B155FC">
        <w:rPr>
          <w:rFonts w:ascii="Arial" w:hAnsi="Arial" w:cs="Arial"/>
          <w:sz w:val="22"/>
          <w:szCs w:val="22"/>
        </w:rPr>
        <w:t xml:space="preserve">and the Company’s management have completed </w:t>
      </w:r>
      <w:r w:rsidRPr="00B155FC">
        <w:rPr>
          <w:rFonts w:ascii="Arial" w:hAnsi="Arial" w:cs="Arial"/>
          <w:sz w:val="22"/>
          <w:szCs w:val="22"/>
        </w:rPr>
        <w:t xml:space="preserve">the process of assessing the fair value of the identified assets acquired and liabilities </w:t>
      </w:r>
      <w:r w:rsidRPr="00B155FC">
        <w:rPr>
          <w:rFonts w:ascii="Arial" w:hAnsi="Arial"/>
          <w:sz w:val="22"/>
          <w:szCs w:val="22"/>
        </w:rPr>
        <w:t>and goodwill</w:t>
      </w:r>
      <w:r w:rsidRPr="00B155FC">
        <w:rPr>
          <w:rFonts w:ascii="Arial" w:hAnsi="Arial" w:cs="Arial"/>
          <w:sz w:val="22"/>
          <w:szCs w:val="22"/>
        </w:rPr>
        <w:t xml:space="preserve"> assumed at </w:t>
      </w:r>
      <w:r w:rsidRPr="00B155FC">
        <w:rPr>
          <w:rFonts w:ascii="Arial" w:hAnsi="Arial"/>
          <w:sz w:val="22"/>
          <w:szCs w:val="22"/>
        </w:rPr>
        <w:t>amalgamation date</w:t>
      </w:r>
      <w:r w:rsidR="00CB70FA" w:rsidRPr="00B155FC">
        <w:rPr>
          <w:rFonts w:ascii="Arial" w:hAnsi="Arial"/>
          <w:sz w:val="22"/>
          <w:szCs w:val="22"/>
        </w:rPr>
        <w:t xml:space="preserve"> </w:t>
      </w:r>
      <w:r w:rsidRPr="00B155FC">
        <w:rPr>
          <w:rFonts w:ascii="Arial" w:hAnsi="Arial"/>
          <w:sz w:val="22"/>
          <w:szCs w:val="22"/>
        </w:rPr>
        <w:t xml:space="preserve">within evaluation period of 12 months from amalgamation date according to Thai Financial Reporting Standard </w:t>
      </w:r>
      <w:r w:rsidR="00A15C5F" w:rsidRPr="00B155FC">
        <w:rPr>
          <w:rFonts w:ascii="Arial" w:hAnsi="Arial"/>
          <w:sz w:val="22"/>
          <w:szCs w:val="22"/>
        </w:rPr>
        <w:t xml:space="preserve">No. </w:t>
      </w:r>
      <w:r w:rsidRPr="00B155FC">
        <w:rPr>
          <w:rFonts w:ascii="Arial" w:hAnsi="Arial"/>
          <w:sz w:val="22"/>
          <w:szCs w:val="22"/>
        </w:rPr>
        <w:t>3</w:t>
      </w:r>
      <w:r w:rsidR="00C6533D" w:rsidRPr="00B155FC">
        <w:rPr>
          <w:rFonts w:ascii="Arial" w:hAnsi="Arial" w:hint="cs"/>
          <w:sz w:val="22"/>
          <w:szCs w:val="22"/>
          <w:cs/>
        </w:rPr>
        <w:t xml:space="preserve"> </w:t>
      </w:r>
      <w:r w:rsidRPr="00B155FC">
        <w:rPr>
          <w:rFonts w:ascii="Arial" w:hAnsi="Arial"/>
          <w:sz w:val="22"/>
          <w:szCs w:val="22"/>
        </w:rPr>
        <w:t xml:space="preserve">(revised </w:t>
      </w:r>
      <w:r w:rsidR="00F475AF" w:rsidRPr="00B155FC">
        <w:rPr>
          <w:rFonts w:ascii="Arial" w:hAnsi="Arial"/>
          <w:sz w:val="22"/>
          <w:szCs w:val="22"/>
        </w:rPr>
        <w:t>2018</w:t>
      </w:r>
      <w:r w:rsidRPr="00B155FC">
        <w:rPr>
          <w:rFonts w:ascii="Arial" w:hAnsi="Arial"/>
          <w:sz w:val="22"/>
          <w:szCs w:val="22"/>
        </w:rPr>
        <w:t xml:space="preserve">) - Business combination. </w:t>
      </w:r>
      <w:r w:rsidR="00CB70FA" w:rsidRPr="00B155FC">
        <w:rPr>
          <w:rFonts w:ascii="Arial" w:hAnsi="Arial"/>
          <w:sz w:val="22"/>
          <w:szCs w:val="22"/>
        </w:rPr>
        <w:t xml:space="preserve">The Company has restated the consolidated statement of financial position as at 31 December 2018, presented herein as comparative information, to reflect the adjustments resulting from </w:t>
      </w:r>
      <w:r w:rsidR="00B155FC">
        <w:rPr>
          <w:rFonts w:ascii="Arial" w:hAnsi="Arial"/>
          <w:sz w:val="22"/>
          <w:szCs w:val="22"/>
        </w:rPr>
        <w:br/>
      </w:r>
      <w:r w:rsidR="00CB70FA" w:rsidRPr="00B155FC">
        <w:rPr>
          <w:rFonts w:ascii="Arial" w:hAnsi="Arial"/>
          <w:sz w:val="22"/>
          <w:szCs w:val="22"/>
        </w:rPr>
        <w:t>such change in fair value.</w:t>
      </w:r>
      <w:r w:rsidR="00DC5758" w:rsidRPr="00B155FC">
        <w:rPr>
          <w:rFonts w:ascii="Arial" w:hAnsi="Arial"/>
          <w:sz w:val="22"/>
          <w:szCs w:val="22"/>
        </w:rPr>
        <w:t xml:space="preserve"> </w:t>
      </w:r>
    </w:p>
    <w:p w:rsidR="002A37FF" w:rsidRPr="002A37FF" w:rsidRDefault="002A37FF" w:rsidP="00D91658">
      <w:pPr>
        <w:pStyle w:val="ps-000-normal"/>
        <w:numPr>
          <w:ilvl w:val="0"/>
          <w:numId w:val="1"/>
        </w:numPr>
        <w:spacing w:before="80" w:after="80" w:line="340" w:lineRule="exact"/>
        <w:ind w:right="-130"/>
        <w:rPr>
          <w:rFonts w:ascii="Arial" w:hAnsi="Arial" w:cstheme="minorBidi"/>
          <w:sz w:val="22"/>
          <w:szCs w:val="22"/>
          <w:cs/>
        </w:rPr>
      </w:pPr>
      <w:r w:rsidRPr="00947E42">
        <w:rPr>
          <w:rFonts w:ascii="Arial" w:hAnsi="Arial"/>
          <w:sz w:val="22"/>
          <w:szCs w:val="22"/>
        </w:rPr>
        <w:t xml:space="preserve">On 30 July 2019, Sharjah Airport International Free Zone Authority granted the acquisition’s approval for the Company. </w:t>
      </w:r>
      <w:r w:rsidRPr="00C14879">
        <w:rPr>
          <w:rFonts w:ascii="Arial" w:hAnsi="Arial"/>
          <w:sz w:val="22"/>
          <w:szCs w:val="22"/>
        </w:rPr>
        <w:t xml:space="preserve">The Company paid the initial consideration to acquire of 89% shares in Sun Packaging Systems (FZC) amounting to USD 12.74 million or Baht 393.43 million for 267 shares with par value of AED 1,500 each, whereby </w:t>
      </w:r>
      <w:r>
        <w:rPr>
          <w:rFonts w:ascii="Arial" w:hAnsi="Arial"/>
          <w:sz w:val="22"/>
          <w:szCs w:val="22"/>
        </w:rPr>
        <w:br/>
      </w:r>
      <w:r w:rsidRPr="00C14879">
        <w:rPr>
          <w:rFonts w:ascii="Arial" w:hAnsi="Arial"/>
          <w:sz w:val="22"/>
          <w:szCs w:val="22"/>
        </w:rPr>
        <w:t>Bhatia Investment Holding Limited is the remaining shareholder of 11%. The final consideration will be calculated as the Company will receive or pay the consideration difference as specified in the sales and purchase of shares agreement.</w:t>
      </w:r>
      <w:r w:rsidRPr="002A37FF">
        <w:rPr>
          <w:rFonts w:ascii="Arial" w:hAnsi="Arial"/>
          <w:sz w:val="22"/>
          <w:szCs w:val="22"/>
        </w:rPr>
        <w:t xml:space="preserve"> </w:t>
      </w:r>
      <w:r w:rsidRPr="00947E42">
        <w:rPr>
          <w:rFonts w:ascii="Arial" w:hAnsi="Arial"/>
          <w:sz w:val="22"/>
          <w:szCs w:val="22"/>
        </w:rPr>
        <w:t xml:space="preserve">The Company has call options which were rights to buy all remaining 11% of shares in Sun Packaging Systems (FZC) from Bhatia Investment Holding Limited as stated in Shareholders Agreement between the Company, Sun Packaging Systems (FZC) and Kishore Kumar </w:t>
      </w:r>
      <w:proofErr w:type="spellStart"/>
      <w:r w:rsidRPr="00947E42">
        <w:rPr>
          <w:rFonts w:ascii="Arial" w:hAnsi="Arial"/>
          <w:sz w:val="22"/>
          <w:szCs w:val="22"/>
        </w:rPr>
        <w:t>Tarachand</w:t>
      </w:r>
      <w:proofErr w:type="spellEnd"/>
      <w:r w:rsidRPr="00947E42">
        <w:rPr>
          <w:rFonts w:ascii="Arial" w:hAnsi="Arial"/>
          <w:sz w:val="22"/>
          <w:szCs w:val="22"/>
        </w:rPr>
        <w:t xml:space="preserve"> Bhatia dated on 24 April 2019.</w:t>
      </w:r>
      <w:r>
        <w:rPr>
          <w:rFonts w:ascii="Arial" w:hAnsi="Arial"/>
          <w:sz w:val="22"/>
          <w:szCs w:val="22"/>
        </w:rPr>
        <w:t xml:space="preserve"> </w:t>
      </w:r>
      <w:r w:rsidRPr="002A37FF">
        <w:rPr>
          <w:rFonts w:ascii="Arial" w:hAnsi="Arial"/>
          <w:sz w:val="22"/>
          <w:szCs w:val="22"/>
        </w:rPr>
        <w:t>At present,</w:t>
      </w:r>
      <w:r>
        <w:rPr>
          <w:rFonts w:ascii="Arial" w:hAnsi="Arial"/>
          <w:sz w:val="22"/>
          <w:szCs w:val="22"/>
        </w:rPr>
        <w:t xml:space="preserve"> </w:t>
      </w:r>
      <w:r w:rsidRPr="002A37FF">
        <w:rPr>
          <w:rFonts w:ascii="Arial" w:hAnsi="Arial"/>
          <w:sz w:val="22"/>
          <w:szCs w:val="22"/>
        </w:rPr>
        <w:t xml:space="preserve">the </w:t>
      </w:r>
      <w:r>
        <w:rPr>
          <w:rFonts w:ascii="Arial" w:hAnsi="Arial"/>
          <w:sz w:val="22"/>
          <w:szCs w:val="22"/>
        </w:rPr>
        <w:t>C</w:t>
      </w:r>
      <w:r w:rsidRPr="002A37FF">
        <w:rPr>
          <w:rFonts w:ascii="Arial" w:hAnsi="Arial"/>
          <w:sz w:val="22"/>
          <w:szCs w:val="22"/>
        </w:rPr>
        <w:t>ompany is currently in the process of</w:t>
      </w:r>
      <w:r>
        <w:rPr>
          <w:rFonts w:ascii="Arial" w:hAnsi="Arial"/>
          <w:sz w:val="22"/>
          <w:szCs w:val="22"/>
        </w:rPr>
        <w:t xml:space="preserve"> calculating t</w:t>
      </w:r>
      <w:r w:rsidRPr="00C14879">
        <w:rPr>
          <w:rFonts w:ascii="Arial" w:hAnsi="Arial"/>
          <w:sz w:val="22"/>
          <w:szCs w:val="22"/>
        </w:rPr>
        <w:t>he final consideration</w:t>
      </w:r>
      <w:r>
        <w:rPr>
          <w:rFonts w:ascii="Arial" w:hAnsi="Arial"/>
          <w:sz w:val="22"/>
          <w:szCs w:val="22"/>
        </w:rPr>
        <w:t>.</w:t>
      </w:r>
      <w:r w:rsidRPr="002A37F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T</w:t>
      </w:r>
      <w:r w:rsidRPr="002A37FF">
        <w:rPr>
          <w:rFonts w:ascii="Arial" w:hAnsi="Arial"/>
          <w:sz w:val="22"/>
          <w:szCs w:val="22"/>
        </w:rPr>
        <w:t xml:space="preserve">he </w:t>
      </w:r>
      <w:r>
        <w:rPr>
          <w:rFonts w:ascii="Arial" w:hAnsi="Arial"/>
          <w:sz w:val="22"/>
          <w:szCs w:val="22"/>
        </w:rPr>
        <w:t>C</w:t>
      </w:r>
      <w:r w:rsidRPr="002A37FF">
        <w:rPr>
          <w:rFonts w:ascii="Arial" w:hAnsi="Arial"/>
          <w:sz w:val="22"/>
          <w:szCs w:val="22"/>
        </w:rPr>
        <w:t>ompany is currently in the process of assessing the fair value of the identified</w:t>
      </w:r>
      <w:r w:rsidRPr="007D3CF6">
        <w:rPr>
          <w:rFonts w:ascii="Arial" w:hAnsi="Arial" w:cs="Arial"/>
          <w:sz w:val="22"/>
          <w:szCs w:val="22"/>
        </w:rPr>
        <w:t xml:space="preserve"> assets acquired and liabilities assumed at </w:t>
      </w:r>
      <w:r>
        <w:rPr>
          <w:rFonts w:ascii="Arial" w:hAnsi="Arial"/>
          <w:sz w:val="22"/>
          <w:szCs w:val="22"/>
        </w:rPr>
        <w:t>acquisition</w:t>
      </w:r>
      <w:r w:rsidRPr="007D3CF6">
        <w:rPr>
          <w:rFonts w:ascii="Arial" w:hAnsi="Arial"/>
          <w:sz w:val="22"/>
          <w:szCs w:val="22"/>
        </w:rPr>
        <w:t xml:space="preserve"> date</w:t>
      </w:r>
      <w:bookmarkStart w:id="2" w:name="_Hlk22674882"/>
      <w:r>
        <w:rPr>
          <w:rFonts w:ascii="Arial" w:hAnsi="Arial"/>
          <w:sz w:val="22"/>
          <w:szCs w:val="22"/>
        </w:rPr>
        <w:t xml:space="preserve">, including </w:t>
      </w:r>
      <w:r w:rsidRPr="007D3CF6">
        <w:rPr>
          <w:rFonts w:ascii="Arial" w:hAnsi="Arial" w:cs="Arial"/>
          <w:sz w:val="22"/>
          <w:szCs w:val="22"/>
        </w:rPr>
        <w:t>the fair value of</w:t>
      </w:r>
      <w:r>
        <w:rPr>
          <w:rFonts w:ascii="Arial" w:hAnsi="Arial" w:cs="Arial"/>
          <w:sz w:val="22"/>
          <w:szCs w:val="22"/>
        </w:rPr>
        <w:t xml:space="preserve"> </w:t>
      </w:r>
      <w:r w:rsidRPr="00947E42">
        <w:rPr>
          <w:rFonts w:ascii="Arial" w:hAnsi="Arial"/>
          <w:sz w:val="22"/>
          <w:szCs w:val="22"/>
        </w:rPr>
        <w:t>call options</w:t>
      </w:r>
      <w:r w:rsidR="009C3E5E">
        <w:rPr>
          <w:rFonts w:ascii="Arial" w:hAnsi="Arial"/>
          <w:sz w:val="22"/>
          <w:szCs w:val="22"/>
        </w:rPr>
        <w:t xml:space="preserve"> </w:t>
      </w:r>
      <w:r w:rsidR="009C3E5E" w:rsidRPr="009C3E5E">
        <w:rPr>
          <w:rFonts w:ascii="Arial" w:hAnsi="Arial"/>
          <w:sz w:val="22"/>
          <w:szCs w:val="22"/>
        </w:rPr>
        <w:t>granted</w:t>
      </w:r>
      <w:r w:rsidR="009C3E5E">
        <w:rPr>
          <w:rFonts w:ascii="Arial" w:hAnsi="Arial"/>
          <w:sz w:val="22"/>
          <w:szCs w:val="22"/>
        </w:rPr>
        <w:t xml:space="preserve"> </w:t>
      </w:r>
      <w:r w:rsidR="009C3E5E" w:rsidRPr="009C3E5E">
        <w:rPr>
          <w:rFonts w:ascii="Arial" w:hAnsi="Arial"/>
          <w:sz w:val="22"/>
          <w:szCs w:val="22"/>
        </w:rPr>
        <w:t>by holders of non-controlling interests</w:t>
      </w:r>
      <w:bookmarkEnd w:id="2"/>
      <w:r>
        <w:rPr>
          <w:rFonts w:ascii="Arial" w:hAnsi="Arial" w:cs="Arial"/>
          <w:sz w:val="22"/>
          <w:szCs w:val="22"/>
        </w:rPr>
        <w:t xml:space="preserve"> </w:t>
      </w:r>
      <w:r w:rsidRPr="009C3E5E">
        <w:rPr>
          <w:rFonts w:ascii="Arial" w:hAnsi="Arial" w:cs="Arial"/>
          <w:sz w:val="22"/>
          <w:szCs w:val="22"/>
        </w:rPr>
        <w:t xml:space="preserve">as stated in the Note </w:t>
      </w:r>
      <w:r w:rsidR="009C3E5E" w:rsidRPr="009C3E5E">
        <w:rPr>
          <w:rFonts w:ascii="Arial" w:hAnsi="Arial" w:cs="Browallia New"/>
          <w:sz w:val="22"/>
          <w:szCs w:val="28"/>
        </w:rPr>
        <w:t>1.3</w:t>
      </w:r>
      <w:r w:rsidRPr="009C3E5E">
        <w:rPr>
          <w:rFonts w:ascii="Arial" w:hAnsi="Arial" w:cs="Arial"/>
          <w:sz w:val="22"/>
          <w:szCs w:val="22"/>
        </w:rPr>
        <w:t xml:space="preserve"> to financial</w:t>
      </w:r>
      <w:r>
        <w:rPr>
          <w:rFonts w:ascii="Arial" w:hAnsi="Arial" w:cs="Arial"/>
          <w:sz w:val="22"/>
          <w:szCs w:val="22"/>
        </w:rPr>
        <w:t xml:space="preserve"> statements</w:t>
      </w:r>
      <w:r w:rsidRPr="007D3CF6">
        <w:rPr>
          <w:rFonts w:ascii="Arial" w:hAnsi="Arial" w:cs="Arial"/>
          <w:sz w:val="22"/>
          <w:szCs w:val="22"/>
        </w:rPr>
        <w:t>.</w:t>
      </w:r>
    </w:p>
    <w:p w:rsidR="00DC5758" w:rsidRDefault="00DC5758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:rsidR="00694C92" w:rsidRDefault="00D51106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br/>
      </w:r>
    </w:p>
    <w:p w:rsidR="009E4656" w:rsidRPr="00B665FD" w:rsidRDefault="0065267B" w:rsidP="009E4656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  <w:bookmarkStart w:id="3" w:name="_GoBack"/>
      <w:bookmarkEnd w:id="3"/>
    </w:p>
    <w:p w:rsidR="009E4656" w:rsidRPr="00B665FD" w:rsidRDefault="009E4656" w:rsidP="00694C92">
      <w:pPr>
        <w:tabs>
          <w:tab w:val="left" w:pos="720"/>
          <w:tab w:val="center" w:pos="5760"/>
        </w:tabs>
        <w:spacing w:after="24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65267B">
        <w:rPr>
          <w:rFonts w:ascii="Arial" w:hAnsi="Arial" w:cs="Angsana New"/>
          <w:sz w:val="22"/>
          <w:szCs w:val="22"/>
          <w:lang w:val="en-US"/>
        </w:rPr>
        <w:t>4807</w:t>
      </w:r>
    </w:p>
    <w:p w:rsidR="00653F16" w:rsidRDefault="00653F16" w:rsidP="009E4656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:rsidR="006217E7" w:rsidRDefault="00F90AA3" w:rsidP="0036394D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CB70FA">
        <w:rPr>
          <w:rFonts w:ascii="Arial" w:hAnsi="Arial" w:cs="Angsana New"/>
          <w:sz w:val="22"/>
          <w:szCs w:val="22"/>
          <w:lang w:val="en-US"/>
        </w:rPr>
        <w:t>1</w:t>
      </w:r>
      <w:r w:rsidR="00B155FC">
        <w:rPr>
          <w:rFonts w:ascii="Arial" w:hAnsi="Arial" w:cs="Angsana New"/>
          <w:sz w:val="22"/>
          <w:szCs w:val="22"/>
          <w:lang w:val="en-US"/>
        </w:rPr>
        <w:t>2</w:t>
      </w:r>
      <w:r w:rsidR="00526E1F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B155FC">
        <w:rPr>
          <w:rFonts w:ascii="Arial" w:hAnsi="Arial" w:cs="Angsana New"/>
          <w:sz w:val="22"/>
          <w:szCs w:val="22"/>
          <w:lang w:val="en-US"/>
        </w:rPr>
        <w:t>November</w:t>
      </w:r>
      <w:r w:rsidR="005D5E6A">
        <w:rPr>
          <w:rFonts w:ascii="Arial" w:hAnsi="Arial" w:cs="Angsana New"/>
          <w:sz w:val="22"/>
          <w:szCs w:val="22"/>
          <w:lang w:val="en-US"/>
        </w:rPr>
        <w:t xml:space="preserve"> 2019</w:t>
      </w:r>
    </w:p>
    <w:sectPr w:rsidR="006217E7" w:rsidSect="00EF5281">
      <w:footerReference w:type="first" r:id="rId10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874" w:rsidRDefault="001E5874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:rsidR="001E5874" w:rsidRDefault="001E5874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661" w:rsidRDefault="00367661">
    <w:pPr>
      <w:pStyle w:val="Footer"/>
      <w:jc w:val="right"/>
      <w:rPr>
        <w:rFonts w:cs="Times New Roman"/>
        <w:cs/>
      </w:rPr>
    </w:pPr>
  </w:p>
  <w:p w:rsidR="009C6DB4" w:rsidRDefault="009C6DB4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67741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46E8" w:rsidRDefault="000346E8">
        <w:pPr>
          <w:pStyle w:val="Footer"/>
          <w:jc w:val="right"/>
          <w:rPr>
            <w:rFonts w:cs="Times New Roman"/>
            <w:cs/>
          </w:rPr>
        </w:pPr>
        <w:r w:rsidRPr="00367661">
          <w:rPr>
            <w:rFonts w:ascii="Arial" w:hAnsi="Arial" w:cs="Arial"/>
            <w:sz w:val="22"/>
            <w:szCs w:val="22"/>
          </w:rPr>
          <w:fldChar w:fldCharType="begin"/>
        </w:r>
        <w:r w:rsidRPr="00367661">
          <w:rPr>
            <w:rFonts w:ascii="Arial" w:hAnsi="Arial" w:cs="Arial"/>
            <w:sz w:val="22"/>
            <w:szCs w:val="22"/>
            <w:cs/>
          </w:rPr>
          <w:instrText xml:space="preserve"> PAGE   \* MERGEFORMAT </w:instrText>
        </w:r>
        <w:r w:rsidRPr="00367661">
          <w:rPr>
            <w:rFonts w:ascii="Arial" w:hAnsi="Arial" w:cs="Arial"/>
            <w:sz w:val="22"/>
            <w:szCs w:val="22"/>
          </w:rPr>
          <w:fldChar w:fldCharType="separate"/>
        </w:r>
        <w:r w:rsidR="00EF5281" w:rsidRPr="00EF5281">
          <w:rPr>
            <w:rFonts w:ascii="Arial" w:hAnsi="Arial" w:cs="Arial"/>
            <w:noProof/>
            <w:sz w:val="22"/>
            <w:szCs w:val="22"/>
            <w:cs/>
          </w:rPr>
          <w:t>2</w:t>
        </w:r>
        <w:r w:rsidRPr="0036766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874" w:rsidRDefault="001E5874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:rsidR="001E5874" w:rsidRDefault="001E5874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DB4" w:rsidRDefault="009C6DB4">
    <w:pPr>
      <w:pStyle w:val="Header"/>
      <w:jc w:val="right"/>
      <w:rPr>
        <w:rFonts w:cs="Times New Roman"/>
        <w:szCs w:val="28"/>
        <w:cs/>
      </w:rPr>
    </w:pPr>
  </w:p>
  <w:p w:rsidR="009C6DB4" w:rsidRDefault="009C6DB4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90EEF"/>
    <w:multiLevelType w:val="multilevel"/>
    <w:tmpl w:val="455C6A7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5B1F775E"/>
    <w:multiLevelType w:val="hybridMultilevel"/>
    <w:tmpl w:val="380A2D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320A9"/>
    <w:multiLevelType w:val="hybridMultilevel"/>
    <w:tmpl w:val="380A2D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1310"/>
    <w:rsid w:val="00093EC6"/>
    <w:rsid w:val="000B6668"/>
    <w:rsid w:val="000C08BE"/>
    <w:rsid w:val="000C5607"/>
    <w:rsid w:val="000D33FE"/>
    <w:rsid w:val="001062CE"/>
    <w:rsid w:val="00163A19"/>
    <w:rsid w:val="00191872"/>
    <w:rsid w:val="001E5874"/>
    <w:rsid w:val="001E6E81"/>
    <w:rsid w:val="001F1896"/>
    <w:rsid w:val="00225138"/>
    <w:rsid w:val="0027317F"/>
    <w:rsid w:val="00296024"/>
    <w:rsid w:val="002A37FF"/>
    <w:rsid w:val="002A445E"/>
    <w:rsid w:val="002B565A"/>
    <w:rsid w:val="002F755B"/>
    <w:rsid w:val="00316C2B"/>
    <w:rsid w:val="003434E5"/>
    <w:rsid w:val="0036394D"/>
    <w:rsid w:val="00367661"/>
    <w:rsid w:val="003A0641"/>
    <w:rsid w:val="003C466D"/>
    <w:rsid w:val="003D6F4C"/>
    <w:rsid w:val="0044511D"/>
    <w:rsid w:val="00455624"/>
    <w:rsid w:val="00497D5C"/>
    <w:rsid w:val="004A0746"/>
    <w:rsid w:val="004D3CB0"/>
    <w:rsid w:val="00500DF5"/>
    <w:rsid w:val="005014B3"/>
    <w:rsid w:val="00524441"/>
    <w:rsid w:val="00526E1F"/>
    <w:rsid w:val="00550E82"/>
    <w:rsid w:val="00580DE3"/>
    <w:rsid w:val="005C35B3"/>
    <w:rsid w:val="005D5E6A"/>
    <w:rsid w:val="005E0D5F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431B"/>
    <w:rsid w:val="007249F6"/>
    <w:rsid w:val="00742FA5"/>
    <w:rsid w:val="007800ED"/>
    <w:rsid w:val="007960CF"/>
    <w:rsid w:val="007B5D3E"/>
    <w:rsid w:val="007C779A"/>
    <w:rsid w:val="008A282E"/>
    <w:rsid w:val="00971600"/>
    <w:rsid w:val="00972CC7"/>
    <w:rsid w:val="009C3E5E"/>
    <w:rsid w:val="009C6DB4"/>
    <w:rsid w:val="009D1B00"/>
    <w:rsid w:val="009E4656"/>
    <w:rsid w:val="00A15C5F"/>
    <w:rsid w:val="00A466AE"/>
    <w:rsid w:val="00A5092D"/>
    <w:rsid w:val="00AB64DC"/>
    <w:rsid w:val="00B155FC"/>
    <w:rsid w:val="00B30D18"/>
    <w:rsid w:val="00B43B43"/>
    <w:rsid w:val="00B665FD"/>
    <w:rsid w:val="00B67053"/>
    <w:rsid w:val="00BA681B"/>
    <w:rsid w:val="00BE1109"/>
    <w:rsid w:val="00C00079"/>
    <w:rsid w:val="00C6533D"/>
    <w:rsid w:val="00CB70FA"/>
    <w:rsid w:val="00CC35FF"/>
    <w:rsid w:val="00CD42B6"/>
    <w:rsid w:val="00CF7F5C"/>
    <w:rsid w:val="00D270B6"/>
    <w:rsid w:val="00D37812"/>
    <w:rsid w:val="00D51106"/>
    <w:rsid w:val="00D85CF8"/>
    <w:rsid w:val="00D91658"/>
    <w:rsid w:val="00D95DBA"/>
    <w:rsid w:val="00DA3EE3"/>
    <w:rsid w:val="00DC5758"/>
    <w:rsid w:val="00DD6ED4"/>
    <w:rsid w:val="00E31A3B"/>
    <w:rsid w:val="00E37389"/>
    <w:rsid w:val="00E4476A"/>
    <w:rsid w:val="00E65A43"/>
    <w:rsid w:val="00EA24E8"/>
    <w:rsid w:val="00EE295F"/>
    <w:rsid w:val="00EF5281"/>
    <w:rsid w:val="00F2544B"/>
    <w:rsid w:val="00F356A9"/>
    <w:rsid w:val="00F475AF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F27345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A428C-AAB5-44AA-9AD7-984770D702D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25259</vt:lpwstr>
  </property>
  <property fmtid="{D5CDD505-2E9C-101B-9397-08002B2CF9AE}" pid="4" name="OptimizationTime">
    <vt:lpwstr>20191112_2144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16</cp:revision>
  <cp:lastPrinted>2019-11-12T13:42:00Z</cp:lastPrinted>
  <dcterms:created xsi:type="dcterms:W3CDTF">2019-05-08T13:11:00Z</dcterms:created>
  <dcterms:modified xsi:type="dcterms:W3CDTF">2019-11-12T13:43:00Z</dcterms:modified>
</cp:coreProperties>
</file>