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358"/>
        <w:gridCol w:w="7110"/>
      </w:tblGrid>
      <w:tr w:rsidR="005E4F0F" w:rsidRPr="00862017" w:rsidTr="00497D17">
        <w:trPr>
          <w:trHeight w:val="2865"/>
        </w:trPr>
        <w:tc>
          <w:tcPr>
            <w:tcW w:w="2358" w:type="dxa"/>
          </w:tcPr>
          <w:p w:rsidR="005E4F0F" w:rsidRPr="00B74A8C" w:rsidRDefault="005E4F0F" w:rsidP="00AF6568">
            <w:pPr>
              <w:rPr>
                <w:rFonts w:ascii="Angsana New" w:hAnsi="Angsana New"/>
                <w:sz w:val="36"/>
                <w:szCs w:val="36"/>
              </w:rPr>
            </w:pPr>
          </w:p>
        </w:tc>
        <w:tc>
          <w:tcPr>
            <w:tcW w:w="7110" w:type="dxa"/>
            <w:vAlign w:val="center"/>
          </w:tcPr>
          <w:p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 xml:space="preserve">Trinity </w:t>
            </w:r>
            <w:proofErr w:type="spellStart"/>
            <w:r w:rsidRPr="00B74A8C">
              <w:rPr>
                <w:rFonts w:cs="Times New Roman"/>
                <w:color w:val="7E7F82"/>
                <w:sz w:val="28"/>
              </w:rPr>
              <w:t>Watthana</w:t>
            </w:r>
            <w:proofErr w:type="spellEnd"/>
            <w:r w:rsidRPr="00B74A8C">
              <w:rPr>
                <w:rFonts w:cs="Times New Roman"/>
                <w:color w:val="7E7F82"/>
                <w:sz w:val="28"/>
              </w:rPr>
              <w:t xml:space="preserve"> Public Company Limited</w:t>
            </w:r>
          </w:p>
          <w:p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and its subsidiaries</w:t>
            </w:r>
          </w:p>
          <w:p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Report and consolidated financial statements</w:t>
            </w:r>
          </w:p>
          <w:p w:rsidR="005E4F0F" w:rsidRPr="00B74A8C" w:rsidRDefault="005E4F0F" w:rsidP="009D5B24">
            <w:pPr>
              <w:spacing w:line="380" w:lineRule="exact"/>
              <w:ind w:left="14"/>
              <w:rPr>
                <w:rFonts w:ascii="Angsana New" w:hAnsi="Angsana New" w:cs="Times New Roman"/>
                <w:b/>
                <w:bCs/>
                <w:color w:val="7E7F82"/>
                <w:sz w:val="28"/>
                <w:szCs w:val="36"/>
              </w:rPr>
            </w:pPr>
            <w:r w:rsidRPr="00B74A8C">
              <w:rPr>
                <w:rFonts w:cs="Times New Roman"/>
                <w:color w:val="7E7F82"/>
                <w:sz w:val="28"/>
              </w:rPr>
              <w:t xml:space="preserve">31 December </w:t>
            </w:r>
            <w:r w:rsidR="00A878A3">
              <w:rPr>
                <w:rFonts w:cs="Times New Roman"/>
                <w:color w:val="7E7F82"/>
                <w:sz w:val="28"/>
              </w:rPr>
              <w:t>201</w:t>
            </w:r>
            <w:r w:rsidR="00A670FF">
              <w:rPr>
                <w:rFonts w:cs="Times New Roman"/>
                <w:color w:val="7E7F82"/>
                <w:sz w:val="28"/>
              </w:rPr>
              <w:t>9</w:t>
            </w:r>
          </w:p>
        </w:tc>
      </w:tr>
    </w:tbl>
    <w:p w:rsidR="005E4F0F" w:rsidRPr="00862017" w:rsidRDefault="005E4F0F" w:rsidP="005E4F0F">
      <w:pPr>
        <w:sectPr w:rsidR="005E4F0F" w:rsidRPr="00862017" w:rsidSect="00497D17">
          <w:pgSz w:w="11907" w:h="16840" w:code="9"/>
          <w:pgMar w:top="1728" w:right="1080" w:bottom="11520" w:left="360" w:header="720" w:footer="720" w:gutter="0"/>
          <w:cols w:space="720"/>
          <w:docGrid w:linePitch="360"/>
        </w:sectPr>
      </w:pPr>
    </w:p>
    <w:p w:rsidR="005E4F0F" w:rsidRPr="00A9638A" w:rsidRDefault="005E4F0F" w:rsidP="00A9638A">
      <w:pPr>
        <w:widowControl/>
        <w:spacing w:line="380" w:lineRule="exact"/>
        <w:outlineLvl w:val="0"/>
        <w:rPr>
          <w:rFonts w:ascii="Arial" w:hAnsi="Arial" w:cs="Arial"/>
          <w:b/>
          <w:bCs/>
          <w:sz w:val="22"/>
          <w:szCs w:val="22"/>
        </w:rPr>
      </w:pPr>
      <w:r w:rsidRPr="00A9638A">
        <w:rPr>
          <w:rFonts w:ascii="Arial" w:hAnsi="Arial" w:cs="Arial"/>
          <w:b/>
          <w:bCs/>
          <w:sz w:val="22"/>
          <w:szCs w:val="22"/>
        </w:rPr>
        <w:lastRenderedPageBreak/>
        <w:t>Independent Auditor</w:t>
      </w:r>
      <w:r w:rsidR="0071290A" w:rsidRPr="00A9638A">
        <w:rPr>
          <w:rFonts w:ascii="Arial" w:hAnsi="Arial" w:cs="Arial"/>
          <w:b/>
          <w:bCs/>
          <w:sz w:val="22"/>
          <w:szCs w:val="22"/>
        </w:rPr>
        <w:t>'s Report</w:t>
      </w:r>
    </w:p>
    <w:p w:rsidR="005E4F0F" w:rsidRPr="00A9638A" w:rsidRDefault="005E4F0F" w:rsidP="00A9638A">
      <w:pPr>
        <w:widowControl/>
        <w:spacing w:line="380" w:lineRule="exact"/>
        <w:rPr>
          <w:rFonts w:ascii="Arial" w:hAnsi="Arial" w:cs="Arial"/>
          <w:color w:val="000000"/>
          <w:sz w:val="22"/>
          <w:szCs w:val="22"/>
        </w:rPr>
      </w:pPr>
      <w:r w:rsidRPr="00A9638A">
        <w:rPr>
          <w:rFonts w:ascii="Arial" w:hAnsi="Arial" w:cs="Arial"/>
          <w:sz w:val="22"/>
          <w:szCs w:val="22"/>
        </w:rPr>
        <w:t xml:space="preserve">To </w:t>
      </w:r>
      <w:r w:rsidR="00F81596" w:rsidRPr="00A9638A">
        <w:rPr>
          <w:rFonts w:ascii="Arial" w:hAnsi="Arial" w:cs="Arial"/>
          <w:sz w:val="22"/>
          <w:szCs w:val="22"/>
        </w:rPr>
        <w:t>t</w:t>
      </w:r>
      <w:r w:rsidRPr="00A9638A">
        <w:rPr>
          <w:rFonts w:ascii="Arial" w:hAnsi="Arial" w:cs="Arial"/>
          <w:sz w:val="22"/>
          <w:szCs w:val="22"/>
        </w:rPr>
        <w:t>he Shareholders of</w:t>
      </w:r>
      <w:r w:rsidRPr="00A9638A">
        <w:rPr>
          <w:rFonts w:ascii="Arial" w:hAnsi="Arial" w:cs="Arial"/>
          <w:color w:val="000000"/>
          <w:sz w:val="22"/>
          <w:szCs w:val="22"/>
        </w:rPr>
        <w:t xml:space="preserve"> 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Public Company Limited</w:t>
      </w:r>
    </w:p>
    <w:p w:rsidR="00A9638A" w:rsidRPr="00A9638A" w:rsidRDefault="00A9638A" w:rsidP="00A9638A">
      <w:pPr>
        <w:pStyle w:val="ps-000-normal"/>
        <w:spacing w:before="360" w:line="380" w:lineRule="exact"/>
        <w:rPr>
          <w:rFonts w:ascii="Arial" w:hAnsi="Arial" w:cs="Arial"/>
          <w:b/>
          <w:bCs/>
          <w:sz w:val="22"/>
          <w:szCs w:val="22"/>
        </w:rPr>
      </w:pPr>
      <w:bookmarkStart w:id="0" w:name="36765555"/>
      <w:bookmarkEnd w:id="0"/>
      <w:r w:rsidRPr="00A9638A">
        <w:rPr>
          <w:rFonts w:ascii="Arial" w:hAnsi="Arial" w:cs="Arial"/>
          <w:b/>
          <w:bCs/>
          <w:sz w:val="22"/>
          <w:szCs w:val="22"/>
        </w:rPr>
        <w:t>Opinion</w:t>
      </w:r>
    </w:p>
    <w:p w:rsidR="00A9638A" w:rsidRPr="00A9638A" w:rsidRDefault="00A9638A" w:rsidP="00D32972">
      <w:pPr>
        <w:pStyle w:val="BodyText"/>
        <w:spacing w:before="120" w:after="120" w:line="380" w:lineRule="exact"/>
        <w:ind w:right="-43"/>
        <w:jc w:val="left"/>
        <w:rPr>
          <w:rFonts w:ascii="Arial" w:hAnsi="Arial" w:cs="Arial"/>
          <w:sz w:val="22"/>
          <w:szCs w:val="22"/>
        </w:rPr>
      </w:pPr>
      <w:r w:rsidRPr="00A9638A">
        <w:rPr>
          <w:rFonts w:ascii="Arial" w:hAnsi="Arial" w:cs="Arial"/>
          <w:sz w:val="22"/>
          <w:szCs w:val="22"/>
        </w:rPr>
        <w:t xml:space="preserve">I have audited the accompanying consolidated financial statements of </w:t>
      </w:r>
      <w:r w:rsidRPr="00A9638A">
        <w:rPr>
          <w:rFonts w:ascii="Arial" w:hAnsi="Arial" w:cs="Arial"/>
          <w:color w:val="000000"/>
          <w:sz w:val="22"/>
          <w:szCs w:val="22"/>
        </w:rPr>
        <w:t xml:space="preserve">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w:t>
      </w:r>
      <w:r w:rsidRPr="00A9638A">
        <w:rPr>
          <w:rFonts w:ascii="Arial" w:hAnsi="Arial" w:cs="Arial"/>
          <w:sz w:val="22"/>
          <w:szCs w:val="22"/>
        </w:rPr>
        <w:t>Public Company Limited and its subsidiaries</w:t>
      </w:r>
      <w:r w:rsidRPr="00A9638A">
        <w:rPr>
          <w:rFonts w:ascii="Arial" w:hAnsi="Arial" w:cs="Arial"/>
          <w:i/>
          <w:iCs/>
          <w:color w:val="548DD4" w:themeColor="text2" w:themeTint="99"/>
          <w:spacing w:val="-3"/>
          <w:sz w:val="22"/>
          <w:szCs w:val="22"/>
        </w:rPr>
        <w:t xml:space="preserve"> </w:t>
      </w:r>
      <w:r w:rsidRPr="00A9638A">
        <w:rPr>
          <w:rFonts w:ascii="Arial" w:hAnsi="Arial" w:cs="Arial"/>
          <w:spacing w:val="-3"/>
          <w:sz w:val="22"/>
          <w:szCs w:val="22"/>
        </w:rPr>
        <w:t>(the Group)</w:t>
      </w:r>
      <w:r w:rsidRPr="00A9638A">
        <w:rPr>
          <w:rFonts w:ascii="Arial" w:hAnsi="Arial" w:cs="Arial"/>
          <w:sz w:val="22"/>
          <w:szCs w:val="22"/>
        </w:rPr>
        <w:t xml:space="preserve">, which comprise the </w:t>
      </w:r>
      <w:r w:rsidRPr="00A9638A">
        <w:rPr>
          <w:rFonts w:ascii="Arial" w:hAnsi="Arial" w:cs="Arial"/>
          <w:spacing w:val="-3"/>
          <w:sz w:val="22"/>
          <w:szCs w:val="22"/>
        </w:rPr>
        <w:t>consolidated statement of financial position</w:t>
      </w:r>
      <w:r w:rsidRPr="00A9638A">
        <w:rPr>
          <w:rFonts w:ascii="Arial" w:hAnsi="Arial" w:cs="Arial"/>
          <w:sz w:val="22"/>
          <w:szCs w:val="22"/>
        </w:rPr>
        <w:t xml:space="preserve"> as at 31 December </w:t>
      </w:r>
      <w:r w:rsidR="00A878A3">
        <w:rPr>
          <w:rFonts w:ascii="Arial" w:hAnsi="Arial" w:cs="Arial"/>
          <w:sz w:val="22"/>
          <w:szCs w:val="22"/>
        </w:rPr>
        <w:t>201</w:t>
      </w:r>
      <w:r w:rsidR="00A670FF">
        <w:rPr>
          <w:rFonts w:ascii="Arial" w:hAnsi="Arial" w:cs="Arial"/>
          <w:sz w:val="22"/>
          <w:szCs w:val="22"/>
        </w:rPr>
        <w:t>9</w:t>
      </w:r>
      <w:r w:rsidRPr="00A9638A">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Pr="00A9638A">
        <w:rPr>
          <w:rFonts w:ascii="Arial" w:hAnsi="Arial" w:cs="Arial"/>
          <w:color w:val="000000"/>
          <w:sz w:val="22"/>
          <w:szCs w:val="22"/>
        </w:rPr>
        <w:t xml:space="preserve">Trinity </w:t>
      </w:r>
      <w:proofErr w:type="spellStart"/>
      <w:r w:rsidRPr="00A9638A">
        <w:rPr>
          <w:rFonts w:ascii="Arial" w:hAnsi="Arial" w:cs="Arial"/>
          <w:color w:val="000000"/>
          <w:sz w:val="22"/>
          <w:szCs w:val="22"/>
        </w:rPr>
        <w:t>Watthana</w:t>
      </w:r>
      <w:proofErr w:type="spellEnd"/>
      <w:r w:rsidRPr="00A9638A">
        <w:rPr>
          <w:rFonts w:ascii="Arial" w:hAnsi="Arial" w:cs="Arial"/>
          <w:sz w:val="22"/>
          <w:szCs w:val="22"/>
        </w:rPr>
        <w:t xml:space="preserve"> Public Company Limited for the same period.</w:t>
      </w:r>
    </w:p>
    <w:p w:rsidR="00A9638A" w:rsidRPr="00A9638A" w:rsidRDefault="00A9638A" w:rsidP="00A9638A">
      <w:pPr>
        <w:pStyle w:val="ps-000-normal"/>
        <w:spacing w:before="120" w:line="380" w:lineRule="exact"/>
        <w:rPr>
          <w:rFonts w:ascii="Arial" w:hAnsi="Arial" w:cs="Arial"/>
          <w:color w:val="auto"/>
          <w:sz w:val="22"/>
          <w:szCs w:val="22"/>
        </w:rPr>
      </w:pPr>
      <w:r w:rsidRPr="00A9638A">
        <w:rPr>
          <w:rFonts w:ascii="Arial" w:hAnsi="Arial" w:cs="Arial"/>
          <w:color w:val="auto"/>
          <w:sz w:val="22"/>
          <w:szCs w:val="22"/>
        </w:rPr>
        <w:t xml:space="preserve">In my opinion, the financial statements referred to above present fairly, in all material respects, the financial position of </w:t>
      </w:r>
      <w:r w:rsidRPr="00A9638A">
        <w:rPr>
          <w:rFonts w:ascii="Arial" w:hAnsi="Arial" w:cs="Arial"/>
          <w:sz w:val="22"/>
          <w:szCs w:val="22"/>
        </w:rPr>
        <w:t xml:space="preserve">Trinity </w:t>
      </w:r>
      <w:proofErr w:type="spellStart"/>
      <w:r w:rsidRPr="00A9638A">
        <w:rPr>
          <w:rFonts w:ascii="Arial" w:hAnsi="Arial" w:cs="Arial"/>
          <w:sz w:val="22"/>
          <w:szCs w:val="22"/>
        </w:rPr>
        <w:t>Watthana</w:t>
      </w:r>
      <w:proofErr w:type="spellEnd"/>
      <w:r w:rsidRPr="00A9638A">
        <w:rPr>
          <w:rFonts w:ascii="Arial" w:hAnsi="Arial" w:cs="Arial"/>
          <w:color w:val="auto"/>
          <w:sz w:val="22"/>
          <w:szCs w:val="22"/>
        </w:rPr>
        <w:t xml:space="preserve"> Public Company Limited and its subsidiaries and of </w:t>
      </w:r>
      <w:r w:rsidRPr="00A9638A">
        <w:rPr>
          <w:rFonts w:ascii="Arial" w:hAnsi="Arial" w:cs="Arial"/>
          <w:sz w:val="22"/>
          <w:szCs w:val="22"/>
        </w:rPr>
        <w:t xml:space="preserve">Trinity </w:t>
      </w:r>
      <w:proofErr w:type="spellStart"/>
      <w:r w:rsidRPr="00A9638A">
        <w:rPr>
          <w:rFonts w:ascii="Arial" w:hAnsi="Arial" w:cs="Arial"/>
          <w:sz w:val="22"/>
          <w:szCs w:val="22"/>
        </w:rPr>
        <w:t>Watthana</w:t>
      </w:r>
      <w:proofErr w:type="spellEnd"/>
      <w:r w:rsidRPr="00A9638A">
        <w:rPr>
          <w:rFonts w:ascii="Arial" w:hAnsi="Arial" w:cs="Arial"/>
          <w:color w:val="auto"/>
          <w:sz w:val="22"/>
          <w:szCs w:val="22"/>
        </w:rPr>
        <w:t xml:space="preserve"> Public Company Limited as at 31 December </w:t>
      </w:r>
      <w:r w:rsidR="00A878A3">
        <w:rPr>
          <w:rFonts w:ascii="Arial" w:hAnsi="Arial" w:cs="Arial"/>
          <w:color w:val="auto"/>
          <w:sz w:val="22"/>
          <w:szCs w:val="22"/>
        </w:rPr>
        <w:t>201</w:t>
      </w:r>
      <w:r w:rsidR="00A670FF">
        <w:rPr>
          <w:rFonts w:ascii="Arial" w:hAnsi="Arial" w:cs="Arial"/>
          <w:color w:val="auto"/>
          <w:sz w:val="22"/>
          <w:szCs w:val="22"/>
        </w:rPr>
        <w:t>9</w:t>
      </w:r>
      <w:r w:rsidRPr="00A9638A">
        <w:rPr>
          <w:rFonts w:ascii="Arial" w:hAnsi="Arial" w:cs="Arial"/>
          <w:color w:val="auto"/>
          <w:sz w:val="22"/>
          <w:szCs w:val="22"/>
        </w:rPr>
        <w:t>, their financial performance and cash flows for the year then ended in accordance with Thai Financial Reporting Standards.</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Basis for Opinion</w:t>
      </w:r>
    </w:p>
    <w:p w:rsidR="00A9638A" w:rsidRPr="00A9638A" w:rsidRDefault="00FD0E61" w:rsidP="00A9638A">
      <w:pPr>
        <w:pStyle w:val="ps-000-normal"/>
        <w:spacing w:before="120" w:line="380" w:lineRule="exact"/>
        <w:rPr>
          <w:rFonts w:ascii="Arial" w:hAnsi="Arial" w:cs="Arial"/>
          <w:sz w:val="22"/>
          <w:szCs w:val="22"/>
        </w:rPr>
      </w:pPr>
      <w:r w:rsidRPr="00FD0E61">
        <w:rPr>
          <w:rFonts w:ascii="Arial" w:hAnsi="Arial" w:cs="Arial"/>
          <w:sz w:val="22"/>
          <w:szCs w:val="22"/>
        </w:rPr>
        <w:t xml:space="preserve">I conducted my audit in accordance with Thai Standards on Auditing. My responsibilities under those standards are further </w:t>
      </w:r>
      <w:r w:rsidRPr="008A30DF">
        <w:rPr>
          <w:rFonts w:ascii="Arial" w:hAnsi="Arial" w:cs="Arial"/>
          <w:sz w:val="22"/>
          <w:szCs w:val="22"/>
        </w:rPr>
        <w:t xml:space="preserve">described in the </w:t>
      </w:r>
      <w:r w:rsidRPr="00D067F8">
        <w:rPr>
          <w:rFonts w:ascii="Arial" w:hAnsi="Arial" w:cs="Arial"/>
          <w:i/>
          <w:iCs/>
          <w:sz w:val="22"/>
          <w:szCs w:val="22"/>
        </w:rPr>
        <w:t>Auditor’s Responsibilities for the Audit of the Financial Statements</w:t>
      </w:r>
      <w:r w:rsidRPr="008A30DF">
        <w:rPr>
          <w:rFonts w:ascii="Arial" w:hAnsi="Arial" w:cs="Arial"/>
          <w:sz w:val="22"/>
          <w:szCs w:val="22"/>
        </w:rPr>
        <w:t xml:space="preserve"> section of m</w:t>
      </w:r>
      <w:r w:rsidRPr="00FD0E61">
        <w:rPr>
          <w:rFonts w:ascii="Arial" w:hAnsi="Arial" w:cs="Arial"/>
          <w:sz w:val="22"/>
          <w:szCs w:val="22"/>
        </w:rPr>
        <w:t xml:space="preserve">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FD0E61">
        <w:rPr>
          <w:rFonts w:ascii="Arial" w:hAnsi="Arial" w:cs="Arial"/>
          <w:sz w:val="22"/>
          <w:szCs w:val="22"/>
        </w:rPr>
        <w:t>sufficient</w:t>
      </w:r>
      <w:proofErr w:type="gramEnd"/>
      <w:r w:rsidRPr="00FD0E61">
        <w:rPr>
          <w:rFonts w:ascii="Arial" w:hAnsi="Arial" w:cs="Arial"/>
          <w:sz w:val="22"/>
          <w:szCs w:val="22"/>
        </w:rPr>
        <w:t xml:space="preserve"> and appropriate to provide a basis for my opinion</w:t>
      </w:r>
      <w:r w:rsidR="00A9638A" w:rsidRPr="00A9638A">
        <w:rPr>
          <w:rFonts w:ascii="Arial" w:hAnsi="Arial" w:cs="Arial"/>
          <w:sz w:val="22"/>
          <w:szCs w:val="22"/>
        </w:rPr>
        <w:t>.</w:t>
      </w:r>
    </w:p>
    <w:p w:rsidR="00234ACF" w:rsidRPr="00234ACF" w:rsidRDefault="00234ACF" w:rsidP="00234ACF">
      <w:pPr>
        <w:pStyle w:val="ps-000-normal"/>
        <w:spacing w:before="240" w:line="380" w:lineRule="exact"/>
        <w:rPr>
          <w:rFonts w:ascii="Arial" w:hAnsi="Arial" w:cs="Arial"/>
          <w:b/>
          <w:bCs/>
          <w:sz w:val="22"/>
          <w:szCs w:val="22"/>
        </w:rPr>
      </w:pPr>
      <w:r w:rsidRPr="00234ACF">
        <w:rPr>
          <w:rFonts w:ascii="Arial" w:hAnsi="Arial" w:cs="Arial"/>
          <w:b/>
          <w:bCs/>
          <w:sz w:val="22"/>
          <w:szCs w:val="22"/>
        </w:rPr>
        <w:t>Emphasis of Matter</w:t>
      </w:r>
    </w:p>
    <w:p w:rsidR="00234ACF" w:rsidRPr="00234ACF" w:rsidRDefault="00234ACF" w:rsidP="00234ACF">
      <w:pPr>
        <w:pStyle w:val="ps-000-normal"/>
        <w:spacing w:before="120" w:line="380" w:lineRule="exact"/>
        <w:rPr>
          <w:rFonts w:ascii="Arial" w:hAnsi="Arial" w:cs="Arial"/>
          <w:sz w:val="22"/>
          <w:szCs w:val="22"/>
        </w:rPr>
      </w:pPr>
      <w:r w:rsidRPr="00234ACF">
        <w:rPr>
          <w:rFonts w:ascii="Arial" w:hAnsi="Arial" w:cs="Arial"/>
          <w:sz w:val="22"/>
          <w:szCs w:val="22"/>
        </w:rPr>
        <w:t>I draw attention to Note 16 to the consolidated financial statements regarding the investing in joint venture by the Company. At present, the Company is in the process of assessing the fair value of the identifiable assets acquired and liabilities assumed at the investing date of such joint venture. My conclusion is not qualified in respect of this matter.</w:t>
      </w:r>
    </w:p>
    <w:p w:rsidR="00234ACF" w:rsidRPr="00234ACF" w:rsidRDefault="00234ACF" w:rsidP="00234ACF">
      <w:pPr>
        <w:pStyle w:val="ps-000-normal"/>
        <w:spacing w:before="120" w:line="380" w:lineRule="exact"/>
        <w:rPr>
          <w:rFonts w:ascii="Arial" w:hAnsi="Arial" w:cs="Arial"/>
          <w:sz w:val="22"/>
          <w:szCs w:val="22"/>
        </w:rPr>
        <w:sectPr w:rsidR="00234ACF" w:rsidRPr="00234ACF" w:rsidSect="00E74EE5">
          <w:footerReference w:type="default" r:id="rId7"/>
          <w:footerReference w:type="first" r:id="rId8"/>
          <w:pgSz w:w="11909" w:h="16834" w:code="9"/>
          <w:pgMar w:top="3600" w:right="1080" w:bottom="1080" w:left="1296" w:header="720" w:footer="720" w:gutter="0"/>
          <w:pgNumType w:start="2"/>
          <w:cols w:space="720"/>
          <w:titlePg/>
          <w:docGrid w:linePitch="360"/>
        </w:sectPr>
      </w:pP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Key Audit Matters</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9638A">
        <w:rPr>
          <w:rFonts w:ascii="Arial" w:hAnsi="Arial" w:cs="Arial"/>
          <w:sz w:val="22"/>
          <w:szCs w:val="22"/>
        </w:rPr>
        <w:t>statements as a whole, and</w:t>
      </w:r>
      <w:proofErr w:type="gramEnd"/>
      <w:r w:rsidRPr="00A9638A">
        <w:rPr>
          <w:rFonts w:ascii="Arial" w:hAnsi="Arial" w:cs="Arial"/>
          <w:sz w:val="22"/>
          <w:szCs w:val="22"/>
        </w:rPr>
        <w:t xml:space="preserve"> in forming my opinion thereon, and I do not provide a separate opinion on these matters. </w:t>
      </w:r>
    </w:p>
    <w:p w:rsidR="00A9638A" w:rsidRPr="00A9638A" w:rsidRDefault="00A9638A" w:rsidP="00A9638A">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I have fulfilled the responsibilities described in the </w:t>
      </w:r>
      <w:r w:rsidRPr="008A30DF">
        <w:rPr>
          <w:rFonts w:ascii="Arial" w:hAnsi="Arial" w:cs="Arial"/>
          <w:sz w:val="22"/>
          <w:szCs w:val="22"/>
        </w:rPr>
        <w:t>Auditor’s Responsibilities for the Audit of the Financial Statements section of my report, including</w:t>
      </w:r>
      <w:r w:rsidRPr="00A9638A">
        <w:rPr>
          <w:rFonts w:ascii="Arial" w:hAnsi="Arial" w:cs="Arial"/>
          <w:sz w:val="22"/>
          <w:szCs w:val="22"/>
        </w:rPr>
        <w:t xml:space="preserve">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A9638A">
        <w:rPr>
          <w:rFonts w:ascii="Arial" w:hAnsi="Arial" w:cs="Arial"/>
          <w:sz w:val="22"/>
          <w:szCs w:val="22"/>
        </w:rPr>
        <w:t>statements as a whole</w:t>
      </w:r>
      <w:proofErr w:type="gramEnd"/>
      <w:r w:rsidRPr="00A9638A">
        <w:rPr>
          <w:rFonts w:ascii="Arial" w:hAnsi="Arial" w:cs="Arial"/>
          <w:sz w:val="22"/>
          <w:szCs w:val="22"/>
        </w:rPr>
        <w:t>.</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Key audit matters and how audit procedures respond </w:t>
      </w:r>
      <w:r w:rsidR="00D067F8">
        <w:rPr>
          <w:rFonts w:ascii="Arial" w:hAnsi="Arial" w:cs="Arial"/>
          <w:sz w:val="22"/>
          <w:szCs w:val="22"/>
        </w:rPr>
        <w:t>to</w:t>
      </w:r>
      <w:r w:rsidRPr="00A9638A">
        <w:rPr>
          <w:rFonts w:ascii="Arial" w:hAnsi="Arial" w:cs="Arial"/>
          <w:sz w:val="22"/>
          <w:szCs w:val="22"/>
        </w:rPr>
        <w:t xml:space="preserve"> each matter are described below.</w:t>
      </w:r>
    </w:p>
    <w:p w:rsidR="00A9638A" w:rsidRPr="00A9638A" w:rsidRDefault="00A9638A" w:rsidP="00A9638A">
      <w:pPr>
        <w:spacing w:before="240" w:after="120" w:line="380" w:lineRule="exact"/>
        <w:rPr>
          <w:rFonts w:ascii="Arial" w:hAnsi="Arial" w:cs="Arial"/>
          <w:b/>
          <w:bCs/>
          <w:i/>
          <w:iCs/>
          <w:color w:val="000000"/>
          <w:sz w:val="22"/>
          <w:szCs w:val="22"/>
        </w:rPr>
      </w:pPr>
      <w:r w:rsidRPr="00A9638A">
        <w:rPr>
          <w:rFonts w:ascii="Arial" w:hAnsi="Arial" w:cs="Arial"/>
          <w:b/>
          <w:bCs/>
          <w:i/>
          <w:iCs/>
          <w:color w:val="000000"/>
          <w:sz w:val="22"/>
          <w:szCs w:val="22"/>
        </w:rPr>
        <w:t>Recognition of brokerage fees and interest on margin loans</w:t>
      </w:r>
    </w:p>
    <w:p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Group’s income mainly consisted of brokerage fees and interest on margin loans, amounting to Baht </w:t>
      </w:r>
      <w:r w:rsidR="00824607">
        <w:rPr>
          <w:rFonts w:ascii="Arial" w:hAnsi="Arial" w:cs="Arial"/>
          <w:color w:val="000000"/>
          <w:sz w:val="22"/>
          <w:szCs w:val="22"/>
        </w:rPr>
        <w:t>151</w:t>
      </w:r>
      <w:r w:rsidR="00D067F8">
        <w:rPr>
          <w:rFonts w:ascii="Arial" w:hAnsi="Arial" w:cs="Arial"/>
          <w:color w:val="000000"/>
          <w:sz w:val="22"/>
          <w:szCs w:val="22"/>
        </w:rPr>
        <w:t xml:space="preserve"> </w:t>
      </w:r>
      <w:r w:rsidRPr="00A9638A">
        <w:rPr>
          <w:rFonts w:ascii="Arial" w:hAnsi="Arial" w:cs="Arial"/>
          <w:color w:val="000000"/>
          <w:sz w:val="22"/>
          <w:szCs w:val="22"/>
        </w:rPr>
        <w:t xml:space="preserve">million and Baht </w:t>
      </w:r>
      <w:r w:rsidR="00F4470E">
        <w:rPr>
          <w:rFonts w:ascii="Arial" w:hAnsi="Arial" w:cs="Arial"/>
          <w:color w:val="000000"/>
          <w:sz w:val="22"/>
          <w:szCs w:val="22"/>
        </w:rPr>
        <w:t>98</w:t>
      </w:r>
      <w:r w:rsidRPr="00A9638A">
        <w:rPr>
          <w:rFonts w:ascii="Arial" w:hAnsi="Arial" w:cs="Arial"/>
          <w:color w:val="000000"/>
          <w:sz w:val="22"/>
          <w:szCs w:val="22"/>
        </w:rPr>
        <w:t xml:space="preserve"> million</w:t>
      </w:r>
      <w:r w:rsidR="000844FD">
        <w:rPr>
          <w:rFonts w:ascii="Arial" w:hAnsi="Arial" w:cs="Arial"/>
          <w:color w:val="000000"/>
          <w:sz w:val="22"/>
          <w:szCs w:val="22"/>
        </w:rPr>
        <w:t xml:space="preserve"> for the year </w:t>
      </w:r>
      <w:r w:rsidR="00A878A3">
        <w:rPr>
          <w:rFonts w:ascii="Arial" w:hAnsi="Arial" w:cs="Arial"/>
          <w:color w:val="000000"/>
          <w:sz w:val="22"/>
          <w:szCs w:val="22"/>
        </w:rPr>
        <w:t>201</w:t>
      </w:r>
      <w:r w:rsidR="00DE3F6D">
        <w:rPr>
          <w:rFonts w:ascii="Arial" w:hAnsi="Arial" w:cs="Arial"/>
          <w:color w:val="000000"/>
          <w:sz w:val="22"/>
          <w:szCs w:val="22"/>
        </w:rPr>
        <w:t>9</w:t>
      </w:r>
      <w:r w:rsidRPr="00A9638A">
        <w:rPr>
          <w:rFonts w:ascii="Arial" w:hAnsi="Arial" w:cs="Arial"/>
          <w:color w:val="000000"/>
          <w:sz w:val="22"/>
          <w:szCs w:val="22"/>
        </w:rPr>
        <w:t xml:space="preserve">, respectively, as discussed in Note </w:t>
      </w:r>
      <w:r w:rsidR="00824607">
        <w:rPr>
          <w:rFonts w:ascii="Arial" w:hAnsi="Arial" w:cs="Arial"/>
          <w:color w:val="000000"/>
          <w:sz w:val="22"/>
          <w:szCs w:val="22"/>
        </w:rPr>
        <w:t>29</w:t>
      </w:r>
      <w:r w:rsidRPr="00A9638A">
        <w:rPr>
          <w:rFonts w:ascii="Arial" w:hAnsi="Arial" w:cs="Arial"/>
          <w:color w:val="000000"/>
          <w:sz w:val="22"/>
          <w:szCs w:val="22"/>
        </w:rPr>
        <w:t xml:space="preserve"> to the </w:t>
      </w:r>
      <w:r w:rsidR="00F81DD5">
        <w:rPr>
          <w:rFonts w:ascii="Arial" w:hAnsi="Arial" w:cs="Arial"/>
          <w:color w:val="000000"/>
          <w:sz w:val="22"/>
          <w:szCs w:val="22"/>
        </w:rPr>
        <w:t xml:space="preserve">consolidated </w:t>
      </w:r>
      <w:r w:rsidRPr="00A9638A">
        <w:rPr>
          <w:rFonts w:ascii="Arial" w:hAnsi="Arial" w:cs="Arial"/>
          <w:color w:val="000000"/>
          <w:sz w:val="22"/>
          <w:szCs w:val="22"/>
        </w:rPr>
        <w:t xml:space="preserve">financial statements, representing </w:t>
      </w:r>
      <w:r w:rsidR="00824607">
        <w:rPr>
          <w:rFonts w:ascii="Arial" w:hAnsi="Arial" w:cs="Arial"/>
          <w:color w:val="000000"/>
          <w:sz w:val="22"/>
          <w:szCs w:val="22"/>
        </w:rPr>
        <w:t>22</w:t>
      </w:r>
      <w:r w:rsidRPr="00A9638A">
        <w:rPr>
          <w:rFonts w:ascii="Arial" w:hAnsi="Arial" w:cs="Arial"/>
          <w:color w:val="000000"/>
          <w:sz w:val="22"/>
          <w:szCs w:val="22"/>
        </w:rPr>
        <w:t xml:space="preserve"> percent and </w:t>
      </w:r>
      <w:r w:rsidR="00F4470E">
        <w:rPr>
          <w:rFonts w:ascii="Arial" w:hAnsi="Arial" w:cs="Arial"/>
          <w:color w:val="000000"/>
          <w:sz w:val="22"/>
          <w:szCs w:val="22"/>
        </w:rPr>
        <w:t>15</w:t>
      </w:r>
      <w:r w:rsidRPr="00A9638A">
        <w:rPr>
          <w:rFonts w:ascii="Arial" w:hAnsi="Arial" w:cs="Arial"/>
          <w:color w:val="000000"/>
          <w:sz w:val="22"/>
          <w:szCs w:val="22"/>
        </w:rPr>
        <w:t xml:space="preserve"> percent of the </w:t>
      </w:r>
      <w:r w:rsidR="00E762EC">
        <w:rPr>
          <w:rFonts w:ascii="Arial" w:hAnsi="Arial" w:cs="Arial"/>
          <w:color w:val="000000"/>
          <w:sz w:val="22"/>
          <w:szCs w:val="22"/>
        </w:rPr>
        <w:t>Group’s</w:t>
      </w:r>
      <w:r w:rsidRPr="00A9638A">
        <w:rPr>
          <w:rFonts w:ascii="Arial" w:hAnsi="Arial" w:cs="Arial"/>
          <w:color w:val="000000"/>
          <w:sz w:val="22"/>
          <w:szCs w:val="22"/>
        </w:rPr>
        <w:t xml:space="preserve"> total revenue</w:t>
      </w:r>
      <w:r w:rsidR="00D067F8">
        <w:rPr>
          <w:rFonts w:ascii="Arial" w:hAnsi="Arial" w:cs="Arial"/>
          <w:color w:val="000000"/>
          <w:sz w:val="22"/>
          <w:szCs w:val="22"/>
        </w:rPr>
        <w:t>s</w:t>
      </w:r>
      <w:r w:rsidRPr="00A9638A">
        <w:rPr>
          <w:rFonts w:ascii="Arial" w:hAnsi="Arial" w:cs="Arial"/>
          <w:color w:val="000000"/>
          <w:sz w:val="22"/>
          <w:szCs w:val="22"/>
        </w:rPr>
        <w:t>. The subsidiary charges brokerage fees at percentages of trading volume, which are freely negotiated</w:t>
      </w:r>
      <w:r w:rsidR="008A30DF">
        <w:rPr>
          <w:rFonts w:ascii="Arial" w:hAnsi="Arial" w:cstheme="minorBidi" w:hint="cs"/>
          <w:color w:val="000000"/>
          <w:sz w:val="22"/>
          <w:szCs w:val="22"/>
          <w:cs/>
        </w:rPr>
        <w:t xml:space="preserve"> </w:t>
      </w:r>
      <w:r w:rsidR="008A30DF">
        <w:rPr>
          <w:rFonts w:ascii="Arial" w:hAnsi="Arial" w:cstheme="minorBidi"/>
          <w:color w:val="000000"/>
          <w:sz w:val="22"/>
          <w:szCs w:val="22"/>
        </w:rPr>
        <w:t>rate</w:t>
      </w:r>
      <w:r w:rsidRPr="00A9638A">
        <w:rPr>
          <w:rFonts w:ascii="Arial" w:hAnsi="Arial" w:cs="Arial"/>
          <w:color w:val="000000"/>
          <w:sz w:val="22"/>
          <w:szCs w:val="22"/>
        </w:rPr>
        <w:t xml:space="preserve"> based on a sliding scale fee structure, whereas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is charged at fixed rates that are adjusted periodically based on market conditions and the competitive environment. Because of the size and volume of transactions, the large number of customers, the fees charged to customers being dependent on various factors, and the recognition of revenue from brokerage fees and interest on margin loans relies primarily on data processed by information systems,</w:t>
      </w:r>
      <w:r w:rsidR="00E762EC">
        <w:rPr>
          <w:rFonts w:ascii="Arial" w:hAnsi="Arial" w:cs="Arial"/>
          <w:color w:val="000000"/>
          <w:sz w:val="22"/>
          <w:szCs w:val="22"/>
        </w:rPr>
        <w:t xml:space="preserve"> </w:t>
      </w:r>
      <w:r w:rsidRPr="00A9638A">
        <w:rPr>
          <w:rFonts w:ascii="Arial" w:hAnsi="Arial" w:cs="Arial"/>
          <w:color w:val="000000"/>
          <w:sz w:val="22"/>
          <w:szCs w:val="22"/>
        </w:rPr>
        <w:t>I addressed the measurement and occurrence of brokerage fees and interest on margin loans</w:t>
      </w:r>
      <w:r w:rsidR="000844FD">
        <w:rPr>
          <w:rFonts w:ascii="Arial" w:hAnsi="Arial" w:cs="Arial"/>
          <w:color w:val="000000"/>
          <w:sz w:val="22"/>
          <w:szCs w:val="22"/>
        </w:rPr>
        <w:t xml:space="preserve"> </w:t>
      </w:r>
      <w:r w:rsidRPr="00A9638A">
        <w:rPr>
          <w:rFonts w:ascii="Arial" w:hAnsi="Arial" w:cs="Arial"/>
          <w:color w:val="000000"/>
          <w:sz w:val="22"/>
          <w:szCs w:val="22"/>
        </w:rPr>
        <w:t>as a key audit matter.</w:t>
      </w:r>
    </w:p>
    <w:p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audit procedures I performed were to assess and test, on a sampling basis, the </w:t>
      </w:r>
      <w:r w:rsidR="000844FD">
        <w:rPr>
          <w:rFonts w:ascii="Arial" w:hAnsi="Arial" w:cs="Arial"/>
          <w:color w:val="000000"/>
          <w:sz w:val="22"/>
          <w:szCs w:val="22"/>
        </w:rPr>
        <w:t>subsidiary’s</w:t>
      </w:r>
      <w:r w:rsidRPr="00A9638A">
        <w:rPr>
          <w:rFonts w:ascii="Arial" w:hAnsi="Arial" w:cs="Arial"/>
          <w:color w:val="000000"/>
          <w:sz w:val="22"/>
          <w:szCs w:val="22"/>
        </w:rPr>
        <w:t xml:space="preserve"> internal controls relevant to recognition of brokerage fees and interest on margin loans, including computer-based controls relevant to the calculation of brokerage fees and interest on margin loans. I also tested, on a sampling basis, the brokerage rates, interest rates, calculation and account recording. In addition, I performed analytical procedures on brokerage fees and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and examined, on a sampling basis, material manual adjustments </w:t>
      </w:r>
      <w:r w:rsidR="008A30DF">
        <w:rPr>
          <w:rFonts w:ascii="Arial" w:hAnsi="Arial" w:cs="Arial"/>
          <w:color w:val="000000"/>
          <w:sz w:val="22"/>
          <w:szCs w:val="22"/>
        </w:rPr>
        <w:t>recorded</w:t>
      </w:r>
      <w:r w:rsidRPr="00A9638A">
        <w:rPr>
          <w:rFonts w:ascii="Arial" w:hAnsi="Arial" w:cs="Arial"/>
          <w:color w:val="000000"/>
          <w:sz w:val="22"/>
          <w:szCs w:val="22"/>
        </w:rPr>
        <w:t xml:space="preserve"> via journal vouchers.</w:t>
      </w:r>
    </w:p>
    <w:p w:rsidR="009A7532" w:rsidRDefault="009A7532">
      <w:pPr>
        <w:widowControl/>
        <w:overflowPunct/>
        <w:autoSpaceDE/>
        <w:autoSpaceDN/>
        <w:adjustRightInd/>
        <w:spacing w:after="200" w:line="276" w:lineRule="auto"/>
        <w:textAlignment w:val="auto"/>
        <w:rPr>
          <w:rFonts w:ascii="Arial" w:hAnsi="Arial" w:cs="Arial"/>
          <w:b/>
          <w:bCs/>
          <w:i/>
          <w:iCs/>
          <w:color w:val="000000"/>
          <w:sz w:val="22"/>
          <w:szCs w:val="22"/>
        </w:rPr>
      </w:pPr>
      <w:r>
        <w:rPr>
          <w:rFonts w:ascii="Arial" w:hAnsi="Arial" w:cs="Arial"/>
          <w:b/>
          <w:bCs/>
          <w:i/>
          <w:iCs/>
          <w:color w:val="000000"/>
          <w:sz w:val="22"/>
          <w:szCs w:val="22"/>
        </w:rPr>
        <w:br w:type="page"/>
      </w:r>
    </w:p>
    <w:p w:rsidR="00A9638A" w:rsidRPr="00A9638A" w:rsidRDefault="00A9638A" w:rsidP="00A9638A">
      <w:pPr>
        <w:spacing w:before="120" w:after="120" w:line="380" w:lineRule="exact"/>
        <w:rPr>
          <w:rFonts w:ascii="Arial" w:hAnsi="Arial" w:cs="Arial"/>
          <w:b/>
          <w:bCs/>
          <w:i/>
          <w:iCs/>
          <w:color w:val="000000"/>
          <w:sz w:val="22"/>
          <w:szCs w:val="22"/>
        </w:rPr>
      </w:pPr>
      <w:r w:rsidRPr="00A9638A">
        <w:rPr>
          <w:rFonts w:ascii="Arial" w:hAnsi="Arial" w:cs="Arial"/>
          <w:b/>
          <w:bCs/>
          <w:i/>
          <w:iCs/>
          <w:color w:val="000000"/>
          <w:sz w:val="22"/>
          <w:szCs w:val="22"/>
        </w:rPr>
        <w:t>Allowance for doubtful accounts</w:t>
      </w:r>
      <w:r w:rsidRPr="00A9638A">
        <w:rPr>
          <w:rFonts w:ascii="Arial" w:hAnsi="Arial" w:cs="Arial"/>
          <w:b/>
          <w:bCs/>
          <w:i/>
          <w:iCs/>
          <w:color w:val="000000"/>
          <w:sz w:val="22"/>
          <w:szCs w:val="22"/>
          <w:cs/>
        </w:rPr>
        <w:t xml:space="preserve"> </w:t>
      </w:r>
      <w:r w:rsidRPr="00A9638A">
        <w:rPr>
          <w:rFonts w:ascii="Arial" w:hAnsi="Arial" w:cs="Arial"/>
          <w:b/>
          <w:bCs/>
          <w:i/>
          <w:iCs/>
          <w:color w:val="000000"/>
          <w:sz w:val="22"/>
          <w:szCs w:val="22"/>
        </w:rPr>
        <w:t xml:space="preserve">for securities </w:t>
      </w:r>
      <w:r w:rsidR="007B695B">
        <w:rPr>
          <w:rFonts w:ascii="Arial" w:hAnsi="Arial" w:cs="Arial"/>
          <w:b/>
          <w:bCs/>
          <w:i/>
          <w:iCs/>
          <w:color w:val="000000"/>
          <w:sz w:val="22"/>
          <w:szCs w:val="22"/>
        </w:rPr>
        <w:t xml:space="preserve">business </w:t>
      </w:r>
      <w:r w:rsidRPr="00A9638A">
        <w:rPr>
          <w:rFonts w:ascii="Arial" w:hAnsi="Arial" w:cs="Arial"/>
          <w:b/>
          <w:bCs/>
          <w:i/>
          <w:iCs/>
          <w:color w:val="000000"/>
          <w:sz w:val="22"/>
          <w:szCs w:val="22"/>
        </w:rPr>
        <w:t>receivables</w:t>
      </w:r>
    </w:p>
    <w:p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As discussed in Note </w:t>
      </w:r>
      <w:r w:rsidR="009A7532">
        <w:rPr>
          <w:rFonts w:ascii="Arial" w:hAnsi="Arial" w:cs="Arial"/>
          <w:color w:val="000000"/>
          <w:sz w:val="22"/>
          <w:szCs w:val="22"/>
        </w:rPr>
        <w:t>4</w:t>
      </w:r>
      <w:r w:rsidRPr="00A9638A">
        <w:rPr>
          <w:rFonts w:ascii="Arial" w:hAnsi="Arial" w:cs="Arial"/>
          <w:color w:val="000000"/>
          <w:sz w:val="22"/>
          <w:szCs w:val="22"/>
        </w:rPr>
        <w:t xml:space="preserve">.9 to the </w:t>
      </w:r>
      <w:r w:rsidR="00F81DD5">
        <w:rPr>
          <w:rFonts w:ascii="Arial" w:hAnsi="Arial" w:cs="Arial"/>
          <w:color w:val="000000"/>
          <w:sz w:val="22"/>
          <w:szCs w:val="22"/>
        </w:rPr>
        <w:t xml:space="preserve">consolidated </w:t>
      </w:r>
      <w:r w:rsidRPr="00A9638A">
        <w:rPr>
          <w:rFonts w:ascii="Arial" w:hAnsi="Arial" w:cs="Arial"/>
          <w:color w:val="000000"/>
          <w:sz w:val="22"/>
          <w:szCs w:val="22"/>
        </w:rPr>
        <w:t xml:space="preserve">financial statements, the subsidiary’s allowance for doubtful accounts for securities </w:t>
      </w:r>
      <w:r w:rsidR="007B695B">
        <w:rPr>
          <w:rFonts w:ascii="Arial" w:hAnsi="Arial" w:cs="Arial"/>
          <w:color w:val="000000"/>
          <w:sz w:val="22"/>
          <w:szCs w:val="22"/>
        </w:rPr>
        <w:t xml:space="preserve">business receivables </w:t>
      </w:r>
      <w:r w:rsidRPr="00A9638A">
        <w:rPr>
          <w:rFonts w:ascii="Arial" w:hAnsi="Arial" w:cs="Arial"/>
          <w:color w:val="000000"/>
          <w:sz w:val="22"/>
          <w:szCs w:val="22"/>
        </w:rPr>
        <w:t>is determined through consideration of specific reviews, collection risk and the value of the collateral</w:t>
      </w:r>
      <w:r w:rsidRPr="00A9638A">
        <w:rPr>
          <w:rFonts w:ascii="Arial" w:hAnsi="Arial" w:cs="Arial"/>
          <w:color w:val="000000"/>
          <w:sz w:val="22"/>
          <w:szCs w:val="22"/>
          <w:cs/>
        </w:rPr>
        <w:t>.</w:t>
      </w:r>
      <w:r w:rsidRPr="00A9638A">
        <w:rPr>
          <w:rFonts w:ascii="Arial" w:hAnsi="Arial" w:cs="Arial"/>
          <w:color w:val="000000"/>
          <w:sz w:val="22"/>
          <w:szCs w:val="22"/>
        </w:rPr>
        <w:t xml:space="preserve"> For securities trading and credit balance transactions, the subsidiary has policies regarding the collateral to be placed, with the value of collateral required dependent on the type of transaction, type of securities and credit limit, among other factors</w:t>
      </w:r>
      <w:r w:rsidRPr="00A9638A">
        <w:rPr>
          <w:rFonts w:ascii="Arial" w:hAnsi="Arial" w:cs="Arial"/>
          <w:color w:val="000000"/>
          <w:sz w:val="22"/>
          <w:szCs w:val="22"/>
          <w:cs/>
        </w:rPr>
        <w:t xml:space="preserve">. </w:t>
      </w:r>
      <w:r w:rsidRPr="00A9638A">
        <w:rPr>
          <w:rFonts w:ascii="Arial" w:hAnsi="Arial" w:cs="Arial"/>
          <w:color w:val="000000"/>
          <w:sz w:val="22"/>
          <w:szCs w:val="22"/>
        </w:rPr>
        <w:t>The estimation of allowance for doubtful accounts for securities business receivables is significant because of the number of the customers and the significance of the amount of the receivables to the Group’s consolidated financial statements, with securities business</w:t>
      </w:r>
      <w:r w:rsidR="00FD0E61">
        <w:rPr>
          <w:rFonts w:ascii="Arial" w:hAnsi="Arial" w:cs="Arial"/>
          <w:color w:val="000000"/>
          <w:sz w:val="22"/>
          <w:szCs w:val="22"/>
        </w:rPr>
        <w:t xml:space="preserve"> receivables amounting to Baht </w:t>
      </w:r>
      <w:r w:rsidR="00F4470E">
        <w:rPr>
          <w:rFonts w:ascii="Arial" w:hAnsi="Arial" w:cs="Arial"/>
          <w:color w:val="000000"/>
          <w:sz w:val="22"/>
          <w:szCs w:val="22"/>
        </w:rPr>
        <w:t>1,</w:t>
      </w:r>
      <w:r w:rsidR="00824607">
        <w:rPr>
          <w:rFonts w:ascii="Arial" w:hAnsi="Arial" w:cs="Arial"/>
          <w:color w:val="000000"/>
          <w:sz w:val="22"/>
          <w:szCs w:val="22"/>
        </w:rPr>
        <w:t>842</w:t>
      </w:r>
      <w:r w:rsidR="0013198F">
        <w:rPr>
          <w:rFonts w:ascii="Arial" w:hAnsi="Arial" w:cs="Arial"/>
          <w:color w:val="000000"/>
          <w:sz w:val="22"/>
          <w:szCs w:val="22"/>
        </w:rPr>
        <w:t xml:space="preserve"> </w:t>
      </w:r>
      <w:r w:rsidRPr="00A9638A">
        <w:rPr>
          <w:rFonts w:ascii="Arial" w:hAnsi="Arial" w:cs="Arial"/>
          <w:color w:val="000000"/>
          <w:sz w:val="22"/>
          <w:szCs w:val="22"/>
        </w:rPr>
        <w:t xml:space="preserve">million as at 31 December </w:t>
      </w:r>
      <w:r w:rsidR="00A878A3">
        <w:rPr>
          <w:rFonts w:ascii="Arial" w:hAnsi="Arial" w:cs="Arial"/>
          <w:color w:val="000000"/>
          <w:sz w:val="22"/>
          <w:szCs w:val="22"/>
        </w:rPr>
        <w:t>201</w:t>
      </w:r>
      <w:r w:rsidR="00824607">
        <w:rPr>
          <w:rFonts w:ascii="Arial" w:hAnsi="Arial" w:cs="Arial"/>
          <w:color w:val="000000"/>
          <w:sz w:val="22"/>
          <w:szCs w:val="22"/>
        </w:rPr>
        <w:t>9</w:t>
      </w:r>
      <w:r w:rsidRPr="00A9638A">
        <w:rPr>
          <w:rFonts w:ascii="Arial" w:hAnsi="Arial" w:cs="Arial"/>
          <w:color w:val="000000"/>
          <w:sz w:val="22"/>
          <w:szCs w:val="22"/>
        </w:rPr>
        <w:t xml:space="preserve">, representing </w:t>
      </w:r>
      <w:r w:rsidR="00824607">
        <w:rPr>
          <w:rFonts w:ascii="Arial" w:hAnsi="Arial" w:cs="Arial"/>
          <w:color w:val="000000"/>
          <w:sz w:val="22"/>
          <w:szCs w:val="22"/>
        </w:rPr>
        <w:t>42</w:t>
      </w:r>
      <w:r w:rsidRPr="00A9638A">
        <w:rPr>
          <w:rFonts w:ascii="Arial" w:hAnsi="Arial" w:cs="Arial"/>
          <w:color w:val="000000"/>
          <w:sz w:val="22"/>
          <w:szCs w:val="22"/>
        </w:rPr>
        <w:t xml:space="preserve"> percent of the G</w:t>
      </w:r>
      <w:r w:rsidR="007B695B">
        <w:rPr>
          <w:rFonts w:ascii="Arial" w:hAnsi="Arial" w:cs="Arial"/>
          <w:color w:val="000000"/>
          <w:sz w:val="22"/>
          <w:szCs w:val="22"/>
        </w:rPr>
        <w:t>roup’s total assets. Therefore,</w:t>
      </w:r>
      <w:r w:rsidR="000844FD">
        <w:rPr>
          <w:rFonts w:ascii="Arial" w:hAnsi="Arial" w:cs="Arial"/>
          <w:color w:val="000000"/>
          <w:sz w:val="22"/>
          <w:szCs w:val="22"/>
        </w:rPr>
        <w:t xml:space="preserve"> </w:t>
      </w:r>
      <w:r w:rsidRPr="00A9638A">
        <w:rPr>
          <w:rFonts w:ascii="Arial" w:hAnsi="Arial" w:cs="Arial"/>
          <w:color w:val="000000"/>
          <w:sz w:val="22"/>
          <w:szCs w:val="22"/>
        </w:rPr>
        <w:t xml:space="preserve">I addressed the adequacy of allowance for doubtful accounts for such receivables as a key audit matter. </w:t>
      </w:r>
    </w:p>
    <w:p w:rsidR="00A9638A" w:rsidRPr="00A9638A" w:rsidRDefault="00A9638A" w:rsidP="00A9638A">
      <w:pPr>
        <w:spacing w:before="120" w:after="120" w:line="380" w:lineRule="exact"/>
        <w:rPr>
          <w:rFonts w:ascii="Arial" w:hAnsi="Arial" w:cs="Arial"/>
          <w:b/>
          <w:bCs/>
          <w:i/>
          <w:iCs/>
          <w:color w:val="000000"/>
          <w:sz w:val="22"/>
          <w:szCs w:val="22"/>
        </w:rPr>
      </w:pPr>
      <w:r w:rsidRPr="00A9638A">
        <w:rPr>
          <w:rFonts w:ascii="Arial" w:hAnsi="Arial" w:cs="Arial"/>
          <w:color w:val="000000"/>
          <w:sz w:val="22"/>
          <w:szCs w:val="22"/>
        </w:rPr>
        <w:t>I have performed audit procedures on the allowance for doubtful accounts as follows:</w:t>
      </w:r>
    </w:p>
    <w:p w:rsidR="00A9638A" w:rsidRPr="00A9638A" w:rsidRDefault="00A9638A" w:rsidP="00E762EC">
      <w:pPr>
        <w:pStyle w:val="ListParagraph"/>
        <w:numPr>
          <w:ilvl w:val="0"/>
          <w:numId w:val="2"/>
        </w:numPr>
        <w:spacing w:after="0" w:line="360" w:lineRule="exact"/>
        <w:ind w:left="547" w:hanging="547"/>
        <w:contextualSpacing w:val="0"/>
        <w:rPr>
          <w:rFonts w:ascii="Arial" w:eastAsia="Times New Roman" w:hAnsi="Arial" w:cs="Arial"/>
          <w:color w:val="000000"/>
          <w:szCs w:val="22"/>
        </w:rPr>
      </w:pPr>
      <w:r w:rsidRPr="00A9638A">
        <w:rPr>
          <w:rFonts w:ascii="Arial" w:eastAsia="Times New Roman" w:hAnsi="Arial" w:cs="Arial"/>
          <w:color w:val="000000"/>
          <w:szCs w:val="22"/>
        </w:rPr>
        <w:t>I assessed</w:t>
      </w:r>
      <w:r w:rsidR="00F81DD5">
        <w:rPr>
          <w:rFonts w:ascii="Arial" w:eastAsia="Times New Roman" w:hAnsi="Arial" w:cs="Arial"/>
          <w:color w:val="000000"/>
          <w:szCs w:val="22"/>
        </w:rPr>
        <w:t xml:space="preserve"> </w:t>
      </w:r>
      <w:r w:rsidRPr="00A9638A">
        <w:rPr>
          <w:rFonts w:ascii="Arial" w:eastAsia="Times New Roman" w:hAnsi="Arial" w:cs="Arial"/>
          <w:color w:val="000000"/>
          <w:szCs w:val="22"/>
        </w:rPr>
        <w:t>and tested</w:t>
      </w:r>
      <w:r w:rsidR="00F81DD5">
        <w:rPr>
          <w:rFonts w:ascii="Arial" w:eastAsia="Times New Roman" w:hAnsi="Arial" w:cs="Arial"/>
          <w:color w:val="000000"/>
          <w:szCs w:val="22"/>
        </w:rPr>
        <w:t>,</w:t>
      </w:r>
      <w:r w:rsidRPr="00A9638A">
        <w:rPr>
          <w:rFonts w:ascii="Arial" w:eastAsia="Times New Roman" w:hAnsi="Arial" w:cs="Arial"/>
          <w:color w:val="000000"/>
          <w:szCs w:val="22"/>
        </w:rPr>
        <w:t xml:space="preserve"> on a sampling basis, the subsidiary’s internal controls relevant to the calculation of allowance for doubtful </w:t>
      </w:r>
      <w:r w:rsidR="00F81DD5">
        <w:rPr>
          <w:rFonts w:ascii="Arial" w:eastAsia="Times New Roman" w:hAnsi="Arial" w:cs="Arial"/>
          <w:color w:val="000000"/>
          <w:szCs w:val="22"/>
        </w:rPr>
        <w:t>accounts</w:t>
      </w:r>
      <w:r w:rsidRPr="00A9638A">
        <w:rPr>
          <w:rFonts w:ascii="Arial" w:eastAsia="Times New Roman" w:hAnsi="Arial" w:cs="Arial"/>
          <w:color w:val="000000"/>
          <w:szCs w:val="22"/>
        </w:rPr>
        <w:t xml:space="preserve"> and the recording of allowance for doubtful accounts. I also assessed the methods applied by the subsidiary to the determination and calculation of the allowance, and compared the subsidiary’s policy with regulatory requirements. Moreover, I tested certain controls over the computer-based controls relevant to the status of accounts receivable, calculation of the collateral value and the revaluation adjustments made to the fair values of collateral.</w:t>
      </w:r>
    </w:p>
    <w:p w:rsidR="00A9638A" w:rsidRPr="00A9638A" w:rsidRDefault="00A9638A" w:rsidP="00E762EC">
      <w:pPr>
        <w:pStyle w:val="ListParagraph"/>
        <w:numPr>
          <w:ilvl w:val="0"/>
          <w:numId w:val="2"/>
        </w:numPr>
        <w:spacing w:after="0" w:line="360" w:lineRule="exact"/>
        <w:ind w:left="547" w:hanging="547"/>
        <w:contextualSpacing w:val="0"/>
        <w:rPr>
          <w:rFonts w:ascii="Arial" w:eastAsia="Times New Roman" w:hAnsi="Arial" w:cs="Arial"/>
          <w:color w:val="000000"/>
          <w:szCs w:val="22"/>
        </w:rPr>
      </w:pPr>
      <w:r w:rsidRPr="00A9638A">
        <w:rPr>
          <w:rFonts w:ascii="Arial" w:eastAsia="Times New Roman" w:hAnsi="Arial" w:cs="Arial"/>
          <w:color w:val="000000"/>
          <w:szCs w:val="22"/>
        </w:rPr>
        <w:t>I examined the allowance for doubtful accounts as at the period-end date by testing the completeness of the data used in the calculation of allowance for doubtful accounts, testing on a sampling basis the status of outstanding debts, the valuation of collateral items, collections of debt after the period-end date, the correctness of debt classification and the calculation of the allowance.</w:t>
      </w:r>
    </w:p>
    <w:p w:rsidR="00A9638A" w:rsidRPr="00A9638A" w:rsidRDefault="00A9638A" w:rsidP="00A9638A">
      <w:pPr>
        <w:pStyle w:val="ps-000-normal"/>
        <w:spacing w:before="240" w:line="380" w:lineRule="exact"/>
        <w:rPr>
          <w:rFonts w:ascii="Arial" w:hAnsi="Arial" w:cs="Arial"/>
          <w:b/>
          <w:bCs/>
          <w:i/>
          <w:iCs/>
          <w:sz w:val="22"/>
          <w:szCs w:val="22"/>
        </w:rPr>
      </w:pPr>
      <w:r w:rsidRPr="00A9638A">
        <w:rPr>
          <w:rFonts w:ascii="Arial" w:hAnsi="Arial" w:cs="Arial"/>
          <w:b/>
          <w:bCs/>
          <w:i/>
          <w:iCs/>
          <w:sz w:val="22"/>
          <w:szCs w:val="22"/>
        </w:rPr>
        <w:t xml:space="preserve">Goodwill </w:t>
      </w:r>
    </w:p>
    <w:p w:rsidR="00A9638A" w:rsidRPr="00A9638A" w:rsidRDefault="00E762EC" w:rsidP="00A9638A">
      <w:pPr>
        <w:pStyle w:val="ps-000-normal"/>
        <w:spacing w:before="120" w:line="380" w:lineRule="exact"/>
        <w:rPr>
          <w:rFonts w:ascii="Arial" w:hAnsi="Arial" w:cs="Arial"/>
          <w:sz w:val="22"/>
          <w:szCs w:val="22"/>
        </w:rPr>
      </w:pPr>
      <w:r>
        <w:rPr>
          <w:rFonts w:ascii="Arial" w:hAnsi="Arial" w:cs="Arial"/>
          <w:sz w:val="22"/>
          <w:szCs w:val="22"/>
        </w:rPr>
        <w:t>As</w:t>
      </w:r>
      <w:r w:rsidR="00A9638A" w:rsidRPr="00A9638A">
        <w:rPr>
          <w:rFonts w:ascii="Arial" w:hAnsi="Arial" w:cs="Arial"/>
          <w:sz w:val="22"/>
          <w:szCs w:val="22"/>
        </w:rPr>
        <w:t xml:space="preserve"> discussed in Notes </w:t>
      </w:r>
      <w:r w:rsidR="009A7532">
        <w:rPr>
          <w:rFonts w:ascii="Arial" w:hAnsi="Arial" w:cs="Arial"/>
          <w:sz w:val="22"/>
          <w:szCs w:val="22"/>
        </w:rPr>
        <w:t>4</w:t>
      </w:r>
      <w:r w:rsidR="00A9638A" w:rsidRPr="00A9638A">
        <w:rPr>
          <w:rFonts w:ascii="Arial" w:hAnsi="Arial" w:cs="Arial"/>
          <w:sz w:val="22"/>
          <w:szCs w:val="22"/>
        </w:rPr>
        <w:t>.12</w:t>
      </w:r>
      <w:r>
        <w:rPr>
          <w:rFonts w:ascii="Arial" w:hAnsi="Arial" w:cs="Arial"/>
          <w:sz w:val="22"/>
          <w:szCs w:val="22"/>
        </w:rPr>
        <w:t xml:space="preserve"> to the </w:t>
      </w:r>
      <w:r w:rsidR="00F81DD5">
        <w:rPr>
          <w:rFonts w:ascii="Arial" w:hAnsi="Arial" w:cs="Arial"/>
          <w:sz w:val="22"/>
          <w:szCs w:val="22"/>
        </w:rPr>
        <w:t xml:space="preserve">consolidated </w:t>
      </w:r>
      <w:r>
        <w:rPr>
          <w:rFonts w:ascii="Arial" w:hAnsi="Arial" w:cs="Arial"/>
          <w:sz w:val="22"/>
          <w:szCs w:val="22"/>
        </w:rPr>
        <w:t xml:space="preserve">financial statements, goodwill is </w:t>
      </w:r>
      <w:r w:rsidR="008A30DF">
        <w:rPr>
          <w:rFonts w:ascii="Arial" w:hAnsi="Arial" w:cs="Arial"/>
          <w:sz w:val="22"/>
          <w:szCs w:val="22"/>
        </w:rPr>
        <w:t>assess</w:t>
      </w:r>
      <w:r>
        <w:rPr>
          <w:rFonts w:ascii="Arial" w:hAnsi="Arial" w:cs="Arial"/>
          <w:sz w:val="22"/>
          <w:szCs w:val="22"/>
        </w:rPr>
        <w:t>ed for impairment annually and when circumstances indicate that the carrying value may be impaired</w:t>
      </w:r>
      <w:r w:rsidR="000844FD">
        <w:rPr>
          <w:rFonts w:ascii="Arial" w:hAnsi="Arial" w:cs="Arial"/>
          <w:sz w:val="22"/>
          <w:szCs w:val="22"/>
        </w:rPr>
        <w:t xml:space="preserve">. </w:t>
      </w:r>
      <w:r w:rsidR="00F81DD5">
        <w:rPr>
          <w:rFonts w:ascii="Arial" w:hAnsi="Arial" w:cs="Arial"/>
          <w:sz w:val="22"/>
          <w:szCs w:val="22"/>
        </w:rPr>
        <w:t xml:space="preserve">           </w:t>
      </w:r>
      <w:r w:rsidR="000844FD">
        <w:rPr>
          <w:rFonts w:ascii="Arial" w:hAnsi="Arial" w:cs="Arial"/>
          <w:sz w:val="22"/>
          <w:szCs w:val="22"/>
        </w:rPr>
        <w:t xml:space="preserve">I have focused my audit on the consideration of impairment of goodwill </w:t>
      </w:r>
      <w:r w:rsidR="00A9638A" w:rsidRPr="00A9638A">
        <w:rPr>
          <w:rFonts w:ascii="Arial" w:hAnsi="Arial" w:cs="Arial"/>
          <w:sz w:val="22"/>
          <w:szCs w:val="22"/>
        </w:rPr>
        <w:t>because the assessment of impairment of goodwill is a significant accounting estimate requiring management to exercise a high degree of judg</w:t>
      </w:r>
      <w:r w:rsidR="000844FD">
        <w:rPr>
          <w:rFonts w:ascii="Arial" w:hAnsi="Arial" w:cs="Arial"/>
          <w:sz w:val="22"/>
          <w:szCs w:val="22"/>
        </w:rPr>
        <w:t>e</w:t>
      </w:r>
      <w:r w:rsidR="00A9638A" w:rsidRPr="00A9638A">
        <w:rPr>
          <w:rFonts w:ascii="Arial" w:hAnsi="Arial" w:cs="Arial"/>
          <w:sz w:val="22"/>
          <w:szCs w:val="22"/>
        </w:rPr>
        <w:t xml:space="preserve">ment in using the financial model to calculate the </w:t>
      </w:r>
      <w:proofErr w:type="spellStart"/>
      <w:r w:rsidR="00A9638A" w:rsidRPr="00A9638A">
        <w:rPr>
          <w:rFonts w:ascii="Arial" w:hAnsi="Arial" w:cs="Arial"/>
          <w:sz w:val="22"/>
          <w:szCs w:val="22"/>
        </w:rPr>
        <w:t>realisable</w:t>
      </w:r>
      <w:proofErr w:type="spellEnd"/>
      <w:r w:rsidR="00A9638A" w:rsidRPr="00A9638A">
        <w:rPr>
          <w:rFonts w:ascii="Arial" w:hAnsi="Arial" w:cs="Arial"/>
          <w:sz w:val="22"/>
          <w:szCs w:val="22"/>
        </w:rPr>
        <w:t xml:space="preserve"> values and in identifying the cash generating units, estimating the cash inflows that are expected to be generated from that group of assets in the future, and setting an appropriate discount rate and long-term growth rate. </w:t>
      </w:r>
    </w:p>
    <w:p w:rsidR="00E762EC" w:rsidRPr="00E762EC" w:rsidRDefault="00E762EC" w:rsidP="00E762EC">
      <w:pPr>
        <w:pStyle w:val="ps-000-normal"/>
        <w:spacing w:before="120" w:line="380" w:lineRule="exact"/>
        <w:rPr>
          <w:rFonts w:ascii="Arial" w:hAnsi="Arial" w:cs="Arial"/>
          <w:sz w:val="22"/>
          <w:szCs w:val="22"/>
        </w:rPr>
      </w:pPr>
      <w:r w:rsidRPr="00C1153D">
        <w:rPr>
          <w:rFonts w:ascii="Arial" w:hAnsi="Arial" w:cs="Arial"/>
          <w:sz w:val="22"/>
          <w:szCs w:val="22"/>
        </w:rPr>
        <w:t>I assessed the identified cash gene</w:t>
      </w:r>
      <w:bookmarkStart w:id="1" w:name="_GoBack"/>
      <w:bookmarkEnd w:id="1"/>
      <w:r w:rsidRPr="00C1153D">
        <w:rPr>
          <w:rFonts w:ascii="Arial" w:hAnsi="Arial" w:cs="Arial"/>
          <w:sz w:val="22"/>
          <w:szCs w:val="22"/>
        </w:rPr>
        <w:t>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w:t>
      </w:r>
      <w:proofErr w:type="spellStart"/>
      <w:r w:rsidRPr="00C1153D">
        <w:rPr>
          <w:rFonts w:ascii="Arial" w:hAnsi="Arial" w:cs="Arial"/>
          <w:sz w:val="22"/>
          <w:szCs w:val="22"/>
        </w:rPr>
        <w:t>realised</w:t>
      </w:r>
      <w:proofErr w:type="spellEnd"/>
      <w:r w:rsidRPr="00C1153D">
        <w:rPr>
          <w:rFonts w:ascii="Arial" w:hAnsi="Arial" w:cs="Arial"/>
          <w:sz w:val="22"/>
          <w:szCs w:val="22"/>
        </w:rPr>
        <w:t xml:space="preserve"> from the </w:t>
      </w:r>
      <w:r>
        <w:rPr>
          <w:rFonts w:ascii="Arial" w:hAnsi="Arial" w:cs="Arial"/>
          <w:sz w:val="22"/>
          <w:szCs w:val="22"/>
        </w:rPr>
        <w:t xml:space="preserve">group of </w:t>
      </w:r>
      <w:r w:rsidRPr="00C1153D">
        <w:rPr>
          <w:rFonts w:ascii="Arial" w:hAnsi="Arial" w:cs="Arial"/>
          <w:sz w:val="22"/>
          <w:szCs w:val="22"/>
        </w:rPr>
        <w:t xml:space="preserve">assets </w:t>
      </w:r>
      <w:r w:rsidR="008A30DF">
        <w:rPr>
          <w:rFonts w:ascii="Arial" w:hAnsi="Arial" w:cs="Arial"/>
          <w:sz w:val="22"/>
          <w:szCs w:val="22"/>
        </w:rPr>
        <w:t>as well as</w:t>
      </w:r>
      <w:r>
        <w:rPr>
          <w:rFonts w:ascii="Arial" w:hAnsi="Arial" w:cs="Arial"/>
          <w:sz w:val="22"/>
          <w:szCs w:val="22"/>
        </w:rPr>
        <w:t xml:space="preserve"> </w:t>
      </w:r>
      <w:r w:rsidR="008A30DF">
        <w:rPr>
          <w:rFonts w:ascii="Arial" w:hAnsi="Arial" w:cs="Arial"/>
          <w:sz w:val="22"/>
          <w:szCs w:val="22"/>
        </w:rPr>
        <w:t xml:space="preserve">reviewed </w:t>
      </w:r>
      <w:r>
        <w:rPr>
          <w:rFonts w:ascii="Arial" w:hAnsi="Arial" w:cs="Arial"/>
          <w:sz w:val="22"/>
          <w:szCs w:val="22"/>
        </w:rPr>
        <w:t>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the industry.</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Other Information</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My opinion on the financial statements does not cover the other information and I do not express any form of assurance conclusion thereon.</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Responsibilities of Management and Those Charged with Governance for the Financial Statements</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preparation and fair presentation of the financial statements in accordance with </w:t>
      </w:r>
      <w:r w:rsidRPr="00A9638A">
        <w:rPr>
          <w:rFonts w:ascii="Arial" w:hAnsi="Arial" w:cs="Arial"/>
          <w:color w:val="auto"/>
          <w:sz w:val="22"/>
          <w:szCs w:val="22"/>
        </w:rPr>
        <w:t>Thai Financial Reporting Standards</w:t>
      </w:r>
      <w:r w:rsidRPr="00A9638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Those charged with governance are responsible for overseeing the Group’s financial reporting process. </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Auditor’s Responsibilities for the Audit of the Financial Statements</w:t>
      </w:r>
    </w:p>
    <w:p w:rsidR="00A9638A" w:rsidRPr="00A9638A" w:rsidRDefault="00A9638A" w:rsidP="00A9638A">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My objectives are to obtain reasonable assurance about whether the financial statements </w:t>
      </w:r>
      <w:proofErr w:type="gramStart"/>
      <w:r w:rsidRPr="00A9638A">
        <w:rPr>
          <w:rFonts w:ascii="Arial" w:hAnsi="Arial" w:cs="Arial"/>
          <w:sz w:val="22"/>
          <w:szCs w:val="22"/>
        </w:rPr>
        <w:t>as a whole are</w:t>
      </w:r>
      <w:proofErr w:type="gramEnd"/>
      <w:r w:rsidRPr="00A9638A">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638A">
        <w:rPr>
          <w:rFonts w:ascii="Arial" w:hAnsi="Arial" w:cs="Arial"/>
          <w:sz w:val="22"/>
          <w:szCs w:val="22"/>
        </w:rPr>
        <w:t>on the basis of</w:t>
      </w:r>
      <w:proofErr w:type="gramEnd"/>
      <w:r w:rsidRPr="00A9638A">
        <w:rPr>
          <w:rFonts w:ascii="Arial" w:hAnsi="Arial" w:cs="Arial"/>
          <w:sz w:val="22"/>
          <w:szCs w:val="22"/>
        </w:rPr>
        <w:t xml:space="preserve"> these financial statements. </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As part of an audit in accordance with Thai Standards on Auditing, I exercise professional judgement and maintain professional skepticism throughout the audit. I also:</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Obtain an understanding of internal control relevant to the audit </w:t>
      </w:r>
      <w:proofErr w:type="gramStart"/>
      <w:r w:rsidRPr="00A9638A">
        <w:rPr>
          <w:rFonts w:ascii="Arial" w:hAnsi="Arial" w:cs="Arial"/>
          <w:sz w:val="22"/>
          <w:szCs w:val="22"/>
        </w:rPr>
        <w:t>in order to</w:t>
      </w:r>
      <w:proofErr w:type="gramEnd"/>
      <w:r w:rsidRPr="00A9638A">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Evaluate the appropriateness of accounting policies used and the reasonableness of accounting estimates and related disclosures made by management.</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84755" w:rsidRDefault="00884755" w:rsidP="00126006">
      <w:pPr>
        <w:pStyle w:val="ps-000-normal"/>
        <w:spacing w:before="120" w:line="380" w:lineRule="exact"/>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rsidR="00FF3394" w:rsidRPr="00A9638A" w:rsidRDefault="00FF3394" w:rsidP="00A9638A">
      <w:pPr>
        <w:pStyle w:val="BodyText"/>
        <w:spacing w:before="1400" w:line="380" w:lineRule="exact"/>
        <w:ind w:right="43"/>
        <w:rPr>
          <w:rFonts w:ascii="Arial" w:hAnsi="Arial" w:cs="Arial"/>
          <w:sz w:val="22"/>
          <w:szCs w:val="22"/>
        </w:rPr>
      </w:pPr>
      <w:r w:rsidRPr="00A9638A">
        <w:rPr>
          <w:rFonts w:ascii="Arial" w:eastAsia="Arial Unicode MS" w:hAnsi="Arial" w:cs="Arial"/>
          <w:sz w:val="22"/>
          <w:szCs w:val="22"/>
        </w:rPr>
        <w:t>Sumana Punpongsanon</w:t>
      </w:r>
    </w:p>
    <w:p w:rsidR="00FF3394" w:rsidRPr="00A9638A" w:rsidRDefault="00FF3394" w:rsidP="00A9638A">
      <w:pPr>
        <w:tabs>
          <w:tab w:val="center" w:pos="6480"/>
        </w:tabs>
        <w:spacing w:line="380" w:lineRule="exact"/>
        <w:rPr>
          <w:rFonts w:ascii="Arial" w:hAnsi="Arial" w:cs="Arial"/>
          <w:sz w:val="22"/>
          <w:szCs w:val="22"/>
        </w:rPr>
      </w:pPr>
      <w:r w:rsidRPr="00A9638A">
        <w:rPr>
          <w:rFonts w:ascii="Arial" w:hAnsi="Arial" w:cs="Arial"/>
          <w:sz w:val="22"/>
          <w:szCs w:val="22"/>
        </w:rPr>
        <w:t>Certified Public Accountant (Thailand) No. 5872</w:t>
      </w:r>
    </w:p>
    <w:p w:rsidR="00FF3394" w:rsidRPr="00A9638A" w:rsidRDefault="00FF3394" w:rsidP="00A9638A">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rsidR="00FF3394" w:rsidRPr="00A9638A" w:rsidRDefault="00FF3394" w:rsidP="00A9638A">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DE3F6D">
        <w:rPr>
          <w:rFonts w:ascii="Arial" w:hAnsi="Arial" w:cs="Arial"/>
          <w:color w:val="000000"/>
          <w:sz w:val="22"/>
          <w:szCs w:val="22"/>
        </w:rPr>
        <w:t>27 February</w:t>
      </w:r>
      <w:r w:rsidR="00A670FF">
        <w:rPr>
          <w:rFonts w:ascii="Arial" w:hAnsi="Arial" w:cs="Arial"/>
          <w:color w:val="000000"/>
          <w:sz w:val="22"/>
          <w:szCs w:val="22"/>
        </w:rPr>
        <w:t xml:space="preserve"> 2020</w:t>
      </w:r>
      <w:r w:rsidRPr="00A9638A">
        <w:rPr>
          <w:rFonts w:ascii="Arial" w:hAnsi="Arial" w:cs="Arial"/>
          <w:color w:val="000000"/>
          <w:sz w:val="22"/>
          <w:szCs w:val="22"/>
        </w:rPr>
        <w:t xml:space="preserve"> </w:t>
      </w:r>
    </w:p>
    <w:p w:rsidR="009B299D" w:rsidRPr="00FF3394" w:rsidRDefault="009B299D" w:rsidP="00FF3394">
      <w:pPr>
        <w:pStyle w:val="ps-000-normal"/>
        <w:spacing w:before="120" w:after="240" w:line="380" w:lineRule="exact"/>
        <w:rPr>
          <w:sz w:val="22"/>
          <w:szCs w:val="22"/>
        </w:rPr>
      </w:pPr>
    </w:p>
    <w:sectPr w:rsidR="009B299D" w:rsidRPr="00FF3394" w:rsidSect="00E74EE5">
      <w:footerReference w:type="first" r:id="rId9"/>
      <w:pgSz w:w="11909" w:h="16834"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7AB" w:rsidRDefault="00D067AB" w:rsidP="005E4F0F">
      <w:r>
        <w:separator/>
      </w:r>
    </w:p>
  </w:endnote>
  <w:endnote w:type="continuationSeparator" w:id="0">
    <w:p w:rsidR="00D067AB" w:rsidRDefault="00D067AB" w:rsidP="005E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0141217"/>
      <w:docPartObj>
        <w:docPartGallery w:val="Page Numbers (Bottom of Page)"/>
        <w:docPartUnique/>
      </w:docPartObj>
    </w:sdtPr>
    <w:sdtEndPr>
      <w:rPr>
        <w:rFonts w:ascii="Arial" w:hAnsi="Arial" w:cs="Arial"/>
        <w:noProof/>
        <w:sz w:val="22"/>
        <w:szCs w:val="22"/>
      </w:rPr>
    </w:sdtEndPr>
    <w:sdtContent>
      <w:p w:rsidR="00A9638A" w:rsidRPr="00A9638A" w:rsidRDefault="00A9638A" w:rsidP="00A9638A">
        <w:pPr>
          <w:pStyle w:val="Footer"/>
          <w:jc w:val="right"/>
          <w:rPr>
            <w:rFonts w:ascii="Arial" w:hAnsi="Arial" w:cs="Arial"/>
            <w:sz w:val="22"/>
            <w:szCs w:val="22"/>
          </w:rPr>
        </w:pPr>
        <w:r w:rsidRPr="00A9638A">
          <w:rPr>
            <w:rFonts w:ascii="Arial" w:hAnsi="Arial" w:cs="Arial"/>
            <w:sz w:val="22"/>
            <w:szCs w:val="22"/>
          </w:rPr>
          <w:fldChar w:fldCharType="begin"/>
        </w:r>
        <w:r w:rsidRPr="00A9638A">
          <w:rPr>
            <w:rFonts w:ascii="Arial" w:hAnsi="Arial" w:cs="Arial"/>
            <w:sz w:val="22"/>
            <w:szCs w:val="22"/>
          </w:rPr>
          <w:instrText xml:space="preserve"> PAGE   \* MERGEFORMAT </w:instrText>
        </w:r>
        <w:r w:rsidRPr="00A9638A">
          <w:rPr>
            <w:rFonts w:ascii="Arial" w:hAnsi="Arial" w:cs="Arial"/>
            <w:sz w:val="22"/>
            <w:szCs w:val="22"/>
          </w:rPr>
          <w:fldChar w:fldCharType="separate"/>
        </w:r>
        <w:r w:rsidR="00D067F8">
          <w:rPr>
            <w:rFonts w:ascii="Arial" w:hAnsi="Arial" w:cs="Arial"/>
            <w:noProof/>
            <w:sz w:val="22"/>
            <w:szCs w:val="22"/>
          </w:rPr>
          <w:t>6</w:t>
        </w:r>
        <w:r w:rsidRPr="00A9638A">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638A" w:rsidRPr="00A9638A" w:rsidRDefault="00A9638A" w:rsidP="00A9638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6616314"/>
      <w:docPartObj>
        <w:docPartGallery w:val="Page Numbers (Bottom of Page)"/>
        <w:docPartUnique/>
      </w:docPartObj>
    </w:sdtPr>
    <w:sdtEndPr>
      <w:rPr>
        <w:rFonts w:ascii="Arial" w:hAnsi="Arial" w:cs="Arial"/>
        <w:noProof/>
        <w:sz w:val="22"/>
        <w:szCs w:val="22"/>
      </w:rPr>
    </w:sdtEndPr>
    <w:sdtContent>
      <w:p w:rsidR="00E74EE5" w:rsidRPr="00E74EE5" w:rsidRDefault="00E74EE5" w:rsidP="00A9638A">
        <w:pPr>
          <w:pStyle w:val="Footer"/>
          <w:jc w:val="right"/>
          <w:rPr>
            <w:rFonts w:ascii="Arial" w:hAnsi="Arial" w:cs="Arial"/>
            <w:sz w:val="22"/>
            <w:szCs w:val="22"/>
          </w:rPr>
        </w:pPr>
        <w:r w:rsidRPr="00E74EE5">
          <w:rPr>
            <w:rFonts w:ascii="Arial" w:hAnsi="Arial" w:cs="Arial"/>
            <w:sz w:val="22"/>
            <w:szCs w:val="22"/>
          </w:rPr>
          <w:fldChar w:fldCharType="begin"/>
        </w:r>
        <w:r w:rsidRPr="00E74EE5">
          <w:rPr>
            <w:rFonts w:ascii="Arial" w:hAnsi="Arial" w:cs="Arial"/>
            <w:sz w:val="22"/>
            <w:szCs w:val="22"/>
          </w:rPr>
          <w:instrText xml:space="preserve"> PAGE   \* MERGEFORMAT </w:instrText>
        </w:r>
        <w:r w:rsidRPr="00E74EE5">
          <w:rPr>
            <w:rFonts w:ascii="Arial" w:hAnsi="Arial" w:cs="Arial"/>
            <w:sz w:val="22"/>
            <w:szCs w:val="22"/>
          </w:rPr>
          <w:fldChar w:fldCharType="separate"/>
        </w:r>
        <w:r w:rsidR="00D067F8">
          <w:rPr>
            <w:rFonts w:ascii="Arial" w:hAnsi="Arial" w:cs="Arial"/>
            <w:noProof/>
            <w:sz w:val="22"/>
            <w:szCs w:val="22"/>
          </w:rPr>
          <w:t>2</w:t>
        </w:r>
        <w:r w:rsidRPr="00E74EE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7AB" w:rsidRDefault="00D067AB" w:rsidP="005E4F0F">
      <w:r>
        <w:separator/>
      </w:r>
    </w:p>
  </w:footnote>
  <w:footnote w:type="continuationSeparator" w:id="0">
    <w:p w:rsidR="00D067AB" w:rsidRDefault="00D067AB" w:rsidP="005E4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37006"/>
    <w:rsid w:val="00011F64"/>
    <w:rsid w:val="000844FD"/>
    <w:rsid w:val="000C63AB"/>
    <w:rsid w:val="00126006"/>
    <w:rsid w:val="0013198F"/>
    <w:rsid w:val="00146B57"/>
    <w:rsid w:val="00153A63"/>
    <w:rsid w:val="0019746B"/>
    <w:rsid w:val="00197B98"/>
    <w:rsid w:val="001F62E2"/>
    <w:rsid w:val="00200659"/>
    <w:rsid w:val="002018DA"/>
    <w:rsid w:val="00234ACF"/>
    <w:rsid w:val="002364ED"/>
    <w:rsid w:val="00237006"/>
    <w:rsid w:val="002544C9"/>
    <w:rsid w:val="0026376A"/>
    <w:rsid w:val="002C322A"/>
    <w:rsid w:val="002E504E"/>
    <w:rsid w:val="003057A0"/>
    <w:rsid w:val="00354F08"/>
    <w:rsid w:val="00373156"/>
    <w:rsid w:val="00380DCC"/>
    <w:rsid w:val="003C10D2"/>
    <w:rsid w:val="003D26B7"/>
    <w:rsid w:val="003E3DEC"/>
    <w:rsid w:val="003F0DBA"/>
    <w:rsid w:val="00402771"/>
    <w:rsid w:val="00432287"/>
    <w:rsid w:val="00442F4F"/>
    <w:rsid w:val="00444D59"/>
    <w:rsid w:val="004536C8"/>
    <w:rsid w:val="00455D5F"/>
    <w:rsid w:val="00497D17"/>
    <w:rsid w:val="004B44FA"/>
    <w:rsid w:val="00520042"/>
    <w:rsid w:val="005A4F6A"/>
    <w:rsid w:val="005B7631"/>
    <w:rsid w:val="005E34C0"/>
    <w:rsid w:val="005E3DF1"/>
    <w:rsid w:val="005E4F0F"/>
    <w:rsid w:val="006077EC"/>
    <w:rsid w:val="00621B74"/>
    <w:rsid w:val="00626C53"/>
    <w:rsid w:val="006B0B35"/>
    <w:rsid w:val="0071029D"/>
    <w:rsid w:val="0071290A"/>
    <w:rsid w:val="00772E34"/>
    <w:rsid w:val="00787D9B"/>
    <w:rsid w:val="007A0E85"/>
    <w:rsid w:val="007A3AC4"/>
    <w:rsid w:val="007B695B"/>
    <w:rsid w:val="007C4D74"/>
    <w:rsid w:val="007C5E1F"/>
    <w:rsid w:val="007D014A"/>
    <w:rsid w:val="007E6A55"/>
    <w:rsid w:val="0081468A"/>
    <w:rsid w:val="00816177"/>
    <w:rsid w:val="00824607"/>
    <w:rsid w:val="008332D7"/>
    <w:rsid w:val="008425F9"/>
    <w:rsid w:val="00884755"/>
    <w:rsid w:val="00887790"/>
    <w:rsid w:val="008A30DF"/>
    <w:rsid w:val="008A415F"/>
    <w:rsid w:val="008C0D53"/>
    <w:rsid w:val="009A7532"/>
    <w:rsid w:val="009B299D"/>
    <w:rsid w:val="009C1CAC"/>
    <w:rsid w:val="009D4ADC"/>
    <w:rsid w:val="009D5B24"/>
    <w:rsid w:val="00A35511"/>
    <w:rsid w:val="00A670FF"/>
    <w:rsid w:val="00A70279"/>
    <w:rsid w:val="00A878A3"/>
    <w:rsid w:val="00A9638A"/>
    <w:rsid w:val="00AA2104"/>
    <w:rsid w:val="00AA3A09"/>
    <w:rsid w:val="00AE61C7"/>
    <w:rsid w:val="00B46215"/>
    <w:rsid w:val="00BF12FF"/>
    <w:rsid w:val="00C04B92"/>
    <w:rsid w:val="00C04FED"/>
    <w:rsid w:val="00C11156"/>
    <w:rsid w:val="00C54EBB"/>
    <w:rsid w:val="00C852B3"/>
    <w:rsid w:val="00C92B0C"/>
    <w:rsid w:val="00C95A55"/>
    <w:rsid w:val="00CA214C"/>
    <w:rsid w:val="00CC221C"/>
    <w:rsid w:val="00CC4CD6"/>
    <w:rsid w:val="00CE1F5A"/>
    <w:rsid w:val="00CF161E"/>
    <w:rsid w:val="00D067AB"/>
    <w:rsid w:val="00D067F8"/>
    <w:rsid w:val="00D116F8"/>
    <w:rsid w:val="00D15C58"/>
    <w:rsid w:val="00D26DB7"/>
    <w:rsid w:val="00D32972"/>
    <w:rsid w:val="00D57325"/>
    <w:rsid w:val="00DA24F6"/>
    <w:rsid w:val="00DA6959"/>
    <w:rsid w:val="00DB2A66"/>
    <w:rsid w:val="00DE3F6D"/>
    <w:rsid w:val="00DF48B8"/>
    <w:rsid w:val="00E74EE5"/>
    <w:rsid w:val="00E762EC"/>
    <w:rsid w:val="00EA1354"/>
    <w:rsid w:val="00ED140D"/>
    <w:rsid w:val="00F4470E"/>
    <w:rsid w:val="00F669A3"/>
    <w:rsid w:val="00F700A9"/>
    <w:rsid w:val="00F81596"/>
    <w:rsid w:val="00F81DD5"/>
    <w:rsid w:val="00FD0E61"/>
    <w:rsid w:val="00FE63E4"/>
    <w:rsid w:val="00FF33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3A3AE"/>
  <w15:docId w15:val="{F608E882-0178-42BE-B1A2-494683D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F0F"/>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E4F0F"/>
    <w:pPr>
      <w:tabs>
        <w:tab w:val="center" w:pos="4153"/>
        <w:tab w:val="right" w:pos="8306"/>
      </w:tabs>
    </w:pPr>
    <w:rPr>
      <w:rFonts w:cs="AngsanaUPC"/>
    </w:rPr>
  </w:style>
  <w:style w:type="character" w:customStyle="1" w:styleId="HeaderChar">
    <w:name w:val="Header Char"/>
    <w:basedOn w:val="DefaultParagraphFont"/>
    <w:link w:val="Header"/>
    <w:rsid w:val="005E4F0F"/>
    <w:rPr>
      <w:rFonts w:ascii="Times New Roman" w:eastAsia="Times New Roman" w:hAnsi="CordiaUPC" w:cs="AngsanaUPC"/>
      <w:sz w:val="24"/>
    </w:rPr>
  </w:style>
  <w:style w:type="paragraph" w:styleId="Footer">
    <w:name w:val="footer"/>
    <w:basedOn w:val="Normal"/>
    <w:link w:val="FooterChar"/>
    <w:uiPriority w:val="99"/>
    <w:rsid w:val="005E4F0F"/>
    <w:pPr>
      <w:tabs>
        <w:tab w:val="center" w:pos="4153"/>
        <w:tab w:val="right" w:pos="8306"/>
      </w:tabs>
    </w:pPr>
  </w:style>
  <w:style w:type="character" w:customStyle="1" w:styleId="FooterChar">
    <w:name w:val="Footer Char"/>
    <w:basedOn w:val="DefaultParagraphFont"/>
    <w:link w:val="Footer"/>
    <w:uiPriority w:val="99"/>
    <w:rsid w:val="005E4F0F"/>
    <w:rPr>
      <w:rFonts w:ascii="Times New Roman" w:eastAsia="Times New Roman" w:hAnsi="CordiaUPC" w:cs="Angsana New"/>
      <w:sz w:val="24"/>
    </w:rPr>
  </w:style>
  <w:style w:type="character" w:styleId="PageNumber">
    <w:name w:val="page number"/>
    <w:basedOn w:val="DefaultParagraphFont"/>
    <w:rsid w:val="005E4F0F"/>
    <w:rPr>
      <w:rFonts w:ascii="Times New Roman" w:cs="CordiaUPC"/>
      <w:sz w:val="20"/>
      <w:szCs w:val="20"/>
    </w:rPr>
  </w:style>
  <w:style w:type="paragraph" w:styleId="BodyText">
    <w:name w:val="Body Text"/>
    <w:basedOn w:val="Normal"/>
    <w:link w:val="BodyTextChar"/>
    <w:rsid w:val="005E4F0F"/>
    <w:pPr>
      <w:widowControl/>
      <w:jc w:val="both"/>
    </w:pPr>
    <w:rPr>
      <w:szCs w:val="24"/>
    </w:rPr>
  </w:style>
  <w:style w:type="character" w:customStyle="1" w:styleId="BodyTextChar">
    <w:name w:val="Body Text Char"/>
    <w:basedOn w:val="DefaultParagraphFont"/>
    <w:link w:val="BodyText"/>
    <w:rsid w:val="005E4F0F"/>
    <w:rPr>
      <w:rFonts w:ascii="Times New Roman" w:eastAsia="Times New Roman" w:hAnsi="CordiaUPC" w:cs="Angsana New"/>
      <w:sz w:val="24"/>
      <w:szCs w:val="24"/>
    </w:rPr>
  </w:style>
  <w:style w:type="paragraph" w:customStyle="1" w:styleId="ps-000-normal">
    <w:name w:val="ps-000-normal"/>
    <w:basedOn w:val="Normal"/>
    <w:rsid w:val="002544C9"/>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A1354"/>
    <w:rPr>
      <w:rFonts w:ascii="Segoe UI" w:hAnsi="Segoe UI"/>
      <w:sz w:val="18"/>
      <w:szCs w:val="22"/>
    </w:rPr>
  </w:style>
  <w:style w:type="character" w:customStyle="1" w:styleId="BalloonTextChar">
    <w:name w:val="Balloon Text Char"/>
    <w:basedOn w:val="DefaultParagraphFont"/>
    <w:link w:val="BalloonText"/>
    <w:uiPriority w:val="99"/>
    <w:semiHidden/>
    <w:rsid w:val="00EA1354"/>
    <w:rPr>
      <w:rFonts w:ascii="Segoe UI" w:eastAsia="Times New Roman" w:hAnsi="Segoe UI" w:cs="Angsana New"/>
      <w:sz w:val="18"/>
      <w:szCs w:val="22"/>
    </w:rPr>
  </w:style>
  <w:style w:type="paragraph" w:styleId="ListParagraph">
    <w:name w:val="List Paragraph"/>
    <w:basedOn w:val="Normal"/>
    <w:uiPriority w:val="34"/>
    <w:qFormat/>
    <w:rsid w:val="00FF3394"/>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568471">
      <w:bodyDiv w:val="1"/>
      <w:marLeft w:val="0"/>
      <w:marRight w:val="0"/>
      <w:marTop w:val="0"/>
      <w:marBottom w:val="0"/>
      <w:divBdr>
        <w:top w:val="none" w:sz="0" w:space="0" w:color="auto"/>
        <w:left w:val="none" w:sz="0" w:space="0" w:color="auto"/>
        <w:bottom w:val="none" w:sz="0" w:space="0" w:color="auto"/>
        <w:right w:val="none" w:sz="0" w:space="0" w:color="auto"/>
      </w:divBdr>
    </w:div>
    <w:div w:id="139712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27380</vt:lpwstr>
  </property>
  <property fmtid="{D5CDD505-2E9C-101B-9397-08002B2CF9AE}" pid="4" name="OptimizationTime">
    <vt:lpwstr>20200228_0410</vt:lpwstr>
  </property>
</Properties>
</file>

<file path=docProps/app.xml><?xml version="1.0" encoding="utf-8"?>
<Properties xmlns="http://schemas.openxmlformats.org/officeDocument/2006/extended-properties" xmlns:vt="http://schemas.openxmlformats.org/officeDocument/2006/docPropsVTypes">
  <Template>Normal.dotm</Template>
  <TotalTime>25</TotalTime>
  <Pages>7</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21</cp:revision>
  <cp:lastPrinted>2020-02-27T18:11:00Z</cp:lastPrinted>
  <dcterms:created xsi:type="dcterms:W3CDTF">2018-01-22T07:07:00Z</dcterms:created>
  <dcterms:modified xsi:type="dcterms:W3CDTF">2020-02-27T18:11:00Z</dcterms:modified>
</cp:coreProperties>
</file>