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EB2179" w:rsidRPr="003470AC" w14:paraId="5CEA8D50" w14:textId="77777777" w:rsidTr="00C946B1">
        <w:trPr>
          <w:trHeight w:val="2865"/>
        </w:trPr>
        <w:tc>
          <w:tcPr>
            <w:tcW w:w="2358" w:type="dxa"/>
          </w:tcPr>
          <w:p w14:paraId="51150096" w14:textId="77777777" w:rsidR="00EB2179" w:rsidRPr="00F4659D" w:rsidRDefault="00EB2179" w:rsidP="00E62BEE">
            <w:pPr>
              <w:rPr>
                <w:rFonts w:ascii="Angsana New" w:hAnsi="Angsana New"/>
                <w:sz w:val="36"/>
                <w:szCs w:val="36"/>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14475F29" w:rsidR="00EB2179" w:rsidRPr="003470AC" w:rsidRDefault="006570CD" w:rsidP="00C946B1">
            <w:pPr>
              <w:spacing w:line="380" w:lineRule="exact"/>
              <w:ind w:left="14"/>
              <w:rPr>
                <w:rFonts w:ascii="Angsana New" w:hAnsi="Angsana New" w:cs="Times New Roman"/>
                <w:b/>
                <w:bCs/>
                <w:sz w:val="28"/>
                <w:szCs w:val="36"/>
              </w:rPr>
            </w:pPr>
            <w:r w:rsidRPr="003470AC">
              <w:rPr>
                <w:color w:val="7E7F82"/>
                <w:sz w:val="28"/>
              </w:rPr>
              <w:t>For the three-month period ended 31 March 2020</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default" r:id="rId8"/>
          <w:pgSz w:w="11909" w:h="16834" w:code="9"/>
          <w:pgMar w:top="2880" w:right="1080" w:bottom="1080" w:left="1296" w:header="720" w:footer="720" w:gutter="0"/>
          <w:pgNumType w:start="1"/>
          <w:cols w:space="720"/>
          <w:docGrid w:linePitch="326"/>
        </w:sectPr>
      </w:pPr>
    </w:p>
    <w:p w14:paraId="78CFADD2" w14:textId="1E03A3BB" w:rsidR="00440B84" w:rsidRPr="003470AC" w:rsidRDefault="00440B84" w:rsidP="00440B84">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p>
    <w:p w14:paraId="524C57A2" w14:textId="7D12319E" w:rsidR="00440B84" w:rsidRPr="003470AC" w:rsidRDefault="00440B84" w:rsidP="003470AC">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696B7CFB" w:rsidR="006570CD" w:rsidRPr="003470AC" w:rsidRDefault="006570CD" w:rsidP="003470AC">
      <w:pPr>
        <w:spacing w:before="360" w:after="120" w:line="38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w:t>
      </w:r>
      <w:r w:rsidRPr="003470AC">
        <w:rPr>
          <w:rFonts w:ascii="Arial" w:hAnsi="Arial" w:cs="Arial"/>
          <w:color w:val="000000"/>
          <w:sz w:val="22"/>
          <w:szCs w:val="22"/>
        </w:rPr>
        <w:t>as at 31 March 2020, and the related statements of comprehensive income, changes in equity, and cash flows for the three-month period then 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7ECB5D78"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Pr="003470AC">
        <w:rPr>
          <w:rFonts w:ascii="Arial" w:hAnsi="Arial" w:cs="Arial"/>
          <w:color w:val="000000"/>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7777777"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AFF2D20" w14:textId="77777777" w:rsidR="002965DA" w:rsidRPr="003470AC" w:rsidRDefault="002965DA" w:rsidP="003470AC">
      <w:pPr>
        <w:pStyle w:val="ps-000-normal"/>
        <w:spacing w:before="120" w:line="380" w:lineRule="exact"/>
        <w:rPr>
          <w:rFonts w:ascii="Arial" w:hAnsi="Arial" w:cs="Arial"/>
          <w:b/>
          <w:bCs/>
          <w:sz w:val="22"/>
          <w:szCs w:val="22"/>
        </w:rPr>
      </w:pPr>
    </w:p>
    <w:p w14:paraId="1A72E298" w14:textId="77777777" w:rsidR="002965DA" w:rsidRPr="003470AC" w:rsidRDefault="002965DA" w:rsidP="003470AC">
      <w:pPr>
        <w:pStyle w:val="ps-000-normal"/>
        <w:spacing w:before="120" w:line="380" w:lineRule="exact"/>
        <w:rPr>
          <w:rFonts w:ascii="Arial" w:hAnsi="Arial" w:cs="Arial"/>
          <w:b/>
          <w:bCs/>
          <w:sz w:val="22"/>
          <w:szCs w:val="22"/>
        </w:rPr>
      </w:pPr>
    </w:p>
    <w:p w14:paraId="446B9D03" w14:textId="77777777" w:rsidR="002965DA" w:rsidRPr="003470AC" w:rsidRDefault="002965DA" w:rsidP="003470AC">
      <w:pPr>
        <w:pStyle w:val="ps-000-normal"/>
        <w:spacing w:before="120" w:line="380" w:lineRule="exact"/>
        <w:rPr>
          <w:rFonts w:ascii="Arial" w:hAnsi="Arial" w:cs="Arial"/>
          <w:b/>
          <w:bCs/>
          <w:sz w:val="22"/>
          <w:szCs w:val="22"/>
        </w:rPr>
        <w:sectPr w:rsidR="002965DA" w:rsidRPr="003470AC" w:rsidSect="003470AC">
          <w:pgSz w:w="11909" w:h="16834" w:code="9"/>
          <w:pgMar w:top="3600" w:right="1080" w:bottom="1080" w:left="1296" w:header="720" w:footer="720" w:gutter="0"/>
          <w:pgNumType w:start="1"/>
          <w:cols w:space="720"/>
          <w:docGrid w:linePitch="326"/>
        </w:sectPr>
      </w:pPr>
    </w:p>
    <w:p w14:paraId="16DA4FF1" w14:textId="77777777" w:rsidR="00AF244E" w:rsidRPr="003470AC" w:rsidRDefault="00AF244E" w:rsidP="00057818">
      <w:pPr>
        <w:spacing w:before="120" w:after="120" w:line="380" w:lineRule="exact"/>
        <w:rPr>
          <w:rFonts w:ascii="Arial" w:hAnsi="Arial" w:cs="Arial"/>
          <w:b/>
          <w:bCs/>
          <w:sz w:val="22"/>
          <w:szCs w:val="22"/>
        </w:rPr>
      </w:pPr>
      <w:r w:rsidRPr="003470AC">
        <w:rPr>
          <w:rFonts w:ascii="Arial" w:hAnsi="Arial" w:cs="Arial"/>
          <w:b/>
          <w:bCs/>
          <w:sz w:val="22"/>
          <w:szCs w:val="22"/>
        </w:rPr>
        <w:lastRenderedPageBreak/>
        <w:t xml:space="preserve">Emphasis of </w:t>
      </w:r>
      <w:r w:rsidRPr="003470AC">
        <w:rPr>
          <w:rFonts w:ascii="Arial" w:hAnsi="Arial"/>
          <w:b/>
          <w:bCs/>
          <w:sz w:val="22"/>
          <w:szCs w:val="22"/>
        </w:rPr>
        <w:t>M</w:t>
      </w:r>
      <w:r w:rsidRPr="003470AC">
        <w:rPr>
          <w:rFonts w:ascii="Arial" w:hAnsi="Arial" w:cs="Arial"/>
          <w:b/>
          <w:bCs/>
          <w:sz w:val="22"/>
          <w:szCs w:val="22"/>
        </w:rPr>
        <w:t>atter</w:t>
      </w:r>
    </w:p>
    <w:p w14:paraId="22FB40CF" w14:textId="0DD2D6DF" w:rsidR="00AF244E" w:rsidRPr="00F7634E" w:rsidRDefault="00F7634E" w:rsidP="00057818">
      <w:pPr>
        <w:spacing w:before="120" w:after="120" w:line="380" w:lineRule="exact"/>
        <w:rPr>
          <w:rFonts w:ascii="Arial" w:hAnsi="Arial"/>
          <w:sz w:val="22"/>
          <w:szCs w:val="22"/>
        </w:rPr>
      </w:pPr>
      <w:r w:rsidRPr="00F7634E">
        <w:rPr>
          <w:rFonts w:ascii="Arial" w:hAnsi="Arial" w:cs="Arial"/>
          <w:sz w:val="22"/>
          <w:szCs w:val="22"/>
        </w:rPr>
        <w:t xml:space="preserve">I draw attention </w:t>
      </w:r>
      <w:r w:rsidR="00244D9F">
        <w:rPr>
          <w:rFonts w:ascii="Arial" w:hAnsi="Arial" w:cs="Arial"/>
          <w:sz w:val="22"/>
          <w:szCs w:val="22"/>
        </w:rPr>
        <w:t>to</w:t>
      </w:r>
      <w:r w:rsidR="00D11162">
        <w:rPr>
          <w:rFonts w:ascii="Arial" w:hAnsi="Arial" w:cstheme="minorBidi" w:hint="cs"/>
          <w:sz w:val="22"/>
          <w:szCs w:val="22"/>
          <w:cs/>
        </w:rPr>
        <w:t xml:space="preserve"> </w:t>
      </w:r>
      <w:r w:rsidR="00AF244E" w:rsidRPr="00F7634E">
        <w:rPr>
          <w:rFonts w:ascii="Arial" w:hAnsi="Arial" w:cs="Arial"/>
          <w:sz w:val="22"/>
          <w:szCs w:val="22"/>
        </w:rPr>
        <w:t xml:space="preserve">Note </w:t>
      </w:r>
      <w:r w:rsidR="00AF244E" w:rsidRPr="00F7634E">
        <w:rPr>
          <w:rFonts w:ascii="Arial" w:hAnsi="Arial" w:cstheme="minorBidi"/>
          <w:sz w:val="22"/>
          <w:szCs w:val="22"/>
        </w:rPr>
        <w:t>1.2</w:t>
      </w:r>
      <w:r w:rsidR="00D11162">
        <w:rPr>
          <w:rFonts w:ascii="Arial" w:hAnsi="Arial" w:cstheme="minorBidi" w:hint="cs"/>
          <w:sz w:val="22"/>
          <w:szCs w:val="22"/>
          <w:cs/>
        </w:rPr>
        <w:t xml:space="preserve"> </w:t>
      </w:r>
      <w:r w:rsidR="00D11162">
        <w:rPr>
          <w:rFonts w:ascii="Arial" w:hAnsi="Arial" w:cstheme="minorBidi"/>
          <w:sz w:val="22"/>
          <w:szCs w:val="22"/>
        </w:rPr>
        <w:t xml:space="preserve">and Note </w:t>
      </w:r>
      <w:r w:rsidR="00244D9F">
        <w:rPr>
          <w:rFonts w:ascii="Arial" w:hAnsi="Arial" w:cstheme="minorBidi"/>
          <w:sz w:val="22"/>
          <w:szCs w:val="22"/>
        </w:rPr>
        <w:t>2.</w:t>
      </w:r>
      <w:r w:rsidR="00D11162">
        <w:rPr>
          <w:rFonts w:ascii="Arial" w:hAnsi="Arial" w:cstheme="minorBidi"/>
          <w:sz w:val="22"/>
          <w:szCs w:val="22"/>
        </w:rPr>
        <w:t>3</w:t>
      </w:r>
      <w:r w:rsidR="00AF244E" w:rsidRPr="00F7634E">
        <w:rPr>
          <w:rFonts w:ascii="Arial" w:hAnsi="Arial" w:cstheme="minorBidi"/>
          <w:sz w:val="22"/>
          <w:szCs w:val="22"/>
        </w:rPr>
        <w:t xml:space="preserve"> </w:t>
      </w:r>
      <w:r w:rsidR="00AF244E" w:rsidRPr="00F7634E">
        <w:rPr>
          <w:rFonts w:ascii="Arial" w:hAnsi="Arial" w:cs="Arial"/>
          <w:sz w:val="22"/>
          <w:szCs w:val="22"/>
        </w:rPr>
        <w:t>to the interim</w:t>
      </w:r>
      <w:r w:rsidR="00AF244E" w:rsidRPr="00F7634E">
        <w:rPr>
          <w:rFonts w:ascii="Arial" w:hAnsi="Arial" w:cs="Arial"/>
          <w:i/>
          <w:iCs/>
          <w:color w:val="31849B" w:themeColor="accent5" w:themeShade="BF"/>
          <w:sz w:val="22"/>
          <w:szCs w:val="22"/>
        </w:rPr>
        <w:t xml:space="preserve"> </w:t>
      </w:r>
      <w:r w:rsidR="00AF244E" w:rsidRPr="00F7634E">
        <w:rPr>
          <w:rFonts w:ascii="Arial" w:hAnsi="Arial" w:cs="Arial"/>
          <w:sz w:val="22"/>
          <w:szCs w:val="22"/>
        </w:rPr>
        <w:t>financial statements</w:t>
      </w:r>
      <w:r>
        <w:rPr>
          <w:rFonts w:ascii="Arial" w:hAnsi="Arial" w:cs="Arial"/>
          <w:sz w:val="22"/>
          <w:szCs w:val="22"/>
        </w:rPr>
        <w:t>,</w:t>
      </w:r>
      <w:r w:rsidR="00AF244E" w:rsidRPr="00F7634E">
        <w:rPr>
          <w:rFonts w:ascii="Arial" w:hAnsi="Arial" w:cs="Arial"/>
          <w:sz w:val="22"/>
          <w:szCs w:val="22"/>
        </w:rPr>
        <w:t xml:space="preserve"> </w:t>
      </w:r>
      <w:r>
        <w:rPr>
          <w:rFonts w:ascii="Arial" w:hAnsi="Arial" w:cs="Arial"/>
          <w:sz w:val="22"/>
          <w:szCs w:val="22"/>
        </w:rPr>
        <w:t>t</w:t>
      </w:r>
      <w:r w:rsidR="00CE1D52" w:rsidRPr="00F7634E">
        <w:rPr>
          <w:rFonts w:ascii="Arial" w:hAnsi="Arial" w:cs="Arial"/>
          <w:sz w:val="22"/>
          <w:szCs w:val="22"/>
        </w:rPr>
        <w:t xml:space="preserve">he COVID-19 pandemic is continuing to evolve, </w:t>
      </w:r>
      <w:r w:rsidR="007E63B8" w:rsidRPr="00F7634E">
        <w:rPr>
          <w:rFonts w:ascii="Arial" w:hAnsi="Arial" w:cs="Arial"/>
          <w:sz w:val="22"/>
          <w:szCs w:val="22"/>
        </w:rPr>
        <w:t xml:space="preserve">impacting various business and industries both directly and indirectly and </w:t>
      </w:r>
      <w:r w:rsidR="00CE1D52" w:rsidRPr="00F7634E">
        <w:rPr>
          <w:rFonts w:ascii="Arial" w:hAnsi="Arial" w:cs="Arial"/>
          <w:sz w:val="22"/>
          <w:szCs w:val="22"/>
        </w:rPr>
        <w:t>resulting in an economic slowdown</w:t>
      </w:r>
      <w:r w:rsidR="00CE1D52" w:rsidRPr="00F7634E">
        <w:rPr>
          <w:rFonts w:ascii="Arial" w:hAnsi="Arial" w:cs="Arial"/>
          <w:sz w:val="22"/>
          <w:szCs w:val="22"/>
          <w:cs/>
        </w:rPr>
        <w:t xml:space="preserve"> </w:t>
      </w:r>
      <w:r w:rsidR="00CE1D52" w:rsidRPr="00F7634E">
        <w:rPr>
          <w:rFonts w:ascii="Arial" w:hAnsi="Arial" w:cs="Arial"/>
          <w:sz w:val="22"/>
          <w:szCs w:val="22"/>
        </w:rPr>
        <w:t>and significant fluctuations in the money market and the capital market.</w:t>
      </w:r>
      <w:r w:rsidR="00A46610" w:rsidRPr="00F7634E">
        <w:rPr>
          <w:rFonts w:ascii="Arial" w:hAnsi="Arial"/>
          <w:sz w:val="22"/>
          <w:szCs w:val="22"/>
        </w:rPr>
        <w:t xml:space="preserve"> </w:t>
      </w:r>
      <w:r w:rsidR="00CE1D52" w:rsidRPr="00F7634E">
        <w:rPr>
          <w:rFonts w:ascii="Arial" w:hAnsi="Arial" w:cs="Arial"/>
          <w:sz w:val="22"/>
          <w:szCs w:val="22"/>
        </w:rPr>
        <w:t>This situation could create uncertainties and affect the Company’s business activities</w:t>
      </w:r>
      <w:r w:rsidR="00AF244E" w:rsidRPr="00F7634E">
        <w:rPr>
          <w:rFonts w:ascii="Arial" w:hAnsi="Arial" w:cs="Arial"/>
          <w:sz w:val="22"/>
          <w:szCs w:val="22"/>
        </w:rPr>
        <w:t xml:space="preserve"> in term of the repayment capacity of the receivables</w:t>
      </w:r>
      <w:r w:rsidR="00057818">
        <w:rPr>
          <w:rFonts w:ascii="Arial" w:hAnsi="Arial" w:cs="Arial"/>
          <w:sz w:val="22"/>
          <w:szCs w:val="22"/>
        </w:rPr>
        <w:t>.</w:t>
      </w:r>
      <w:r w:rsidR="00AF244E" w:rsidRPr="00F7634E">
        <w:rPr>
          <w:rFonts w:ascii="Arial" w:hAnsi="Arial" w:cs="Arial"/>
          <w:sz w:val="22"/>
          <w:szCs w:val="22"/>
        </w:rPr>
        <w:t xml:space="preserve"> </w:t>
      </w:r>
      <w:r w:rsidR="00057818">
        <w:rPr>
          <w:rFonts w:ascii="Arial" w:hAnsi="Arial" w:cs="Arial"/>
          <w:sz w:val="22"/>
          <w:szCs w:val="22"/>
        </w:rPr>
        <w:t>T</w:t>
      </w:r>
      <w:r w:rsidR="00CE1D52" w:rsidRPr="00F7634E">
        <w:rPr>
          <w:rFonts w:ascii="Arial" w:hAnsi="Arial" w:cs="Arial"/>
          <w:sz w:val="22"/>
          <w:szCs w:val="22"/>
        </w:rPr>
        <w:t xml:space="preserve">his may impact the </w:t>
      </w:r>
      <w:r w:rsidR="00B274CC" w:rsidRPr="00F7634E">
        <w:rPr>
          <w:rFonts w:ascii="Arial" w:hAnsi="Arial" w:cs="Browallia New"/>
          <w:sz w:val="22"/>
          <w:szCs w:val="28"/>
        </w:rPr>
        <w:t xml:space="preserve">Company’s financial position, </w:t>
      </w:r>
      <w:r w:rsidR="00CE1D52" w:rsidRPr="00F7634E">
        <w:rPr>
          <w:rFonts w:ascii="Arial" w:hAnsi="Arial" w:cs="Arial"/>
          <w:sz w:val="22"/>
          <w:szCs w:val="22"/>
        </w:rPr>
        <w:t>operating results and cash flows</w:t>
      </w:r>
      <w:r w:rsidR="00244D9F">
        <w:rPr>
          <w:rFonts w:ascii="Arial" w:hAnsi="Arial" w:cs="Arial"/>
          <w:sz w:val="22"/>
          <w:szCs w:val="22"/>
        </w:rPr>
        <w:t xml:space="preserve"> in the future</w:t>
      </w:r>
      <w:r w:rsidR="00057818">
        <w:rPr>
          <w:rFonts w:ascii="Arial" w:hAnsi="Arial" w:cs="Arial"/>
          <w:sz w:val="22"/>
          <w:szCs w:val="22"/>
        </w:rPr>
        <w:t>, which the</w:t>
      </w:r>
      <w:r w:rsidR="00AF244E" w:rsidRPr="00F7634E">
        <w:rPr>
          <w:rFonts w:ascii="Arial" w:hAnsi="Arial" w:cs="Arial"/>
          <w:sz w:val="22"/>
          <w:szCs w:val="22"/>
        </w:rPr>
        <w:t xml:space="preserve"> impact cannot be reasonably estimated at this stage</w:t>
      </w:r>
      <w:r w:rsidR="00244D9F">
        <w:rPr>
          <w:rFonts w:ascii="Arial" w:hAnsi="Arial" w:cs="Arial"/>
          <w:sz w:val="22"/>
          <w:szCs w:val="22"/>
        </w:rPr>
        <w:t>,</w:t>
      </w:r>
      <w:r w:rsidR="00D11162">
        <w:rPr>
          <w:rFonts w:ascii="Arial" w:hAnsi="Arial" w:cs="Arial"/>
          <w:sz w:val="22"/>
          <w:szCs w:val="22"/>
        </w:rPr>
        <w:t xml:space="preserve"> and t</w:t>
      </w:r>
      <w:r w:rsidRPr="00F7634E">
        <w:rPr>
          <w:rFonts w:ascii="Arial" w:hAnsi="Arial" w:cs="Arial"/>
          <w:sz w:val="22"/>
          <w:szCs w:val="22"/>
        </w:rPr>
        <w:t xml:space="preserve">he </w:t>
      </w:r>
      <w:r w:rsidR="001F3408">
        <w:rPr>
          <w:rFonts w:ascii="Arial" w:hAnsi="Arial" w:cs="Arial"/>
          <w:sz w:val="22"/>
          <w:szCs w:val="22"/>
        </w:rPr>
        <w:t>Company</w:t>
      </w:r>
      <w:r w:rsidRPr="00F7634E">
        <w:rPr>
          <w:rFonts w:ascii="Arial" w:hAnsi="Arial" w:cs="Arial"/>
          <w:sz w:val="22"/>
          <w:szCs w:val="22"/>
        </w:rPr>
        <w:t xml:space="preserve"> ha</w:t>
      </w:r>
      <w:r w:rsidR="001F3408">
        <w:rPr>
          <w:rFonts w:ascii="Arial" w:hAnsi="Arial" w:cs="Arial"/>
          <w:sz w:val="22"/>
          <w:szCs w:val="22"/>
        </w:rPr>
        <w:t>s</w:t>
      </w:r>
      <w:r w:rsidRPr="00F7634E">
        <w:rPr>
          <w:rFonts w:ascii="Arial" w:hAnsi="Arial" w:cs="Arial"/>
          <w:sz w:val="22"/>
          <w:szCs w:val="22"/>
        </w:rPr>
        <w:t xml:space="preserve"> adopted the new accounting policy regarding the financial instruments which is in accordance with Financial Instruments Standards. </w:t>
      </w:r>
      <w:r w:rsidR="00AF244E" w:rsidRPr="00F7634E">
        <w:rPr>
          <w:rFonts w:ascii="Arial" w:hAnsi="Arial" w:cs="Arial"/>
          <w:sz w:val="22"/>
          <w:szCs w:val="22"/>
        </w:rPr>
        <w:t>My conclusion is not modified in respect of this matter.</w:t>
      </w:r>
      <w:r w:rsidR="00CE1D52" w:rsidRPr="00F7634E">
        <w:rPr>
          <w:rFonts w:ascii="Arial" w:hAnsi="Arial" w:cs="Arial"/>
        </w:rPr>
        <w:t xml:space="preserve"> </w:t>
      </w:r>
    </w:p>
    <w:p w14:paraId="2D9FE780" w14:textId="7F50EEE6" w:rsidR="006570CD" w:rsidRPr="003470AC" w:rsidRDefault="006570CD" w:rsidP="00057818">
      <w:pPr>
        <w:spacing w:before="120" w:after="120" w:line="380" w:lineRule="exact"/>
        <w:rPr>
          <w:rFonts w:ascii="Arial" w:hAnsi="Arial" w:cs="Arial"/>
          <w:b/>
          <w:bCs/>
          <w:sz w:val="22"/>
          <w:szCs w:val="22"/>
        </w:rPr>
      </w:pPr>
      <w:r w:rsidRPr="003470AC">
        <w:rPr>
          <w:rFonts w:ascii="Arial" w:hAnsi="Arial" w:cs="Arial"/>
          <w:b/>
          <w:bCs/>
          <w:sz w:val="22"/>
          <w:szCs w:val="22"/>
        </w:rPr>
        <w:t>Other matter</w:t>
      </w:r>
    </w:p>
    <w:p w14:paraId="53AC1826" w14:textId="77777777" w:rsidR="00057818" w:rsidRDefault="006570CD" w:rsidP="00057818">
      <w:pPr>
        <w:spacing w:before="120" w:after="120" w:line="380" w:lineRule="exact"/>
        <w:rPr>
          <w:rFonts w:ascii="Arial" w:hAnsi="Arial"/>
          <w:sz w:val="22"/>
          <w:szCs w:val="22"/>
        </w:rPr>
      </w:pPr>
      <w:r w:rsidRPr="003470AC">
        <w:rPr>
          <w:rFonts w:ascii="Arial" w:hAnsi="Arial" w:cs="Browallia New"/>
          <w:sz w:val="22"/>
          <w:szCs w:val="22"/>
        </w:rPr>
        <w:t>T</w:t>
      </w:r>
      <w:r w:rsidRPr="003470AC">
        <w:rPr>
          <w:rFonts w:ascii="Arial" w:hAnsi="Arial" w:cs="Arial"/>
          <w:sz w:val="22"/>
          <w:szCs w:val="22"/>
        </w:rPr>
        <w:t xml:space="preserve">he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as at 31 December 2019</w:t>
      </w:r>
      <w:r w:rsidRPr="003470AC">
        <w:rPr>
          <w:rFonts w:ascii="Arial" w:hAnsi="Arial"/>
          <w:sz w:val="22"/>
          <w:szCs w:val="22"/>
        </w:rPr>
        <w:t>, presented herein as comparative information,</w:t>
      </w:r>
      <w:r w:rsidRPr="003470AC">
        <w:rPr>
          <w:rFonts w:ascii="Arial" w:hAnsi="Arial"/>
          <w:sz w:val="22"/>
          <w:szCs w:val="22"/>
          <w:cs/>
        </w:rPr>
        <w:t xml:space="preserve"> </w:t>
      </w:r>
      <w:r w:rsidRPr="003470AC">
        <w:rPr>
          <w:rFonts w:ascii="Arial" w:hAnsi="Arial"/>
          <w:sz w:val="22"/>
          <w:szCs w:val="22"/>
        </w:rPr>
        <w:t xml:space="preserve">were audited by another auditor who expressed an unqualified opinion on those statements, under her report dated 27 February 2020. </w:t>
      </w:r>
    </w:p>
    <w:p w14:paraId="6FDBE416" w14:textId="6C89DB96" w:rsidR="006570CD" w:rsidRPr="003470AC" w:rsidRDefault="006570CD" w:rsidP="00057818">
      <w:pPr>
        <w:spacing w:before="120" w:after="120" w:line="380" w:lineRule="exact"/>
        <w:rPr>
          <w:rFonts w:ascii="Arial" w:hAnsi="Arial"/>
          <w:sz w:val="22"/>
          <w:szCs w:val="22"/>
        </w:rPr>
      </w:pPr>
      <w:r w:rsidRPr="003470AC">
        <w:rPr>
          <w:rFonts w:ascii="Arial" w:hAnsi="Arial"/>
          <w:sz w:val="22"/>
          <w:szCs w:val="22"/>
        </w:rPr>
        <w:t>The statements of comprehensive income, changes in equity and cash flows for the three-month period ended 31 March 2019 of Bangkok Commercial Asset Management Public Company Limited, presented herein as comparative information,</w:t>
      </w:r>
      <w:r w:rsidRPr="003470AC">
        <w:rPr>
          <w:rFonts w:ascii="Arial" w:hAnsi="Arial"/>
          <w:color w:val="0070C0"/>
          <w:sz w:val="22"/>
          <w:szCs w:val="22"/>
          <w:cs/>
        </w:rPr>
        <w:t xml:space="preserve"> </w:t>
      </w:r>
      <w:r w:rsidRPr="003470AC">
        <w:rPr>
          <w:rFonts w:ascii="Arial" w:hAnsi="Arial"/>
          <w:sz w:val="22"/>
          <w:szCs w:val="22"/>
        </w:rPr>
        <w:t>were also reviewed by the aforementioned auditor who concluded that nothing had come to her attention that caused her to believe that the interim financial information was not prepared, in all material respects, in accordance with Thai Accounting Standard 34 Interim Financial Reporting</w:t>
      </w:r>
      <w:r w:rsidR="001F3408">
        <w:rPr>
          <w:rFonts w:ascii="Arial" w:hAnsi="Arial"/>
          <w:sz w:val="22"/>
          <w:szCs w:val="22"/>
        </w:rPr>
        <w:t xml:space="preserve">, </w:t>
      </w:r>
      <w:r w:rsidR="001F3408" w:rsidRPr="003470AC">
        <w:rPr>
          <w:rFonts w:ascii="Arial" w:hAnsi="Arial"/>
          <w:sz w:val="22"/>
          <w:szCs w:val="22"/>
        </w:rPr>
        <w:t xml:space="preserve">under her report dated </w:t>
      </w:r>
      <w:r w:rsidR="001F3408">
        <w:rPr>
          <w:rFonts w:ascii="Arial" w:hAnsi="Arial"/>
          <w:sz w:val="22"/>
          <w:szCs w:val="22"/>
        </w:rPr>
        <w:t>14 May</w:t>
      </w:r>
      <w:r w:rsidR="001F3408" w:rsidRPr="003470AC">
        <w:rPr>
          <w:rFonts w:ascii="Arial" w:hAnsi="Arial"/>
          <w:sz w:val="22"/>
          <w:szCs w:val="22"/>
        </w:rPr>
        <w:t xml:space="preserve"> 20</w:t>
      </w:r>
      <w:r w:rsidR="001F3408">
        <w:rPr>
          <w:rFonts w:ascii="Arial" w:hAnsi="Arial"/>
          <w:sz w:val="22"/>
          <w:szCs w:val="22"/>
        </w:rPr>
        <w:t>19</w:t>
      </w:r>
      <w:r w:rsidR="001F3408" w:rsidRPr="003470AC">
        <w:rPr>
          <w:rFonts w:ascii="Arial" w:hAnsi="Arial"/>
          <w:sz w:val="22"/>
          <w:szCs w:val="22"/>
        </w:rPr>
        <w:t>.</w:t>
      </w:r>
    </w:p>
    <w:p w14:paraId="534FC05C" w14:textId="77777777" w:rsidR="006570CD" w:rsidRPr="003470AC" w:rsidRDefault="006570CD" w:rsidP="006570CD">
      <w:pPr>
        <w:spacing w:line="380" w:lineRule="exact"/>
        <w:rPr>
          <w:rFonts w:ascii="Arial" w:hAnsi="Arial"/>
          <w:sz w:val="22"/>
          <w:szCs w:val="22"/>
        </w:rPr>
      </w:pPr>
    </w:p>
    <w:p w14:paraId="38602437" w14:textId="4193E50F" w:rsidR="002965DA" w:rsidRDefault="002965DA" w:rsidP="002965DA">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2965DA">
      <w:pPr>
        <w:tabs>
          <w:tab w:val="left" w:pos="720"/>
          <w:tab w:val="center" w:pos="6300"/>
        </w:tabs>
        <w:spacing w:line="380" w:lineRule="exact"/>
        <w:rPr>
          <w:rFonts w:ascii="Arial" w:hAnsi="Arial" w:cs="Arial"/>
          <w:color w:val="000000"/>
          <w:sz w:val="22"/>
          <w:szCs w:val="22"/>
        </w:rPr>
      </w:pPr>
    </w:p>
    <w:p w14:paraId="18F712CC" w14:textId="3F207C2D" w:rsidR="00E025AB" w:rsidRPr="003470AC" w:rsidRDefault="006570CD" w:rsidP="00142415">
      <w:pPr>
        <w:spacing w:before="240" w:line="380" w:lineRule="exact"/>
        <w:rPr>
          <w:rFonts w:ascii="Arial" w:hAnsi="Arial" w:cs="Arial"/>
          <w:color w:val="000000"/>
          <w:sz w:val="22"/>
          <w:szCs w:val="22"/>
        </w:rPr>
      </w:pPr>
      <w:r w:rsidRPr="003470AC">
        <w:rPr>
          <w:rFonts w:ascii="Arial" w:hAnsi="Arial" w:cs="Arial"/>
          <w:color w:val="000000"/>
          <w:sz w:val="22"/>
          <w:szCs w:val="22"/>
        </w:rPr>
        <w:t>Somjai Khun</w:t>
      </w:r>
      <w:bookmarkStart w:id="0" w:name="_GoBack"/>
      <w:bookmarkEnd w:id="0"/>
      <w:r w:rsidRPr="003470AC">
        <w:rPr>
          <w:rFonts w:ascii="Arial" w:hAnsi="Arial" w:cs="Arial"/>
          <w:color w:val="000000"/>
          <w:sz w:val="22"/>
          <w:szCs w:val="22"/>
        </w:rPr>
        <w:t xml:space="preserve">apasut </w:t>
      </w:r>
    </w:p>
    <w:p w14:paraId="5998D32E" w14:textId="7E16D40A" w:rsidR="00E025AB" w:rsidRPr="003470AC" w:rsidRDefault="00E025AB" w:rsidP="00142415">
      <w:pPr>
        <w:spacing w:line="38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142415">
      <w:pPr>
        <w:spacing w:before="240" w:line="38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3527855C" w:rsidR="002965DA" w:rsidRPr="003470AC" w:rsidRDefault="002965DA" w:rsidP="00142415">
      <w:pPr>
        <w:spacing w:line="380" w:lineRule="exact"/>
        <w:rPr>
          <w:rFonts w:ascii="Arial" w:hAnsi="Arial" w:cs="Arial"/>
          <w:color w:val="000000"/>
          <w:sz w:val="22"/>
          <w:szCs w:val="22"/>
        </w:rPr>
      </w:pPr>
      <w:r w:rsidRPr="003470AC">
        <w:rPr>
          <w:rFonts w:ascii="Arial" w:hAnsi="Arial" w:cs="Arial"/>
          <w:color w:val="000000"/>
          <w:sz w:val="22"/>
          <w:szCs w:val="22"/>
        </w:rPr>
        <w:t xml:space="preserve">Bangkok: </w:t>
      </w:r>
      <w:r w:rsidR="006570CD" w:rsidRPr="003470AC">
        <w:rPr>
          <w:rFonts w:ascii="Arial" w:hAnsi="Arial" w:cs="Arial"/>
          <w:color w:val="000000"/>
          <w:sz w:val="22"/>
          <w:szCs w:val="22"/>
        </w:rPr>
        <w:t>14 May 2020</w:t>
      </w:r>
    </w:p>
    <w:sectPr w:rsidR="002965DA" w:rsidRPr="003470AC" w:rsidSect="00690896">
      <w:headerReference w:type="default" r:id="rId9"/>
      <w:footerReference w:type="default" r:id="rId10"/>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67A0E" w14:textId="77777777" w:rsidR="00927B71" w:rsidRDefault="00927B71" w:rsidP="008442C1">
      <w:r>
        <w:separator/>
      </w:r>
    </w:p>
  </w:endnote>
  <w:endnote w:type="continuationSeparator" w:id="0">
    <w:p w14:paraId="1CEC3353" w14:textId="77777777" w:rsidR="00927B71" w:rsidRDefault="00927B7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3736943"/>
      <w:docPartObj>
        <w:docPartGallery w:val="Page Numbers (Bottom of Page)"/>
        <w:docPartUnique/>
      </w:docPartObj>
    </w:sdtPr>
    <w:sdtEndPr>
      <w:rPr>
        <w:rFonts w:ascii="Arial" w:hAnsi="Arial" w:cs="Arial"/>
        <w:noProof/>
        <w:sz w:val="22"/>
        <w:szCs w:val="22"/>
      </w:rPr>
    </w:sdtEndPr>
    <w:sdtContent>
      <w:p w14:paraId="631068CE" w14:textId="77777777" w:rsidR="005C5D37" w:rsidRPr="009E002B" w:rsidRDefault="005C5D37">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sidR="00506E1B">
          <w:rPr>
            <w:rFonts w:ascii="Arial" w:hAnsi="Arial" w:cs="Arial"/>
            <w:noProof/>
            <w:sz w:val="22"/>
            <w:szCs w:val="22"/>
          </w:rPr>
          <w:t>3</w:t>
        </w:r>
        <w:r w:rsidRPr="009E002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C1394" w14:textId="77777777" w:rsidR="00927B71" w:rsidRDefault="00927B71" w:rsidP="008442C1">
      <w:r>
        <w:separator/>
      </w:r>
    </w:p>
  </w:footnote>
  <w:footnote w:type="continuationSeparator" w:id="0">
    <w:p w14:paraId="5669CCC6" w14:textId="77777777" w:rsidR="00927B71" w:rsidRDefault="00927B7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F7B1" w14:textId="14AD81AB" w:rsidR="002965DA" w:rsidRDefault="002965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31FCD" w14:textId="1B054651"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4"/>
  </w:num>
  <w:num w:numId="3">
    <w:abstractNumId w:val="13"/>
  </w:num>
  <w:num w:numId="4">
    <w:abstractNumId w:val="11"/>
  </w:num>
  <w:num w:numId="5">
    <w:abstractNumId w:val="23"/>
  </w:num>
  <w:num w:numId="6">
    <w:abstractNumId w:val="5"/>
  </w:num>
  <w:num w:numId="7">
    <w:abstractNumId w:val="20"/>
  </w:num>
  <w:num w:numId="8">
    <w:abstractNumId w:val="7"/>
  </w:num>
  <w:num w:numId="9">
    <w:abstractNumId w:val="17"/>
  </w:num>
  <w:num w:numId="10">
    <w:abstractNumId w:val="18"/>
  </w:num>
  <w:num w:numId="11">
    <w:abstractNumId w:val="8"/>
  </w:num>
  <w:num w:numId="12">
    <w:abstractNumId w:val="14"/>
  </w:num>
  <w:num w:numId="13">
    <w:abstractNumId w:val="3"/>
  </w:num>
  <w:num w:numId="14">
    <w:abstractNumId w:val="1"/>
  </w:num>
  <w:num w:numId="15">
    <w:abstractNumId w:val="2"/>
  </w:num>
  <w:num w:numId="16">
    <w:abstractNumId w:val="16"/>
  </w:num>
  <w:num w:numId="17">
    <w:abstractNumId w:val="12"/>
  </w:num>
  <w:num w:numId="18">
    <w:abstractNumId w:val="21"/>
  </w:num>
  <w:num w:numId="19">
    <w:abstractNumId w:val="0"/>
  </w:num>
  <w:num w:numId="20">
    <w:abstractNumId w:val="15"/>
  </w:num>
  <w:num w:numId="21">
    <w:abstractNumId w:val="19"/>
  </w:num>
  <w:num w:numId="22">
    <w:abstractNumId w:val="6"/>
  </w:num>
  <w:num w:numId="23">
    <w:abstractNumId w:val="4"/>
  </w:num>
  <w:num w:numId="24">
    <w:abstractNumId w:val="2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64D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41D"/>
    <w:rsid w:val="000E658E"/>
    <w:rsid w:val="000F4D94"/>
    <w:rsid w:val="000F65E9"/>
    <w:rsid w:val="00101BDA"/>
    <w:rsid w:val="00102692"/>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FFE83-B77F-4BC0-A811-42B8CBF5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544</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Suphanee Saktrakul</cp:lastModifiedBy>
  <cp:revision>5</cp:revision>
  <cp:lastPrinted>2020-05-14T15:08:00Z</cp:lastPrinted>
  <dcterms:created xsi:type="dcterms:W3CDTF">2020-05-13T08:03:00Z</dcterms:created>
  <dcterms:modified xsi:type="dcterms:W3CDTF">2020-05-14T15:10:00Z</dcterms:modified>
</cp:coreProperties>
</file>