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77777777" w:rsidR="003D1793" w:rsidRPr="007E75C0" w:rsidRDefault="003D1793" w:rsidP="003D1793">
            <w:pPr>
              <w:tabs>
                <w:tab w:val="left" w:pos="5472"/>
              </w:tabs>
              <w:spacing w:line="380" w:lineRule="exact"/>
              <w:ind w:left="-14" w:right="-43"/>
              <w:rPr>
                <w:color w:val="7F7E82"/>
                <w:sz w:val="28"/>
              </w:rPr>
            </w:pPr>
            <w:r w:rsidRPr="007E75C0">
              <w:rPr>
                <w:color w:val="7F7E82"/>
                <w:sz w:val="28"/>
              </w:rPr>
              <w:t>Review report and interim</w:t>
            </w:r>
            <w:r w:rsidR="00250C0F">
              <w:rPr>
                <w:rFonts w:hint="cs"/>
                <w:color w:val="7F7E82"/>
                <w:sz w:val="28"/>
                <w:cs/>
              </w:rPr>
              <w:t xml:space="preserve"> </w:t>
            </w:r>
            <w:r w:rsidR="00250C0F">
              <w:rPr>
                <w:color w:val="7F7E82"/>
                <w:sz w:val="28"/>
              </w:rPr>
              <w:t>consolidated</w:t>
            </w:r>
            <w:r w:rsidRPr="007E75C0">
              <w:rPr>
                <w:color w:val="7F7E82"/>
                <w:sz w:val="28"/>
              </w:rPr>
              <w:t xml:space="preserve"> financial </w:t>
            </w:r>
            <w:r w:rsidR="008216EC">
              <w:rPr>
                <w:color w:val="7F7E82"/>
                <w:sz w:val="28"/>
              </w:rPr>
              <w:t>information</w:t>
            </w:r>
          </w:p>
          <w:p w14:paraId="3641267C" w14:textId="77777777" w:rsidR="00EB2179" w:rsidRPr="000A5EE2" w:rsidRDefault="003D1793" w:rsidP="00AA7F96">
            <w:pPr>
              <w:spacing w:line="380" w:lineRule="exact"/>
              <w:ind w:left="-14"/>
              <w:rPr>
                <w:rFonts w:ascii="Angsana New" w:hAnsi="Angsana New" w:cs="Times New Roman"/>
                <w:b/>
                <w:bCs/>
                <w:sz w:val="28"/>
                <w:szCs w:val="36"/>
              </w:rPr>
            </w:pPr>
            <w:r w:rsidRPr="007E75C0">
              <w:rPr>
                <w:color w:val="7F7E82"/>
                <w:sz w:val="28"/>
              </w:rPr>
              <w:t xml:space="preserve">For the three-month period ended </w:t>
            </w:r>
            <w:r w:rsidR="00AA7F96">
              <w:rPr>
                <w:color w:val="7F7E82"/>
                <w:sz w:val="28"/>
              </w:rPr>
              <w:t xml:space="preserve">31 March </w:t>
            </w:r>
            <w:r w:rsidR="007314A4">
              <w:rPr>
                <w:color w:val="7F7E82"/>
                <w:sz w:val="28"/>
              </w:rPr>
              <w:t>2020</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66FAFEF3" w14:textId="77777777" w:rsidR="0001525F" w:rsidRDefault="0001525F" w:rsidP="003D1793">
      <w:pPr>
        <w:tabs>
          <w:tab w:val="left" w:pos="2160"/>
        </w:tabs>
        <w:spacing w:before="120" w:line="380" w:lineRule="exact"/>
        <w:rPr>
          <w:rFonts w:ascii="Arial" w:hAnsi="Arial"/>
          <w:b/>
          <w:bCs/>
          <w:sz w:val="22"/>
          <w:szCs w:val="22"/>
        </w:r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77777777"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as at </w:t>
      </w:r>
      <w:r w:rsidR="00AA7F96">
        <w:rPr>
          <w:rFonts w:ascii="Arial" w:hAnsi="Arial"/>
          <w:sz w:val="22"/>
          <w:szCs w:val="22"/>
        </w:rPr>
        <w:t xml:space="preserve">31 March </w:t>
      </w:r>
      <w:r w:rsidR="007314A4">
        <w:rPr>
          <w:rFonts w:ascii="Arial" w:hAnsi="Arial"/>
          <w:sz w:val="22"/>
          <w:szCs w:val="22"/>
        </w:rPr>
        <w:t>2020</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3D2D9B">
        <w:rPr>
          <w:rFonts w:ascii="Arial" w:hAnsi="Arial" w:cs="Arial"/>
          <w:sz w:val="22"/>
          <w:szCs w:val="22"/>
        </w:rPr>
        <w:t xml:space="preserve">, </w:t>
      </w:r>
      <w:r w:rsidR="009E6820" w:rsidRPr="00E42450">
        <w:rPr>
          <w:rFonts w:ascii="Arial" w:hAnsi="Arial" w:cs="Arial"/>
          <w:sz w:val="22"/>
          <w:szCs w:val="22"/>
        </w:rPr>
        <w:t>changes in shareholders’ equity and cash flows for the</w:t>
      </w:r>
      <w:r w:rsidR="00AA7F96">
        <w:rPr>
          <w:rFonts w:ascii="Arial" w:hAnsi="Arial" w:cs="Arial"/>
          <w:sz w:val="22"/>
          <w:szCs w:val="22"/>
        </w:rPr>
        <w:t xml:space="preserve"> 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w:t>
      </w:r>
      <w:r>
        <w:rPr>
          <w:rFonts w:ascii="Arial" w:hAnsi="Arial"/>
          <w:sz w:val="22"/>
          <w:szCs w:val="22"/>
        </w:rPr>
        <w:t xml:space="preserve"> for the same period</w:t>
      </w:r>
      <w:r w:rsidR="008216EC">
        <w:rPr>
          <w:rFonts w:ascii="Arial" w:hAnsi="Arial"/>
          <w:sz w:val="22"/>
          <w:szCs w:val="22"/>
        </w:rPr>
        <w:t xml:space="preserve"> (collectively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6A228149" w14:textId="77777777" w:rsidR="00F92491" w:rsidRDefault="00F92491">
      <w:pPr>
        <w:overflowPunct/>
        <w:autoSpaceDE/>
        <w:autoSpaceDN/>
        <w:adjustRightInd/>
        <w:textAlignment w:val="auto"/>
        <w:rPr>
          <w:rFonts w:ascii="Arial" w:hAnsi="Arial" w:cs="Times New Roman"/>
          <w:color w:val="000000"/>
          <w:sz w:val="22"/>
          <w:szCs w:val="22"/>
        </w:rPr>
      </w:pPr>
      <w:r>
        <w:rPr>
          <w:rFonts w:ascii="Arial" w:hAnsi="Arial"/>
          <w:sz w:val="22"/>
          <w:szCs w:val="22"/>
        </w:rPr>
        <w:br w:type="page"/>
      </w:r>
    </w:p>
    <w:p w14:paraId="612050D8" w14:textId="77777777" w:rsidR="00F92491" w:rsidRDefault="00F92491" w:rsidP="00F92491">
      <w:pPr>
        <w:pStyle w:val="ps-000-normal"/>
        <w:spacing w:before="120" w:line="360" w:lineRule="exact"/>
        <w:rPr>
          <w:rFonts w:ascii="Arial" w:hAnsi="Arial"/>
          <w:b/>
          <w:bCs/>
          <w:sz w:val="22"/>
          <w:szCs w:val="22"/>
        </w:rPr>
        <w:sectPr w:rsidR="00F92491" w:rsidSect="003D2D9B">
          <w:footerReference w:type="default" r:id="rId10"/>
          <w:pgSz w:w="11909" w:h="16834" w:code="9"/>
          <w:pgMar w:top="2700" w:right="1080" w:bottom="1080" w:left="1296" w:header="706" w:footer="706" w:gutter="0"/>
          <w:pgNumType w:start="1"/>
          <w:cols w:space="720"/>
          <w:docGrid w:linePitch="360"/>
        </w:sectPr>
      </w:pPr>
    </w:p>
    <w:p w14:paraId="7E47B54F" w14:textId="0CACED82" w:rsidR="00F92491" w:rsidRPr="00F92491" w:rsidRDefault="00F92491" w:rsidP="00F92491">
      <w:pPr>
        <w:pStyle w:val="ps-000-normal"/>
        <w:spacing w:before="120" w:line="360" w:lineRule="exact"/>
        <w:rPr>
          <w:rFonts w:ascii="Arial" w:hAnsi="Arial"/>
          <w:b/>
          <w:bCs/>
          <w:sz w:val="22"/>
          <w:szCs w:val="22"/>
        </w:rPr>
      </w:pPr>
      <w:r w:rsidRPr="00F92491">
        <w:rPr>
          <w:rFonts w:ascii="Arial" w:hAnsi="Arial"/>
          <w:b/>
          <w:bCs/>
          <w:sz w:val="22"/>
          <w:szCs w:val="22"/>
        </w:rPr>
        <w:lastRenderedPageBreak/>
        <w:t>Emphasis of matters</w:t>
      </w:r>
    </w:p>
    <w:p w14:paraId="20038818" w14:textId="1597E511" w:rsidR="00F92491" w:rsidRPr="00F92491" w:rsidRDefault="00F92491" w:rsidP="00F92491">
      <w:pPr>
        <w:pStyle w:val="ps-000-normal"/>
        <w:spacing w:before="120" w:line="360" w:lineRule="exact"/>
        <w:rPr>
          <w:rFonts w:ascii="Arial" w:hAnsi="Arial"/>
          <w:sz w:val="22"/>
          <w:szCs w:val="22"/>
        </w:rPr>
      </w:pPr>
      <w:r w:rsidRPr="00F92491">
        <w:rPr>
          <w:rFonts w:ascii="Arial" w:hAnsi="Arial"/>
          <w:sz w:val="22"/>
          <w:szCs w:val="22"/>
        </w:rPr>
        <w:t xml:space="preserve">My </w:t>
      </w:r>
      <w:r w:rsidR="008D3C9F">
        <w:rPr>
          <w:rFonts w:ascii="Arial" w:hAnsi="Arial"/>
          <w:sz w:val="22"/>
          <w:szCs w:val="22"/>
        </w:rPr>
        <w:t>conclusion</w:t>
      </w:r>
      <w:r w:rsidRPr="00F92491">
        <w:rPr>
          <w:rFonts w:ascii="Arial" w:hAnsi="Arial"/>
          <w:sz w:val="22"/>
          <w:szCs w:val="22"/>
        </w:rPr>
        <w:t xml:space="preserve"> is not modified in respect of these matters.</w:t>
      </w:r>
    </w:p>
    <w:p w14:paraId="4288C5E1" w14:textId="689A0F04" w:rsidR="00F92491" w:rsidRPr="00F92491" w:rsidRDefault="00F92491" w:rsidP="00F92491">
      <w:pPr>
        <w:pStyle w:val="ps-000-normal"/>
        <w:spacing w:before="120" w:line="360" w:lineRule="exact"/>
        <w:rPr>
          <w:rFonts w:ascii="Arial" w:hAnsi="Arial"/>
          <w:sz w:val="22"/>
          <w:szCs w:val="22"/>
        </w:rPr>
      </w:pPr>
      <w:r w:rsidRPr="00F92491">
        <w:rPr>
          <w:rFonts w:ascii="Arial" w:hAnsi="Arial"/>
          <w:sz w:val="22"/>
          <w:szCs w:val="22"/>
        </w:rPr>
        <w:t xml:space="preserve">I draw attention to the following Notes to the </w:t>
      </w:r>
      <w:r w:rsidR="008D3C9F">
        <w:rPr>
          <w:rFonts w:ascii="Arial" w:hAnsi="Arial"/>
          <w:sz w:val="22"/>
          <w:szCs w:val="22"/>
        </w:rPr>
        <w:t xml:space="preserve">interim </w:t>
      </w:r>
      <w:r w:rsidRPr="00F92491">
        <w:rPr>
          <w:rFonts w:ascii="Arial" w:hAnsi="Arial"/>
          <w:sz w:val="22"/>
          <w:szCs w:val="22"/>
        </w:rPr>
        <w:t>consolidated financial statements.</w:t>
      </w:r>
    </w:p>
    <w:p w14:paraId="141C1551" w14:textId="590D3CC3" w:rsidR="00F92491" w:rsidRPr="00F92491" w:rsidRDefault="00F92491" w:rsidP="00F92491">
      <w:pPr>
        <w:pStyle w:val="ps-000-normal"/>
        <w:spacing w:before="120" w:line="360" w:lineRule="exact"/>
        <w:ind w:left="360" w:hanging="360"/>
        <w:rPr>
          <w:rFonts w:ascii="Arial" w:hAnsi="Arial"/>
          <w:sz w:val="22"/>
          <w:szCs w:val="22"/>
        </w:rPr>
      </w:pPr>
      <w:r>
        <w:rPr>
          <w:rFonts w:ascii="Arial" w:hAnsi="Arial"/>
          <w:sz w:val="22"/>
          <w:szCs w:val="22"/>
        </w:rPr>
        <w:t>a)</w:t>
      </w:r>
      <w:r>
        <w:rPr>
          <w:rFonts w:ascii="Arial" w:hAnsi="Arial"/>
          <w:sz w:val="22"/>
          <w:szCs w:val="22"/>
        </w:rPr>
        <w:tab/>
      </w:r>
      <w:r w:rsidRPr="00F92491">
        <w:rPr>
          <w:rFonts w:ascii="Arial" w:hAnsi="Arial"/>
          <w:sz w:val="22"/>
          <w:szCs w:val="22"/>
        </w:rPr>
        <w:t xml:space="preserve">I draw attention to Note 1.2 and </w:t>
      </w:r>
      <w:r w:rsidR="008D3C9F" w:rsidRPr="00F92491">
        <w:rPr>
          <w:rFonts w:ascii="Arial" w:hAnsi="Arial"/>
          <w:sz w:val="22"/>
          <w:szCs w:val="22"/>
        </w:rPr>
        <w:t xml:space="preserve">Note </w:t>
      </w:r>
      <w:r w:rsidRPr="00F92491">
        <w:rPr>
          <w:rFonts w:ascii="Arial" w:hAnsi="Arial"/>
          <w:sz w:val="22"/>
          <w:szCs w:val="22"/>
        </w:rPr>
        <w:t xml:space="preserve">1.5 to the interim </w:t>
      </w:r>
      <w:r w:rsidR="008D3C9F">
        <w:rPr>
          <w:rFonts w:ascii="Arial" w:hAnsi="Arial"/>
          <w:sz w:val="22"/>
          <w:szCs w:val="22"/>
        </w:rPr>
        <w:t xml:space="preserve">consolidated </w:t>
      </w:r>
      <w:r w:rsidRPr="00F92491">
        <w:rPr>
          <w:rFonts w:ascii="Arial" w:hAnsi="Arial"/>
          <w:sz w:val="22"/>
          <w:szCs w:val="22"/>
        </w:rPr>
        <w:t>financial statements. Due to</w:t>
      </w:r>
      <w:r w:rsidR="00A965B6">
        <w:rPr>
          <w:rFonts w:ascii="Arial" w:hAnsi="Arial"/>
          <w:sz w:val="22"/>
          <w:szCs w:val="22"/>
        </w:rPr>
        <w:t xml:space="preserve"> </w:t>
      </w:r>
      <w:r w:rsidR="00A965B6" w:rsidRPr="00F92491">
        <w:rPr>
          <w:rFonts w:ascii="Arial" w:hAnsi="Arial"/>
          <w:sz w:val="22"/>
          <w:szCs w:val="22"/>
        </w:rPr>
        <w:t>the impact of</w:t>
      </w:r>
      <w:r w:rsidRPr="00F92491">
        <w:rPr>
          <w:rFonts w:ascii="Arial" w:hAnsi="Arial"/>
          <w:sz w:val="22"/>
          <w:szCs w:val="22"/>
        </w:rPr>
        <w:t xml:space="preserve"> </w:t>
      </w:r>
      <w:r w:rsidR="008D3C9F">
        <w:rPr>
          <w:rFonts w:ascii="Arial" w:hAnsi="Arial"/>
          <w:sz w:val="22"/>
          <w:szCs w:val="22"/>
        </w:rPr>
        <w:t xml:space="preserve">the COVID-19 </w:t>
      </w:r>
      <w:r w:rsidR="00A965B6">
        <w:rPr>
          <w:rFonts w:ascii="Arial" w:hAnsi="Arial" w:cstheme="minorBidi"/>
          <w:sz w:val="22"/>
          <w:szCs w:val="22"/>
        </w:rPr>
        <w:t>pandemic</w:t>
      </w:r>
      <w:r w:rsidR="008D3C9F">
        <w:rPr>
          <w:rFonts w:ascii="Arial" w:hAnsi="Arial" w:cstheme="minorBidi"/>
          <w:sz w:val="22"/>
          <w:szCs w:val="22"/>
        </w:rPr>
        <w:t xml:space="preserve">, </w:t>
      </w:r>
      <w:r w:rsidRPr="00F92491">
        <w:rPr>
          <w:rFonts w:ascii="Arial" w:hAnsi="Arial"/>
          <w:sz w:val="22"/>
          <w:szCs w:val="22"/>
        </w:rPr>
        <w:t>in preparing the interim financial information for the</w:t>
      </w:r>
      <w:r w:rsidRPr="00F92491">
        <w:rPr>
          <w:rFonts w:ascii="Arial" w:hAnsi="Arial"/>
          <w:sz w:val="22"/>
          <w:szCs w:val="22"/>
          <w:cs/>
        </w:rPr>
        <w:t xml:space="preserve"> </w:t>
      </w:r>
      <w:r w:rsidRPr="00F92491">
        <w:rPr>
          <w:rFonts w:ascii="Arial" w:hAnsi="Arial"/>
          <w:sz w:val="22"/>
          <w:szCs w:val="22"/>
        </w:rPr>
        <w:t>three-month period ended 31 March 2020, the Group has adopted the Accounting Guidance on Temporary Relief Measures for Accounting Alternatives in Response to the Impact of the COVID-19 Pandemic issued by the Federation of Accounting Professions.</w:t>
      </w:r>
      <w:r w:rsidR="008D3C9F">
        <w:rPr>
          <w:rFonts w:ascii="Arial" w:hAnsi="Arial"/>
          <w:sz w:val="22"/>
          <w:szCs w:val="22"/>
        </w:rPr>
        <w:t xml:space="preserve"> T</w:t>
      </w:r>
      <w:r w:rsidRPr="00F92491">
        <w:rPr>
          <w:rFonts w:ascii="Arial" w:hAnsi="Arial"/>
          <w:sz w:val="22"/>
          <w:szCs w:val="22"/>
        </w:rPr>
        <w:t xml:space="preserve">he </w:t>
      </w:r>
      <w:r w:rsidR="008D3C9F" w:rsidRPr="00F92491">
        <w:rPr>
          <w:rFonts w:ascii="Arial" w:hAnsi="Arial"/>
          <w:sz w:val="22"/>
          <w:szCs w:val="22"/>
        </w:rPr>
        <w:t>COVID-19</w:t>
      </w:r>
      <w:r w:rsidRPr="00F92491">
        <w:rPr>
          <w:rFonts w:ascii="Arial" w:hAnsi="Arial"/>
          <w:sz w:val="22"/>
          <w:szCs w:val="22"/>
        </w:rPr>
        <w:t xml:space="preserve"> pandemic is continuing to evolve, resulting in an economic slowdown and adversely impacting </w:t>
      </w:r>
      <w:r w:rsidR="008D3C9F">
        <w:rPr>
          <w:rFonts w:ascii="Arial" w:hAnsi="Arial"/>
          <w:sz w:val="22"/>
          <w:szCs w:val="22"/>
        </w:rPr>
        <w:t>most</w:t>
      </w:r>
      <w:r w:rsidRPr="00F92491">
        <w:rPr>
          <w:rFonts w:ascii="Arial" w:hAnsi="Arial"/>
          <w:sz w:val="22"/>
          <w:szCs w:val="22"/>
        </w:rPr>
        <w:t xml:space="preserve"> businesses and industries in terms of supply chains, consumer spending, limited or suspended production, operational delays, and more. This situation significantly affects the Group’s business activities in terms of medical service</w:t>
      </w:r>
      <w:r w:rsidR="008D3C9F">
        <w:rPr>
          <w:rFonts w:ascii="Arial" w:hAnsi="Arial"/>
          <w:sz w:val="22"/>
          <w:szCs w:val="22"/>
        </w:rPr>
        <w:t xml:space="preserve">s for health and beauty business, </w:t>
      </w:r>
      <w:r w:rsidRPr="00F92491">
        <w:rPr>
          <w:rFonts w:ascii="Arial" w:hAnsi="Arial"/>
          <w:sz w:val="22"/>
          <w:szCs w:val="22"/>
        </w:rPr>
        <w:t>and this is significantly impacting the Group’s financial position, operating results, and cash flows at present, and is expected to do so in the future. However, the impact cannot be reasonably estimated at this stage. The Group’s management</w:t>
      </w:r>
      <w:r w:rsidRPr="00F92491">
        <w:rPr>
          <w:rFonts w:ascii="Arial" w:hAnsi="Arial"/>
          <w:sz w:val="22"/>
          <w:szCs w:val="22"/>
          <w:cs/>
        </w:rPr>
        <w:t xml:space="preserve"> </w:t>
      </w:r>
      <w:r w:rsidRPr="00F92491">
        <w:rPr>
          <w:rFonts w:ascii="Arial" w:hAnsi="Arial"/>
          <w:sz w:val="22"/>
          <w:szCs w:val="22"/>
        </w:rPr>
        <w:t>has continuously monitored the ongoing developments and assessed the financial impact in respect of the valuation of assets, provisions and contingent liabilities, and will record the impact when it is possible to do so.</w:t>
      </w:r>
    </w:p>
    <w:p w14:paraId="572FC06E" w14:textId="7762C524" w:rsidR="00F92491" w:rsidRPr="00F92491" w:rsidRDefault="00F92491" w:rsidP="00F92491">
      <w:pPr>
        <w:pStyle w:val="ps-000-normal"/>
        <w:spacing w:before="120" w:line="360" w:lineRule="exact"/>
        <w:ind w:left="360" w:hanging="360"/>
        <w:rPr>
          <w:rFonts w:ascii="Arial" w:hAnsi="Arial"/>
          <w:sz w:val="22"/>
          <w:szCs w:val="22"/>
        </w:rPr>
      </w:pPr>
      <w:r w:rsidRPr="00F92491">
        <w:rPr>
          <w:rFonts w:ascii="Arial" w:hAnsi="Arial"/>
          <w:sz w:val="22"/>
          <w:szCs w:val="22"/>
        </w:rPr>
        <w:t xml:space="preserve">b) </w:t>
      </w:r>
      <w:r>
        <w:rPr>
          <w:rFonts w:ascii="Arial" w:hAnsi="Arial"/>
          <w:sz w:val="22"/>
          <w:szCs w:val="22"/>
        </w:rPr>
        <w:tab/>
      </w:r>
      <w:r w:rsidRPr="00F92491">
        <w:rPr>
          <w:rFonts w:ascii="Arial" w:hAnsi="Arial"/>
          <w:sz w:val="22"/>
          <w:szCs w:val="22"/>
        </w:rPr>
        <w:t>I draw attention to Note 23.6 to the interim consolidated financial statements, in September 2018 two local companies, which are shareholders of the company that is the owner of the “</w:t>
      </w:r>
      <w:proofErr w:type="spellStart"/>
      <w:r w:rsidRPr="00F92491">
        <w:rPr>
          <w:rFonts w:ascii="Arial" w:hAnsi="Arial"/>
          <w:sz w:val="22"/>
          <w:szCs w:val="22"/>
        </w:rPr>
        <w:t>Wuttisak</w:t>
      </w:r>
      <w:proofErr w:type="spellEnd"/>
      <w:r w:rsidRPr="00F92491">
        <w:rPr>
          <w:rFonts w:ascii="Arial" w:hAnsi="Arial"/>
          <w:sz w:val="22"/>
          <w:szCs w:val="22"/>
        </w:rPr>
        <w:t xml:space="preserve"> Clinic” franchise, sued Hi Healthcare Center Co., Ltd. (the Company’s subsidiary) as the second co-defendant together with the company that is the owner of the franchise in a civil lawsuit, petitioning for revocation of the Franchise Agreement and the Asset Sales Agreement. This case is being considered by the court and thus the outcome cannot be determined at this time and depends on the future judicial process. The future operations of the subsidiary are also dependent on the outcome of the lawsuit. </w:t>
      </w:r>
    </w:p>
    <w:p w14:paraId="150FB47C" w14:textId="77777777" w:rsidR="003D2D9B" w:rsidRPr="004D68DE" w:rsidRDefault="008216EC" w:rsidP="00997063">
      <w:pPr>
        <w:tabs>
          <w:tab w:val="left" w:pos="720"/>
          <w:tab w:val="center" w:pos="6480"/>
        </w:tabs>
        <w:spacing w:before="1400" w:line="360" w:lineRule="exact"/>
        <w:ind w:right="-43"/>
        <w:jc w:val="thaiDistribute"/>
        <w:rPr>
          <w:rFonts w:ascii="Arial" w:hAnsi="Arial" w:cs="Arial"/>
          <w:sz w:val="22"/>
          <w:szCs w:val="22"/>
        </w:rPr>
      </w:pPr>
      <w:proofErr w:type="spellStart"/>
      <w:r>
        <w:rPr>
          <w:rFonts w:ascii="Arial" w:hAnsi="Arial"/>
          <w:sz w:val="22"/>
          <w:szCs w:val="22"/>
        </w:rPr>
        <w:t>Kirdsiri</w:t>
      </w:r>
      <w:proofErr w:type="spellEnd"/>
      <w:r>
        <w:rPr>
          <w:rFonts w:ascii="Arial" w:hAnsi="Arial"/>
          <w:sz w:val="22"/>
          <w:szCs w:val="22"/>
        </w:rPr>
        <w:t xml:space="preserve"> </w:t>
      </w:r>
      <w:proofErr w:type="spellStart"/>
      <w:r>
        <w:rPr>
          <w:rFonts w:ascii="Arial" w:hAnsi="Arial"/>
          <w:sz w:val="22"/>
          <w:szCs w:val="22"/>
        </w:rPr>
        <w:t>Kanjanaprakasit</w:t>
      </w:r>
      <w:bookmarkStart w:id="0" w:name="_GoBack"/>
      <w:bookmarkEnd w:id="0"/>
      <w:proofErr w:type="spellEnd"/>
    </w:p>
    <w:p w14:paraId="168BC51A" w14:textId="77777777"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8216EC">
        <w:rPr>
          <w:rFonts w:ascii="Arial" w:hAnsi="Arial"/>
          <w:sz w:val="22"/>
          <w:szCs w:val="22"/>
        </w:rPr>
        <w:t>6014</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80F9C39" w14:textId="2FCA4649" w:rsidR="000A5EE2" w:rsidRDefault="003D2D9B" w:rsidP="003D2D9B">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8216EC">
        <w:rPr>
          <w:rFonts w:ascii="Arial" w:hAnsi="Arial" w:cs="Arial"/>
          <w:sz w:val="22"/>
          <w:szCs w:val="22"/>
        </w:rPr>
        <w:t>1</w:t>
      </w:r>
      <w:r w:rsidR="00F92491">
        <w:rPr>
          <w:rFonts w:ascii="Arial" w:hAnsi="Arial" w:cs="Arial"/>
          <w:sz w:val="22"/>
          <w:szCs w:val="22"/>
        </w:rPr>
        <w:t>5</w:t>
      </w:r>
      <w:r w:rsidR="00BF0EE2">
        <w:rPr>
          <w:rFonts w:ascii="Arial" w:hAnsi="Arial" w:cs="Arial"/>
          <w:sz w:val="22"/>
          <w:szCs w:val="22"/>
        </w:rPr>
        <w:t xml:space="preserve"> May</w:t>
      </w:r>
      <w:r w:rsidR="00FF1EF8">
        <w:rPr>
          <w:rFonts w:ascii="Arial" w:hAnsi="Arial" w:cs="Arial"/>
          <w:sz w:val="22"/>
          <w:szCs w:val="22"/>
        </w:rPr>
        <w:t xml:space="preserve"> </w:t>
      </w:r>
      <w:r w:rsidR="007314A4">
        <w:rPr>
          <w:rFonts w:ascii="Arial" w:hAnsi="Arial" w:cs="Arial"/>
          <w:sz w:val="22"/>
          <w:szCs w:val="22"/>
        </w:rPr>
        <w:t>2020</w:t>
      </w:r>
    </w:p>
    <w:p w14:paraId="7DF733DC" w14:textId="0F8D7ADB" w:rsidR="00F92491" w:rsidRPr="00F92491" w:rsidRDefault="00F92491" w:rsidP="00F92491">
      <w:pPr>
        <w:rPr>
          <w:rFonts w:ascii="Arial" w:hAnsi="Arial" w:cs="Arial"/>
          <w:sz w:val="22"/>
          <w:szCs w:val="22"/>
        </w:rPr>
      </w:pPr>
    </w:p>
    <w:p w14:paraId="41AEE7D2" w14:textId="77777777" w:rsidR="00F92491" w:rsidRPr="00F92491" w:rsidRDefault="00F92491" w:rsidP="00F92491">
      <w:pPr>
        <w:jc w:val="right"/>
        <w:rPr>
          <w:rFonts w:ascii="Arial" w:hAnsi="Arial" w:cs="Arial"/>
          <w:sz w:val="22"/>
          <w:szCs w:val="22"/>
        </w:rPr>
      </w:pPr>
    </w:p>
    <w:sectPr w:rsidR="00F92491" w:rsidRPr="00F92491" w:rsidSect="00F92491">
      <w:footerReference w:type="default" r:id="rId11"/>
      <w:pgSz w:w="11909" w:h="16834" w:code="9"/>
      <w:pgMar w:top="2160"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83D2D" w14:textId="77777777" w:rsidR="001428BF" w:rsidRDefault="001428BF" w:rsidP="008442C1">
      <w:r>
        <w:separator/>
      </w:r>
    </w:p>
  </w:endnote>
  <w:endnote w:type="continuationSeparator" w:id="0">
    <w:p w14:paraId="34A11E0B" w14:textId="77777777" w:rsidR="001428BF" w:rsidRDefault="001428B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E84C8"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EB2B" w14:textId="638F07FF" w:rsidR="00F92491" w:rsidRDefault="00F92491">
    <w:pPr>
      <w:pStyle w:val="Footer"/>
      <w:jc w:val="right"/>
    </w:pPr>
  </w:p>
  <w:p w14:paraId="0C50F0B9" w14:textId="77777777" w:rsidR="005479F1" w:rsidRPr="00C774FD" w:rsidRDefault="005479F1" w:rsidP="00C774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8087299"/>
      <w:docPartObj>
        <w:docPartGallery w:val="Page Numbers (Bottom of Page)"/>
        <w:docPartUnique/>
      </w:docPartObj>
    </w:sdtPr>
    <w:sdtEndPr>
      <w:rPr>
        <w:noProof/>
      </w:rPr>
    </w:sdtEndPr>
    <w:sdtContent>
      <w:p w14:paraId="4517BE6B" w14:textId="77777777" w:rsidR="00F92491" w:rsidRDefault="00F9249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F0E2CB" w14:textId="77777777" w:rsidR="00F92491" w:rsidRPr="00C774FD" w:rsidRDefault="00F92491" w:rsidP="00C77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90CBA" w14:textId="77777777" w:rsidR="001428BF" w:rsidRDefault="001428BF" w:rsidP="008442C1">
      <w:r>
        <w:separator/>
      </w:r>
    </w:p>
  </w:footnote>
  <w:footnote w:type="continuationSeparator" w:id="0">
    <w:p w14:paraId="5B76CE5F" w14:textId="77777777" w:rsidR="001428BF" w:rsidRDefault="001428BF"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0"/>
  </w:num>
  <w:num w:numId="3">
    <w:abstractNumId w:val="10"/>
  </w:num>
  <w:num w:numId="4">
    <w:abstractNumId w:val="8"/>
  </w:num>
  <w:num w:numId="5">
    <w:abstractNumId w:val="19"/>
  </w:num>
  <w:num w:numId="6">
    <w:abstractNumId w:val="4"/>
  </w:num>
  <w:num w:numId="7">
    <w:abstractNumId w:val="17"/>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18"/>
  </w:num>
  <w:num w:numId="19">
    <w:abstractNumId w:val="0"/>
  </w:num>
  <w:num w:numId="20">
    <w:abstractNumId w:val="12"/>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B37F5-AB95-46A6-8E41-2A89D584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11</cp:revision>
  <cp:lastPrinted>2020-05-15T13:55:00Z</cp:lastPrinted>
  <dcterms:created xsi:type="dcterms:W3CDTF">2019-05-11T10:56:00Z</dcterms:created>
  <dcterms:modified xsi:type="dcterms:W3CDTF">2020-05-15T13:55:00Z</dcterms:modified>
</cp:coreProperties>
</file>