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FA351" w14:textId="77777777" w:rsidR="00DB308D" w:rsidRPr="006470C6" w:rsidRDefault="00DB308D" w:rsidP="006470C6">
      <w:pPr>
        <w:pStyle w:val="Reference"/>
        <w:rPr>
          <w:rFonts w:ascii="Angsana New" w:hAnsi="Angsana New" w:cs="Angsana New"/>
          <w:lang w:val="en-US"/>
        </w:rPr>
      </w:pPr>
    </w:p>
    <w:p w14:paraId="4359273A" w14:textId="77777777" w:rsidR="00DD1E47" w:rsidRPr="006470C6" w:rsidRDefault="00DD1E47" w:rsidP="006470C6">
      <w:pPr>
        <w:pStyle w:val="BodyText"/>
        <w:spacing w:after="0" w:line="240" w:lineRule="auto"/>
        <w:rPr>
          <w:rFonts w:ascii="Angsana New" w:hAnsi="Angsana New" w:cs="Angsana New"/>
        </w:rPr>
      </w:pPr>
    </w:p>
    <w:p w14:paraId="4E42BCE1" w14:textId="77777777" w:rsidR="00AD3B26" w:rsidRPr="006470C6" w:rsidRDefault="00AD3B26" w:rsidP="006470C6">
      <w:pPr>
        <w:pStyle w:val="BodyText"/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6470C6" w:rsidRPr="006470C6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A31026" w:rsidRPr="006470C6">
        <w:rPr>
          <w:rFonts w:cs="Angsana New"/>
          <w:b/>
          <w:bCs/>
          <w:color w:val="000000"/>
          <w:sz w:val="32"/>
          <w:szCs w:val="32"/>
          <w:cs/>
          <w:lang w:val="en-US" w:bidi="th-TH"/>
        </w:rPr>
        <w:t xml:space="preserve">บริษัท </w:t>
      </w:r>
      <w:bookmarkStart w:id="1" w:name="_Hlk33829559"/>
      <w:r w:rsidR="00A31026" w:rsidRPr="006470C6">
        <w:rPr>
          <w:rFonts w:cs="Angsana New"/>
          <w:b/>
          <w:bCs/>
          <w:color w:val="000000"/>
          <w:sz w:val="32"/>
          <w:szCs w:val="32"/>
          <w:cs/>
          <w:lang w:val="en-US" w:bidi="th-TH"/>
        </w:rPr>
        <w:t>เจนเนอรัล เอนจิเนียริ่ง</w:t>
      </w:r>
      <w:r w:rsidR="00A31026" w:rsidRPr="006470C6">
        <w:rPr>
          <w:rFonts w:ascii="Angsana New" w:hAnsi="Angsana New" w:cs="Angsana New"/>
          <w:b/>
          <w:bCs/>
          <w:color w:val="000000"/>
          <w:sz w:val="32"/>
          <w:szCs w:val="32"/>
          <w:lang w:val="en-US" w:bidi="th-TH"/>
        </w:rPr>
        <w:t xml:space="preserve"> </w:t>
      </w:r>
      <w:r w:rsidR="00A31026" w:rsidRPr="006470C6">
        <w:rPr>
          <w:rFonts w:cs="Angsana New"/>
          <w:b/>
          <w:bCs/>
          <w:color w:val="000000"/>
          <w:sz w:val="32"/>
          <w:szCs w:val="32"/>
          <w:cs/>
          <w:lang w:val="en-US" w:bidi="th-TH"/>
        </w:rPr>
        <w:t>จำกัด (มหาชน)</w:t>
      </w:r>
      <w:bookmarkEnd w:id="1"/>
    </w:p>
    <w:p w14:paraId="7154D149" w14:textId="77777777" w:rsidR="003F16DE" w:rsidRPr="006470C6" w:rsidRDefault="003F16DE" w:rsidP="006470C6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DEDDDA5" w14:textId="77777777" w:rsidR="00A05F0A" w:rsidRPr="006470C6" w:rsidRDefault="00E114D3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6470C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</w:t>
      </w:r>
      <w:r w:rsidR="00A31026" w:rsidRPr="006470C6">
        <w:rPr>
          <w:rFonts w:cs="Angsana New"/>
          <w:color w:val="000000"/>
          <w:spacing w:val="-6"/>
          <w:sz w:val="32"/>
          <w:szCs w:val="32"/>
          <w:cs/>
          <w:lang w:val="en-US" w:bidi="th-TH"/>
        </w:rPr>
        <w:t>บริษัท เจนเนอรัล เอนจิเนียริ่ง</w:t>
      </w:r>
      <w:r w:rsidR="00A31026" w:rsidRPr="006470C6">
        <w:rPr>
          <w:rFonts w:ascii="Angsana New" w:hAnsi="Angsana New" w:cs="Angsana New"/>
          <w:color w:val="000000"/>
          <w:spacing w:val="-6"/>
          <w:sz w:val="32"/>
          <w:szCs w:val="32"/>
          <w:lang w:val="en-US" w:bidi="th-TH"/>
        </w:rPr>
        <w:t xml:space="preserve"> </w:t>
      </w:r>
      <w:r w:rsidR="00A31026" w:rsidRPr="006470C6">
        <w:rPr>
          <w:rFonts w:cs="Angsana New"/>
          <w:color w:val="000000"/>
          <w:spacing w:val="-6"/>
          <w:sz w:val="32"/>
          <w:szCs w:val="32"/>
          <w:cs/>
          <w:lang w:val="en-US" w:bidi="th-TH"/>
        </w:rPr>
        <w:t>จำกัด</w:t>
      </w:r>
      <w:r w:rsidR="00A31026" w:rsidRPr="006470C6">
        <w:rPr>
          <w:rFonts w:cs="Angsana New"/>
          <w:color w:val="000000"/>
          <w:sz w:val="32"/>
          <w:szCs w:val="32"/>
          <w:cs/>
          <w:lang w:val="en-US" w:bidi="th-TH"/>
        </w:rPr>
        <w:t xml:space="preserve"> (มหาชน)</w:t>
      </w:r>
      <w:r w:rsidRPr="006470C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="00A05F0A"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Pr="006470C6">
        <w:rPr>
          <w:rFonts w:ascii="Angsana New" w:hAnsi="Angsana New" w:cs="Angsana New"/>
          <w:sz w:val="32"/>
          <w:szCs w:val="32"/>
          <w:lang w:bidi="th-TH"/>
        </w:rPr>
        <w:t>31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 มีนาคม </w:t>
      </w:r>
      <w:r w:rsidRPr="006470C6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DB0D30" w:rsidRPr="006470C6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="00A05F0A"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="00A05F0A"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233EDD" w:rsidRPr="006470C6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6470C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6470C6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และงบกระแสเงินสดรวม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6470C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6470C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สำหรับงวด</w:t>
      </w:r>
      <w:r w:rsidRPr="006470C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สาม</w:t>
      </w:r>
      <w:r w:rsidR="00233EDD" w:rsidRPr="006470C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เดือนสิ้นสุด</w:t>
      </w:r>
      <w:r w:rsidRPr="006470C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วันเดียวกันและหมายเหตุ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ประกอบงบการเงินระหว่างกาลแบบย่อ </w:t>
      </w:r>
      <w:r w:rsidRPr="006470C6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</w:t>
      </w:r>
      <w:r w:rsidRPr="006470C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6470C6">
        <w:rPr>
          <w:rFonts w:ascii="Angsana New" w:hAnsi="Angsana New" w:cs="Angsana New"/>
          <w:spacing w:val="-6"/>
          <w:sz w:val="32"/>
          <w:szCs w:val="32"/>
          <w:lang w:val="en-US" w:bidi="th-TH"/>
        </w:rPr>
        <w:t>34</w:t>
      </w:r>
      <w:r w:rsidRPr="006470C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ข้าพเจ้า</w:t>
      </w:r>
      <w:r w:rsidRPr="006470C6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เป็นผู้รับผิดชอบในการรายงานให้ข้อสรุปเกี่ยวกับข้อมูลทางการเงินระหว่างกาลดังกล่าวจากผลการ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สอบทานของข้าพเจ้า</w:t>
      </w:r>
    </w:p>
    <w:p w14:paraId="095CF429" w14:textId="77777777" w:rsidR="00CD4D4E" w:rsidRPr="006470C6" w:rsidRDefault="00CD4D4E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E0F8DFA" w14:textId="77777777" w:rsidR="003F16DE" w:rsidRPr="006470C6" w:rsidRDefault="00D20C85" w:rsidP="006470C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45C69BCB" w14:textId="77777777" w:rsidR="00D20C85" w:rsidRPr="006470C6" w:rsidRDefault="00D20C85" w:rsidP="006470C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6F538AC4" w14:textId="77777777" w:rsidR="00A05F0A" w:rsidRPr="006470C6" w:rsidRDefault="00C229F6" w:rsidP="006470C6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6470C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ยกเว้นเรื่องที่จะกล่าวไว้ในวรรคถัดไป </w:t>
      </w:r>
      <w:r w:rsidR="00927590" w:rsidRPr="006470C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</w:t>
      </w:r>
      <w:r w:rsidR="00927590" w:rsidRPr="006470C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รหัส </w:t>
      </w:r>
      <w:r w:rsidR="00927590" w:rsidRPr="006470C6">
        <w:rPr>
          <w:rFonts w:ascii="Angsana New" w:hAnsi="Angsana New" w:cs="Angsana New"/>
          <w:spacing w:val="-8"/>
          <w:sz w:val="32"/>
          <w:szCs w:val="32"/>
          <w:lang w:bidi="th-TH"/>
        </w:rPr>
        <w:t>2410</w:t>
      </w:r>
      <w:r w:rsidR="00927590" w:rsidRPr="006470C6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927590" w:rsidRPr="006470C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</w:t>
      </w:r>
      <w:r w:rsidR="00927590"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บัญชี </w:t>
      </w:r>
      <w:r w:rsidR="00927590" w:rsidRPr="006470C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และการวิเคราะห์เปรียบเทียบและวิธีการสอบทานอื่น</w:t>
      </w:r>
      <w:r w:rsidR="00DB0D30" w:rsidRPr="006470C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="00927590" w:rsidRPr="006470C6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การสอบทานนี้มีขอบเขตจํากัดกว่าการ</w:t>
      </w:r>
      <w:r w:rsidR="00927590" w:rsidRPr="006470C6">
        <w:rPr>
          <w:rFonts w:ascii="Angsana New" w:hAnsi="Angsana New" w:cs="Angsana New"/>
          <w:sz w:val="32"/>
          <w:szCs w:val="32"/>
          <w:cs/>
          <w:lang w:bidi="th-TH"/>
        </w:rPr>
        <w:t>ตรวจสอบตามมาตรฐานการสอบบัญชี</w:t>
      </w:r>
      <w:r w:rsidR="00927590" w:rsidRPr="006470C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27590"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ทําให้ข้าพเจ้าไม่สามารถได้ความเชื่อมั่นว่าจะพบเรื่องที่มีนัยสําคัญทั้งหมด </w:t>
      </w:r>
      <w:r w:rsidR="00927590" w:rsidRPr="006470C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ซึ่งอาจจะพบได้จากการ</w:t>
      </w:r>
      <w:r w:rsidR="00927590" w:rsidRPr="006470C6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72FF811A" w14:textId="77777777" w:rsidR="00927590" w:rsidRDefault="00927590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F08C50B" w14:textId="77777777" w:rsidR="006470C6" w:rsidRDefault="006470C6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E7C27EA" w14:textId="77777777" w:rsidR="00AA3D1F" w:rsidRDefault="00AA3D1F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C140B96" w14:textId="77777777" w:rsidR="00AA3D1F" w:rsidRDefault="00AA3D1F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0D2939" w14:textId="77777777" w:rsidR="006470C6" w:rsidRDefault="006470C6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BF33E3C" w14:textId="77777777" w:rsidR="006470C6" w:rsidRPr="006470C6" w:rsidRDefault="006470C6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DA7450E" w14:textId="77777777" w:rsidR="0028089B" w:rsidRPr="006470C6" w:rsidRDefault="0028089B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511324F" w14:textId="77777777" w:rsidR="00AB4F80" w:rsidRPr="006470C6" w:rsidRDefault="00AB4F80" w:rsidP="006470C6">
      <w:pPr>
        <w:spacing w:after="0" w:line="240" w:lineRule="auto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 w:bidi="th-TH"/>
        </w:rPr>
      </w:pPr>
      <w:r w:rsidRPr="006470C6">
        <w:rPr>
          <w:rFonts w:cs="Angsana New"/>
          <w:b/>
          <w:bCs/>
          <w:color w:val="000000"/>
          <w:sz w:val="32"/>
          <w:szCs w:val="32"/>
          <w:cs/>
          <w:lang w:val="en-US" w:bidi="th-TH"/>
        </w:rPr>
        <w:lastRenderedPageBreak/>
        <w:t>เกณฑ์ในการให้ข้อสรุปอย่างมีเงื่อนไข</w:t>
      </w:r>
    </w:p>
    <w:p w14:paraId="4FC3BCDE" w14:textId="77777777" w:rsidR="00AB4F80" w:rsidRPr="006470C6" w:rsidRDefault="00AB4F80" w:rsidP="006470C6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16"/>
          <w:szCs w:val="16"/>
          <w:lang w:val="en-US" w:bidi="th-TH"/>
        </w:rPr>
      </w:pPr>
    </w:p>
    <w:p w14:paraId="23316505" w14:textId="77777777" w:rsidR="00AB4F80" w:rsidRPr="00EF1AAF" w:rsidRDefault="005555D8" w:rsidP="006470C6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  <w:r w:rsidRPr="006470C6">
        <w:rPr>
          <w:rFonts w:cs="Angsana New"/>
          <w:color w:val="000000"/>
          <w:sz w:val="32"/>
          <w:szCs w:val="32"/>
          <w:cs/>
          <w:lang w:bidi="th-TH"/>
        </w:rPr>
        <w:t xml:space="preserve">ข้าพเจ้าไม่สามารถสอบทานมูลค่าเงินลงทุนในบริษัทร่วมตามวิธีส่วนได้เสีย ณ วันที่ </w:t>
      </w:r>
      <w:r w:rsidRPr="006470C6">
        <w:rPr>
          <w:rFonts w:ascii="Angsana New" w:hAnsi="Angsana New" w:cs="Angsana New"/>
          <w:color w:val="000000"/>
          <w:sz w:val="32"/>
          <w:szCs w:val="32"/>
          <w:lang w:bidi="th-TH"/>
        </w:rPr>
        <w:t xml:space="preserve">31 </w:t>
      </w:r>
      <w:r w:rsidRPr="006470C6">
        <w:rPr>
          <w:rFonts w:cs="Angsana New"/>
          <w:color w:val="000000"/>
          <w:sz w:val="32"/>
          <w:szCs w:val="32"/>
          <w:cs/>
          <w:lang w:bidi="th-TH"/>
        </w:rPr>
        <w:t xml:space="preserve">มีนาคม </w:t>
      </w:r>
      <w:r w:rsidRPr="006470C6">
        <w:rPr>
          <w:rFonts w:ascii="Angsana New" w:hAnsi="Angsana New" w:cs="Angsana New"/>
          <w:color w:val="000000"/>
          <w:sz w:val="32"/>
          <w:szCs w:val="32"/>
          <w:lang w:bidi="th-TH"/>
        </w:rPr>
        <w:t>256</w:t>
      </w:r>
      <w:r w:rsidRPr="006470C6">
        <w:rPr>
          <w:rFonts w:cs="Angsana New"/>
          <w:color w:val="000000"/>
          <w:sz w:val="32"/>
          <w:szCs w:val="32"/>
          <w:cs/>
          <w:lang w:val="en-US" w:bidi="th-TH"/>
        </w:rPr>
        <w:t>3</w:t>
      </w:r>
      <w:r w:rsidRPr="006470C6">
        <w:rPr>
          <w:rFonts w:ascii="Angsana New" w:hAnsi="Angsana New" w:cs="Angsana New"/>
          <w:color w:val="000000"/>
          <w:sz w:val="32"/>
          <w:szCs w:val="32"/>
          <w:lang w:bidi="th-TH"/>
        </w:rPr>
        <w:t xml:space="preserve"> </w:t>
      </w:r>
      <w:r w:rsidRPr="006470C6">
        <w:rPr>
          <w:rFonts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41070A" w:rsidRPr="006470C6">
        <w:rPr>
          <w:rFonts w:ascii="Angsana New" w:hAnsi="Angsana New" w:cs="Angsana New"/>
          <w:color w:val="000000"/>
          <w:sz w:val="32"/>
          <w:szCs w:val="32"/>
          <w:lang w:bidi="th-TH"/>
        </w:rPr>
        <w:t>164.78</w:t>
      </w:r>
      <w:r w:rsidRPr="006470C6">
        <w:rPr>
          <w:rFonts w:ascii="Angsana New" w:hAnsi="Angsana New" w:cs="Angsana New"/>
          <w:color w:val="000000"/>
          <w:sz w:val="32"/>
          <w:szCs w:val="32"/>
          <w:lang w:bidi="th-TH"/>
        </w:rPr>
        <w:t xml:space="preserve"> </w:t>
      </w:r>
      <w:r w:rsidRPr="006470C6">
        <w:rPr>
          <w:rFonts w:cs="Angsana New"/>
          <w:color w:val="000000"/>
          <w:sz w:val="32"/>
          <w:szCs w:val="32"/>
          <w:cs/>
          <w:lang w:bidi="th-TH"/>
        </w:rPr>
        <w:t xml:space="preserve">ล้านบาท และส่วนแบ่งกำไรของบริษัทร่วมตามวิธีส่วนได้เสียสำหรับงวดสามเดือนสิ้นสุดวันเดียวกัน จำนวน </w:t>
      </w:r>
      <w:r w:rsidR="0041070A" w:rsidRPr="006470C6">
        <w:rPr>
          <w:rFonts w:ascii="Angsana New" w:hAnsi="Angsana New" w:cs="Angsana New"/>
          <w:color w:val="000000"/>
          <w:sz w:val="32"/>
          <w:szCs w:val="32"/>
          <w:lang w:val="en-US" w:bidi="th-TH"/>
        </w:rPr>
        <w:t>0.98</w:t>
      </w:r>
      <w:r w:rsidRPr="006470C6">
        <w:rPr>
          <w:rFonts w:cs="Angsana New"/>
          <w:color w:val="000000"/>
          <w:sz w:val="32"/>
          <w:szCs w:val="32"/>
          <w:cs/>
          <w:lang w:bidi="th-TH"/>
        </w:rPr>
        <w:t xml:space="preserve"> ล้านบาท </w:t>
      </w:r>
      <w:r w:rsidR="004B7D44" w:rsidRPr="006470C6">
        <w:rPr>
          <w:rFonts w:cs="Angsana New"/>
          <w:color w:val="000000"/>
          <w:sz w:val="32"/>
          <w:szCs w:val="32"/>
          <w:cs/>
          <w:lang w:bidi="th-TH"/>
        </w:rPr>
        <w:t>ซึ่งแสดงรายการ</w:t>
      </w:r>
      <w:r w:rsidRPr="006470C6">
        <w:rPr>
          <w:rFonts w:cs="Angsana New"/>
          <w:color w:val="000000"/>
          <w:sz w:val="32"/>
          <w:szCs w:val="32"/>
          <w:cs/>
          <w:lang w:bidi="th-TH"/>
        </w:rPr>
        <w:t>ในงบการเงินรวม</w:t>
      </w:r>
      <w:r w:rsidR="00AB4F80" w:rsidRPr="006470C6">
        <w:rPr>
          <w:rFonts w:cs="Angsana New"/>
          <w:color w:val="000000"/>
          <w:sz w:val="32"/>
          <w:szCs w:val="32"/>
          <w:cs/>
          <w:lang w:bidi="th-TH"/>
        </w:rPr>
        <w:t>ได้</w:t>
      </w:r>
      <w:r w:rsidRPr="006470C6">
        <w:rPr>
          <w:rFonts w:cs="Angsana New"/>
          <w:color w:val="000000"/>
          <w:sz w:val="32"/>
          <w:szCs w:val="32"/>
          <w:cs/>
          <w:lang w:bidi="th-TH"/>
        </w:rPr>
        <w:t xml:space="preserve"> </w:t>
      </w:r>
      <w:r w:rsidR="00AB4F80" w:rsidRPr="006470C6">
        <w:rPr>
          <w:rFonts w:cs="Angsana New"/>
          <w:color w:val="000000"/>
          <w:sz w:val="32"/>
          <w:szCs w:val="32"/>
          <w:cs/>
          <w:lang w:bidi="th-TH"/>
        </w:rPr>
        <w:t xml:space="preserve">เนื่องจากผู้สอบบัญชีของบริษัทร่วมไม่สามารถประเมินผลกระทบที่อาจเกิดขึ้น (ถ้ามี) จากงานระหว่างก่อสร้างที่ดำเนินการก่อสร้างไปแล้วกว่าร้อยละ </w:t>
      </w:r>
      <w:r w:rsidR="00AB4F80" w:rsidRPr="006470C6">
        <w:rPr>
          <w:rFonts w:ascii="Angsana New" w:hAnsi="Angsana New" w:cs="Angsana New"/>
          <w:color w:val="000000"/>
          <w:sz w:val="32"/>
          <w:szCs w:val="32"/>
          <w:lang w:val="en-US" w:bidi="th-TH"/>
        </w:rPr>
        <w:t xml:space="preserve">80 </w:t>
      </w:r>
      <w:r w:rsidR="00AB4F80" w:rsidRPr="006470C6">
        <w:rPr>
          <w:rFonts w:cs="Angsana New"/>
          <w:color w:val="000000"/>
          <w:sz w:val="32"/>
          <w:szCs w:val="32"/>
          <w:cs/>
          <w:lang w:val="en-US" w:bidi="th-TH"/>
        </w:rPr>
        <w:t xml:space="preserve">แต่ยังไม่สามารถเบิกเงินค่าผลงานได้บางส่วนจำนวน </w:t>
      </w:r>
      <w:r w:rsidR="00AB4F80" w:rsidRPr="006470C6">
        <w:rPr>
          <w:rFonts w:ascii="Angsana New" w:hAnsi="Angsana New" w:cs="Angsana New"/>
          <w:color w:val="000000"/>
          <w:sz w:val="32"/>
          <w:szCs w:val="32"/>
          <w:lang w:val="en-US" w:bidi="th-TH"/>
        </w:rPr>
        <w:t>394.65</w:t>
      </w:r>
      <w:r w:rsidR="00AB4F80" w:rsidRPr="006470C6">
        <w:rPr>
          <w:rFonts w:cs="Angsana New"/>
          <w:color w:val="000000"/>
          <w:sz w:val="32"/>
          <w:szCs w:val="32"/>
          <w:cs/>
          <w:lang w:val="en-US" w:bidi="th-TH"/>
        </w:rPr>
        <w:t xml:space="preserve"> ล้านบาท ทั้งนี้การเรียกเก็บเงินค่าผลงานดังกล่าวขึ้นอยู่กับการอนุมัติการแก้ไขสัญญาและการขยายระยะเวลาแล้วเสร็จของสัญญาจากผู้ว่าจ้างซึ่งยังไม่สามารถสรุปได้ </w:t>
      </w:r>
      <w:r w:rsidR="00E029E8" w:rsidRPr="006470C6">
        <w:rPr>
          <w:rFonts w:cs="Angsana New"/>
          <w:color w:val="000000"/>
          <w:sz w:val="32"/>
          <w:szCs w:val="32"/>
          <w:cs/>
          <w:lang w:bidi="th-TH"/>
        </w:rPr>
        <w:t>ซึ่ง</w:t>
      </w:r>
      <w:r w:rsidRPr="006470C6">
        <w:rPr>
          <w:rFonts w:cs="Angsana New"/>
          <w:color w:val="000000"/>
          <w:sz w:val="32"/>
          <w:szCs w:val="32"/>
          <w:cs/>
          <w:lang w:bidi="th-TH"/>
        </w:rPr>
        <w:t>หาก</w:t>
      </w:r>
      <w:r w:rsidR="00AB4F80" w:rsidRPr="006470C6">
        <w:rPr>
          <w:rFonts w:cs="Angsana New"/>
          <w:color w:val="000000"/>
          <w:sz w:val="32"/>
          <w:szCs w:val="32"/>
          <w:cs/>
          <w:lang w:bidi="th-TH"/>
        </w:rPr>
        <w:t>ข้าพเจ้า</w:t>
      </w:r>
      <w:r w:rsidRPr="006470C6">
        <w:rPr>
          <w:rFonts w:cs="Angsana New"/>
          <w:color w:val="000000"/>
          <w:sz w:val="32"/>
          <w:szCs w:val="32"/>
          <w:cs/>
          <w:lang w:bidi="th-TH"/>
        </w:rPr>
        <w:t>สามารถสอบทานมูลค่าเงินลงทุน</w:t>
      </w:r>
      <w:r w:rsidRPr="00EF1AAF">
        <w:rPr>
          <w:rFonts w:cs="Angsana New"/>
          <w:color w:val="000000"/>
          <w:spacing w:val="6"/>
          <w:sz w:val="32"/>
          <w:szCs w:val="32"/>
          <w:cs/>
          <w:lang w:bidi="th-TH"/>
        </w:rPr>
        <w:t>ในบริษัทร่วมและส่วนแบ่ง</w:t>
      </w:r>
      <w:r w:rsidR="005C05BA" w:rsidRPr="00EF1AAF">
        <w:rPr>
          <w:rFonts w:cs="Angsana New"/>
          <w:color w:val="000000"/>
          <w:spacing w:val="6"/>
          <w:sz w:val="32"/>
          <w:szCs w:val="32"/>
          <w:cs/>
          <w:lang w:bidi="th-TH"/>
        </w:rPr>
        <w:t>กำไร</w:t>
      </w:r>
      <w:r w:rsidRPr="00EF1AAF">
        <w:rPr>
          <w:rFonts w:cs="Angsana New"/>
          <w:color w:val="000000"/>
          <w:spacing w:val="6"/>
          <w:sz w:val="32"/>
          <w:szCs w:val="32"/>
          <w:cs/>
          <w:lang w:bidi="th-TH"/>
        </w:rPr>
        <w:t>ของบริษัทร่วมตามวิธีส่วนได้เสียดังกล่าวได้ ข้าพเจ้าอาจพบเหตุ</w:t>
      </w:r>
      <w:r w:rsidR="00EF1AAF">
        <w:rPr>
          <w:rFonts w:ascii="Angsana New" w:hAnsi="Angsana New" w:cs="Angsana New"/>
          <w:color w:val="000000"/>
          <w:spacing w:val="6"/>
          <w:sz w:val="32"/>
          <w:szCs w:val="32"/>
          <w:lang w:bidi="th-TH"/>
        </w:rPr>
        <w:t xml:space="preserve"> </w:t>
      </w:r>
      <w:r w:rsidRPr="00EF1AAF">
        <w:rPr>
          <w:rFonts w:cs="Angsana New"/>
          <w:color w:val="000000"/>
          <w:sz w:val="32"/>
          <w:szCs w:val="32"/>
          <w:cs/>
          <w:lang w:bidi="th-TH"/>
        </w:rPr>
        <w:t>ที่แสดงว่าอาจจำเป็นต้องมีรายการ</w:t>
      </w:r>
      <w:r w:rsidR="00AB4F80" w:rsidRPr="00EF1AAF">
        <w:rPr>
          <w:rFonts w:cs="Angsana New"/>
          <w:color w:val="000000"/>
          <w:sz w:val="32"/>
          <w:szCs w:val="32"/>
          <w:cs/>
          <w:lang w:bidi="th-TH"/>
        </w:rPr>
        <w:t>ปรับปรุง</w:t>
      </w:r>
      <w:r w:rsidRPr="00EF1AAF">
        <w:rPr>
          <w:rFonts w:cs="Angsana New"/>
          <w:color w:val="000000"/>
          <w:sz w:val="32"/>
          <w:szCs w:val="32"/>
          <w:cs/>
          <w:lang w:bidi="th-TH"/>
        </w:rPr>
        <w:t>ต่อข้อมูลทางการเงินระหว่างกาลดังกล่าว</w:t>
      </w:r>
    </w:p>
    <w:p w14:paraId="38FD3886" w14:textId="77777777" w:rsidR="00AB4F80" w:rsidRPr="006470C6" w:rsidRDefault="00AB4F80" w:rsidP="006470C6">
      <w:pPr>
        <w:spacing w:after="0" w:line="240" w:lineRule="auto"/>
        <w:jc w:val="thaiDistribute"/>
        <w:rPr>
          <w:rFonts w:cs="Angsana New"/>
          <w:color w:val="000000"/>
          <w:sz w:val="16"/>
          <w:szCs w:val="16"/>
          <w:cs/>
          <w:lang w:val="en-US" w:bidi="th-TH"/>
        </w:rPr>
      </w:pPr>
    </w:p>
    <w:p w14:paraId="656E3FFF" w14:textId="77777777" w:rsidR="005C05BA" w:rsidRPr="00EF1AAF" w:rsidRDefault="007B05D4" w:rsidP="006470C6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  <w:lang w:bidi="th-TH"/>
        </w:rPr>
      </w:pPr>
      <w:r w:rsidRPr="006470C6">
        <w:rPr>
          <w:rFonts w:cs="Angsana New"/>
          <w:color w:val="000000"/>
          <w:sz w:val="32"/>
          <w:szCs w:val="32"/>
          <w:cs/>
          <w:lang w:bidi="th-TH"/>
        </w:rPr>
        <w:t xml:space="preserve">ข้าพเจ้าไม่สามารถสอบทานมูลค่าเงินลงทุนในการร่วมค้าตามวิธีส่วนได้เสีย ณ วันที่ </w:t>
      </w:r>
      <w:r w:rsidRPr="006470C6">
        <w:rPr>
          <w:rFonts w:ascii="Angsana New" w:hAnsi="Angsana New" w:cs="Angsana New"/>
          <w:color w:val="000000"/>
          <w:sz w:val="32"/>
          <w:szCs w:val="32"/>
          <w:lang w:bidi="th-TH"/>
        </w:rPr>
        <w:t xml:space="preserve">31 </w:t>
      </w:r>
      <w:r w:rsidRPr="006470C6">
        <w:rPr>
          <w:rFonts w:cs="Angsana New"/>
          <w:color w:val="000000"/>
          <w:sz w:val="32"/>
          <w:szCs w:val="32"/>
          <w:cs/>
          <w:lang w:bidi="th-TH"/>
        </w:rPr>
        <w:t xml:space="preserve">มีนาคม </w:t>
      </w:r>
      <w:r w:rsidRPr="006470C6">
        <w:rPr>
          <w:rFonts w:ascii="Angsana New" w:hAnsi="Angsana New" w:cs="Angsana New"/>
          <w:color w:val="000000"/>
          <w:sz w:val="32"/>
          <w:szCs w:val="32"/>
          <w:lang w:bidi="th-TH"/>
        </w:rPr>
        <w:t>256</w:t>
      </w:r>
      <w:r w:rsidRPr="006470C6">
        <w:rPr>
          <w:rFonts w:cs="Angsana New"/>
          <w:color w:val="000000"/>
          <w:sz w:val="32"/>
          <w:szCs w:val="32"/>
          <w:cs/>
          <w:lang w:val="en-US" w:bidi="th-TH"/>
        </w:rPr>
        <w:t>3</w:t>
      </w:r>
      <w:r w:rsidRPr="006470C6">
        <w:rPr>
          <w:rFonts w:ascii="Angsana New" w:hAnsi="Angsana New" w:cs="Angsana New"/>
          <w:color w:val="000000"/>
          <w:sz w:val="32"/>
          <w:szCs w:val="32"/>
          <w:lang w:bidi="th-TH"/>
        </w:rPr>
        <w:t xml:space="preserve"> </w:t>
      </w:r>
      <w:r w:rsidRPr="00EF1AAF">
        <w:rPr>
          <w:rFonts w:cs="Angsana New"/>
          <w:color w:val="000000"/>
          <w:spacing w:val="-4"/>
          <w:sz w:val="32"/>
          <w:szCs w:val="32"/>
          <w:cs/>
          <w:lang w:bidi="th-TH"/>
        </w:rPr>
        <w:t xml:space="preserve">จำนวน </w:t>
      </w:r>
      <w:r w:rsidR="0041070A" w:rsidRPr="00EF1AAF">
        <w:rPr>
          <w:rFonts w:ascii="Angsana New" w:hAnsi="Angsana New" w:cs="Angsana New"/>
          <w:color w:val="000000"/>
          <w:spacing w:val="-4"/>
          <w:sz w:val="32"/>
          <w:szCs w:val="32"/>
          <w:lang w:bidi="th-TH"/>
        </w:rPr>
        <w:t>11</w:t>
      </w:r>
      <w:r w:rsidR="005E252A">
        <w:rPr>
          <w:rFonts w:ascii="Angsana New" w:hAnsi="Angsana New" w:cs="Angsana New"/>
          <w:color w:val="000000"/>
          <w:spacing w:val="-4"/>
          <w:sz w:val="32"/>
          <w:szCs w:val="32"/>
          <w:lang w:bidi="th-TH"/>
        </w:rPr>
        <w:t>3.66</w:t>
      </w:r>
      <w:r w:rsidRPr="00EF1AAF">
        <w:rPr>
          <w:rFonts w:ascii="Angsana New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EF1AAF">
        <w:rPr>
          <w:rFonts w:cs="Angsana New"/>
          <w:color w:val="000000"/>
          <w:spacing w:val="-4"/>
          <w:sz w:val="32"/>
          <w:szCs w:val="32"/>
          <w:cs/>
          <w:lang w:bidi="th-TH"/>
        </w:rPr>
        <w:t>ล้านบาท และส่วนแบ่งกำไรของการร่วมค้าตามวิธีส่วนได้เสียสำหรับงวดสามเดือน</w:t>
      </w:r>
      <w:r w:rsidRPr="006470C6">
        <w:rPr>
          <w:rFonts w:cs="Angsana New"/>
          <w:color w:val="000000"/>
          <w:sz w:val="32"/>
          <w:szCs w:val="32"/>
          <w:cs/>
          <w:lang w:bidi="th-TH"/>
        </w:rPr>
        <w:t>สิ้นสุด</w:t>
      </w:r>
      <w:r w:rsidRPr="00EF1AAF">
        <w:rPr>
          <w:rFonts w:cs="Angsana New"/>
          <w:color w:val="000000"/>
          <w:spacing w:val="-8"/>
          <w:sz w:val="32"/>
          <w:szCs w:val="32"/>
          <w:cs/>
          <w:lang w:bidi="th-TH"/>
        </w:rPr>
        <w:t xml:space="preserve">วันเดียวกัน จำนวน </w:t>
      </w:r>
      <w:r w:rsidR="00B36945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>2.57</w:t>
      </w:r>
      <w:r w:rsidRPr="00EF1AAF">
        <w:rPr>
          <w:rFonts w:cs="Angsana New"/>
          <w:color w:val="000000"/>
          <w:spacing w:val="-8"/>
          <w:sz w:val="32"/>
          <w:szCs w:val="32"/>
          <w:cs/>
          <w:lang w:bidi="th-TH"/>
        </w:rPr>
        <w:t xml:space="preserve"> ล้านบาท </w:t>
      </w:r>
      <w:r w:rsidR="004B7D44" w:rsidRPr="00EF1AAF">
        <w:rPr>
          <w:rFonts w:cs="Angsana New"/>
          <w:color w:val="000000"/>
          <w:spacing w:val="-8"/>
          <w:sz w:val="32"/>
          <w:szCs w:val="32"/>
          <w:cs/>
          <w:lang w:bidi="th-TH"/>
        </w:rPr>
        <w:t>ซึ่งแสดงรายการ</w:t>
      </w:r>
      <w:r w:rsidRPr="00EF1AAF">
        <w:rPr>
          <w:rFonts w:cs="Angsana New"/>
          <w:color w:val="000000"/>
          <w:spacing w:val="-8"/>
          <w:sz w:val="32"/>
          <w:szCs w:val="32"/>
          <w:cs/>
          <w:lang w:bidi="th-TH"/>
        </w:rPr>
        <w:t>ในงบการเงินรวมได้ เนื่องจาก</w:t>
      </w:r>
      <w:r w:rsidR="00F27876" w:rsidRPr="00EF1AAF">
        <w:rPr>
          <w:rFonts w:cs="Angsana New"/>
          <w:color w:val="000000"/>
          <w:spacing w:val="-8"/>
          <w:sz w:val="32"/>
          <w:szCs w:val="32"/>
          <w:cs/>
          <w:lang w:bidi="th-TH"/>
        </w:rPr>
        <w:t>ข้าพเจ้า</w:t>
      </w:r>
      <w:r w:rsidR="002A38CC" w:rsidRPr="00EF1AAF">
        <w:rPr>
          <w:rFonts w:cs="Angsana New"/>
          <w:color w:val="000000"/>
          <w:spacing w:val="-8"/>
          <w:sz w:val="32"/>
          <w:szCs w:val="32"/>
          <w:cs/>
          <w:lang w:bidi="th-TH"/>
        </w:rPr>
        <w:t>ยัง</w:t>
      </w:r>
      <w:r w:rsidR="00F27876" w:rsidRPr="00EF1AAF">
        <w:rPr>
          <w:rFonts w:cs="Angsana New"/>
          <w:color w:val="000000"/>
          <w:spacing w:val="-8"/>
          <w:sz w:val="32"/>
          <w:szCs w:val="32"/>
          <w:cs/>
          <w:lang w:bidi="th-TH"/>
        </w:rPr>
        <w:t>ไม่ได้รับ</w:t>
      </w:r>
      <w:r w:rsidR="00F27876" w:rsidRPr="00EF1AAF">
        <w:rPr>
          <w:rFonts w:cs="Angsana New"/>
          <w:color w:val="000000"/>
          <w:sz w:val="32"/>
          <w:szCs w:val="32"/>
          <w:cs/>
          <w:lang w:bidi="th-TH"/>
        </w:rPr>
        <w:t>รายงาน</w:t>
      </w:r>
      <w:r w:rsidR="00F27876" w:rsidRPr="00EF1AAF">
        <w:rPr>
          <w:rFonts w:ascii="Angsana New" w:hAnsi="Angsana New" w:cs="Angsana New"/>
          <w:b/>
          <w:sz w:val="32"/>
          <w:szCs w:val="32"/>
          <w:cs/>
          <w:lang w:val="en-US" w:bidi="th-TH"/>
        </w:rPr>
        <w:t>การสอบทานข้อมูลทางการเงินระหว่างกาลโดย</w:t>
      </w:r>
      <w:r w:rsidR="00F27876" w:rsidRPr="00EF1AAF">
        <w:rPr>
          <w:rFonts w:ascii="Angsana New" w:hAnsi="Angsana New" w:cs="Angsana New"/>
          <w:b/>
          <w:color w:val="000000" w:themeColor="text1"/>
          <w:sz w:val="32"/>
          <w:szCs w:val="32"/>
          <w:cs/>
          <w:lang w:val="en-US" w:bidi="th-TH"/>
        </w:rPr>
        <w:t>ผู้สอบบัญชี</w:t>
      </w:r>
      <w:r w:rsidR="00AB4F80" w:rsidRPr="00EF1AAF">
        <w:rPr>
          <w:rFonts w:cs="Angsana New"/>
          <w:color w:val="000000"/>
          <w:sz w:val="32"/>
          <w:szCs w:val="32"/>
          <w:cs/>
          <w:lang w:bidi="th-TH"/>
        </w:rPr>
        <w:t>ของ</w:t>
      </w:r>
      <w:r w:rsidR="0041436D" w:rsidRPr="00EF1AAF">
        <w:rPr>
          <w:rFonts w:cs="Angsana New"/>
          <w:color w:val="000000"/>
          <w:sz w:val="32"/>
          <w:szCs w:val="32"/>
          <w:cs/>
          <w:lang w:bidi="th-TH"/>
        </w:rPr>
        <w:t>กิจการร่</w:t>
      </w:r>
      <w:r w:rsidR="00AB4F80" w:rsidRPr="00EF1AAF">
        <w:rPr>
          <w:rFonts w:cs="Angsana New"/>
          <w:color w:val="000000"/>
          <w:sz w:val="32"/>
          <w:szCs w:val="32"/>
          <w:cs/>
          <w:lang w:bidi="th-TH"/>
        </w:rPr>
        <w:t>วมค้า</w:t>
      </w:r>
      <w:r w:rsidR="002A38CC" w:rsidRPr="00EF1AAF">
        <w:rPr>
          <w:rFonts w:cs="Angsana New"/>
          <w:color w:val="000000"/>
          <w:sz w:val="32"/>
          <w:szCs w:val="32"/>
          <w:cs/>
          <w:lang w:bidi="th-TH"/>
        </w:rPr>
        <w:t xml:space="preserve"> </w:t>
      </w:r>
      <w:r w:rsidR="005C05BA" w:rsidRPr="00EF1AAF">
        <w:rPr>
          <w:rFonts w:cs="Angsana New"/>
          <w:color w:val="000000"/>
          <w:sz w:val="32"/>
          <w:szCs w:val="32"/>
          <w:cs/>
          <w:lang w:bidi="th-TH"/>
        </w:rPr>
        <w:t xml:space="preserve">ซึ่งหากข้าพเจ้าสามารถสอบทานมูลค่าเงินลงทุนในการร่วมค้าและส่วนแบ่งกำไรของการร่วมค้าตามวิธีส่วนได้เสียดังกล่าวได้ </w:t>
      </w:r>
      <w:r w:rsidR="005C05BA" w:rsidRPr="00EF1AAF">
        <w:rPr>
          <w:rFonts w:cs="Angsana New"/>
          <w:color w:val="000000"/>
          <w:spacing w:val="-2"/>
          <w:sz w:val="32"/>
          <w:szCs w:val="32"/>
          <w:cs/>
          <w:lang w:bidi="th-TH"/>
        </w:rPr>
        <w:t>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519A193D" w14:textId="77777777" w:rsidR="00AB4F80" w:rsidRPr="006470C6" w:rsidRDefault="00AB4F80" w:rsidP="006470C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1FC71FD0" w14:textId="77777777" w:rsidR="00330AA1" w:rsidRPr="006470C6" w:rsidRDefault="00D20C85" w:rsidP="006470C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  <w:r w:rsidR="001265E0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อย่างมีเงื่อนไข</w:t>
      </w:r>
    </w:p>
    <w:p w14:paraId="351C428F" w14:textId="77777777" w:rsidR="00330AA1" w:rsidRPr="006470C6" w:rsidRDefault="00330AA1" w:rsidP="006470C6">
      <w:pPr>
        <w:spacing w:after="0" w:line="240" w:lineRule="auto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1832332E" w14:textId="77777777" w:rsidR="00A05F0A" w:rsidRPr="006470C6" w:rsidRDefault="00930E83" w:rsidP="006470C6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6470C6">
        <w:rPr>
          <w:rFonts w:ascii="Angsana New" w:hAnsi="Angsana New" w:cs="Angsana New"/>
          <w:sz w:val="32"/>
          <w:szCs w:val="32"/>
          <w:cs/>
          <w:lang w:val="en-US" w:bidi="th-TH"/>
        </w:rPr>
        <w:t>ยกเว้น</w:t>
      </w:r>
      <w:r w:rsidR="001C4696" w:rsidRPr="006470C6">
        <w:rPr>
          <w:rFonts w:ascii="Angsana New" w:hAnsi="Angsana New" w:cs="Angsana New"/>
          <w:sz w:val="32"/>
          <w:szCs w:val="32"/>
          <w:cs/>
          <w:lang w:val="en-US" w:bidi="th-TH"/>
        </w:rPr>
        <w:t>ผลของรายการปรับปรุงต่องบการเงินระหว่างกาลซึ่ง</w:t>
      </w:r>
      <w:r w:rsidR="00927590" w:rsidRPr="006470C6">
        <w:rPr>
          <w:rFonts w:ascii="Angsana New" w:hAnsi="Angsana New" w:cs="Angsana New"/>
          <w:sz w:val="32"/>
          <w:szCs w:val="32"/>
          <w:cs/>
          <w:lang w:bidi="th-TH"/>
        </w:rPr>
        <w:t>ข้าพเจ้า</w:t>
      </w:r>
      <w:r w:rsidR="001C4696" w:rsidRPr="006470C6">
        <w:rPr>
          <w:rFonts w:ascii="Angsana New" w:hAnsi="Angsana New" w:cs="Angsana New"/>
          <w:sz w:val="32"/>
          <w:szCs w:val="32"/>
          <w:cs/>
          <w:lang w:bidi="th-TH"/>
        </w:rPr>
        <w:t>อาจ</w:t>
      </w:r>
      <w:r w:rsidR="00927590" w:rsidRPr="006470C6">
        <w:rPr>
          <w:rFonts w:ascii="Angsana New" w:hAnsi="Angsana New" w:cs="Angsana New"/>
          <w:sz w:val="32"/>
          <w:szCs w:val="32"/>
          <w:cs/>
          <w:lang w:bidi="th-TH"/>
        </w:rPr>
        <w:t>พบ</w:t>
      </w:r>
      <w:r w:rsidR="001C4696" w:rsidRPr="006470C6">
        <w:rPr>
          <w:rFonts w:ascii="Angsana New" w:hAnsi="Angsana New" w:cs="Angsana New"/>
          <w:sz w:val="32"/>
          <w:szCs w:val="32"/>
          <w:cs/>
          <w:lang w:bidi="th-TH"/>
        </w:rPr>
        <w:t>หากไม่เกิดสถานการณ์ตามที่กล่าวข้างต้น ข้าพเจ้าไม่พบ</w:t>
      </w:r>
      <w:r w:rsidR="00927590"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="00927590" w:rsidRPr="006470C6">
        <w:rPr>
          <w:rFonts w:ascii="Angsana New" w:hAnsi="Angsana New" w:cs="Angsana New"/>
          <w:sz w:val="32"/>
          <w:szCs w:val="32"/>
          <w:lang w:bidi="th-TH"/>
        </w:rPr>
        <w:t>34</w:t>
      </w:r>
      <w:r w:rsidR="00927590"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จากการสอบทานของข้าพเจ้า</w:t>
      </w:r>
    </w:p>
    <w:p w14:paraId="58E22D46" w14:textId="77777777" w:rsidR="00A52E1B" w:rsidRPr="006470C6" w:rsidRDefault="00A52E1B" w:rsidP="006470C6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77EFADCB" w14:textId="77777777" w:rsidR="006E12E7" w:rsidRPr="006470C6" w:rsidRDefault="006E12E7" w:rsidP="006470C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เรื่องอื่น</w:t>
      </w:r>
    </w:p>
    <w:p w14:paraId="40EB3D02" w14:textId="77777777" w:rsidR="006E12E7" w:rsidRPr="006470C6" w:rsidRDefault="006E12E7" w:rsidP="006470C6">
      <w:pPr>
        <w:spacing w:after="0" w:line="240" w:lineRule="auto"/>
        <w:jc w:val="thaiDistribute"/>
        <w:rPr>
          <w:rFonts w:ascii="Angsana New" w:hAnsi="Angsana New" w:cs="Angsana New"/>
          <w:spacing w:val="4"/>
          <w:sz w:val="16"/>
          <w:szCs w:val="16"/>
          <w:lang w:bidi="th-TH"/>
        </w:rPr>
      </w:pPr>
    </w:p>
    <w:p w14:paraId="1B903DBC" w14:textId="77777777" w:rsidR="005B65F3" w:rsidRPr="006470C6" w:rsidRDefault="005B65F3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F1AA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งบแสดงฐานะการเงินรวมของ</w:t>
      </w:r>
      <w:r w:rsidR="00A31026" w:rsidRPr="00EF1AAF">
        <w:rPr>
          <w:rFonts w:cs="Angsana New"/>
          <w:color w:val="000000"/>
          <w:spacing w:val="-4"/>
          <w:sz w:val="32"/>
          <w:szCs w:val="32"/>
          <w:cs/>
          <w:lang w:val="en-US" w:bidi="th-TH"/>
        </w:rPr>
        <w:t>บริษัท เจนเนอรัล เอนจิเนียริ่ง</w:t>
      </w:r>
      <w:r w:rsidR="00A31026" w:rsidRPr="00EF1AAF">
        <w:rPr>
          <w:rFonts w:ascii="Angsana New" w:hAnsi="Angsana New" w:cs="Angsana New"/>
          <w:color w:val="000000"/>
          <w:spacing w:val="-4"/>
          <w:sz w:val="32"/>
          <w:szCs w:val="32"/>
          <w:lang w:val="en-US" w:bidi="th-TH"/>
        </w:rPr>
        <w:t xml:space="preserve"> </w:t>
      </w:r>
      <w:r w:rsidR="00A31026" w:rsidRPr="00EF1AAF">
        <w:rPr>
          <w:rFonts w:cs="Angsana New"/>
          <w:color w:val="000000"/>
          <w:spacing w:val="-4"/>
          <w:sz w:val="32"/>
          <w:szCs w:val="32"/>
          <w:cs/>
          <w:lang w:val="en-US" w:bidi="th-TH"/>
        </w:rPr>
        <w:t>จำกัด (มหาชน)</w:t>
      </w:r>
      <w:r w:rsidRPr="00EF1AA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และบริษัทย่อย และงบ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แสดง</w:t>
      </w:r>
      <w:r w:rsidRPr="00EF1AA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ฐานะการเงินเฉพาะของ</w:t>
      </w:r>
      <w:r w:rsidR="00A31026" w:rsidRPr="00EF1AAF">
        <w:rPr>
          <w:rFonts w:cs="Angsana New"/>
          <w:color w:val="000000"/>
          <w:spacing w:val="-4"/>
          <w:sz w:val="32"/>
          <w:szCs w:val="32"/>
          <w:cs/>
          <w:lang w:val="en-US" w:bidi="th-TH"/>
        </w:rPr>
        <w:t>บริษัท เจนเนอรัล เอนจิเนียริ่ง</w:t>
      </w:r>
      <w:r w:rsidR="00A31026" w:rsidRPr="00EF1AAF">
        <w:rPr>
          <w:rFonts w:ascii="Angsana New" w:hAnsi="Angsana New" w:cs="Angsana New"/>
          <w:color w:val="000000"/>
          <w:spacing w:val="-4"/>
          <w:sz w:val="32"/>
          <w:szCs w:val="32"/>
          <w:lang w:val="en-US" w:bidi="th-TH"/>
        </w:rPr>
        <w:t xml:space="preserve"> </w:t>
      </w:r>
      <w:r w:rsidR="00A31026" w:rsidRPr="00EF1AAF">
        <w:rPr>
          <w:rFonts w:cs="Angsana New"/>
          <w:color w:val="000000"/>
          <w:spacing w:val="-4"/>
          <w:sz w:val="32"/>
          <w:szCs w:val="32"/>
          <w:cs/>
          <w:lang w:val="en-US" w:bidi="th-TH"/>
        </w:rPr>
        <w:t>จำกัด (มหาชน)</w:t>
      </w:r>
      <w:r w:rsidRPr="00EF1AA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ณ วันที่ </w:t>
      </w:r>
      <w:r w:rsidRPr="00EF1AAF">
        <w:rPr>
          <w:rFonts w:ascii="Angsana New" w:hAnsi="Angsana New" w:cs="Angsana New"/>
          <w:spacing w:val="-4"/>
          <w:sz w:val="32"/>
          <w:szCs w:val="32"/>
        </w:rPr>
        <w:t>31</w:t>
      </w:r>
      <w:r w:rsidRPr="00EF1AA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ธันวาคม </w:t>
      </w:r>
      <w:r w:rsidRPr="00EF1AAF">
        <w:rPr>
          <w:rFonts w:ascii="Angsana New" w:hAnsi="Angsana New" w:cs="Angsana New"/>
          <w:spacing w:val="-4"/>
          <w:sz w:val="32"/>
          <w:szCs w:val="32"/>
        </w:rPr>
        <w:t>256</w:t>
      </w:r>
      <w:r w:rsidR="008A5924" w:rsidRPr="00EF1AAF">
        <w:rPr>
          <w:rFonts w:ascii="Angsana New" w:hAnsi="Angsana New" w:cs="Angsana New"/>
          <w:spacing w:val="-4"/>
          <w:sz w:val="32"/>
          <w:szCs w:val="32"/>
        </w:rPr>
        <w:t>2</w:t>
      </w:r>
      <w:r w:rsidRPr="00EF1AA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ที่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แสดง</w:t>
      </w:r>
      <w:r w:rsidRPr="00EF1AA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เป็นข้อมูลเปรียบเทียบตรวจสอบโดยผู้สอบบัญชีอื่น โดยแสดงความเห็นอย่างมีเงื่อนไข</w:t>
      </w:r>
      <w:r w:rsidR="00D23E71" w:rsidRPr="00EF1AA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เนื่องจากไม่สามารถ</w:t>
      </w:r>
      <w:r w:rsidR="00D23E71" w:rsidRPr="006470C6">
        <w:rPr>
          <w:rFonts w:cs="Angsana New"/>
          <w:color w:val="000000"/>
          <w:sz w:val="32"/>
          <w:szCs w:val="32"/>
          <w:cs/>
          <w:lang w:bidi="th-TH"/>
        </w:rPr>
        <w:t>หาหลักฐานการสอบบัญชีที่เหมาะสมอย่างเพียงพอ</w:t>
      </w:r>
      <w:r w:rsidR="00D23E71" w:rsidRPr="006470C6">
        <w:rPr>
          <w:rFonts w:ascii="Angsana New" w:hAnsi="Angsana New" w:cs="Angsana New"/>
          <w:sz w:val="32"/>
          <w:szCs w:val="32"/>
          <w:cs/>
          <w:lang w:bidi="th-TH"/>
        </w:rPr>
        <w:t>เกี่ยวกับ</w:t>
      </w:r>
      <w:r w:rsidR="00D23E71" w:rsidRPr="006470C6">
        <w:rPr>
          <w:rFonts w:cs="Angsana New"/>
          <w:color w:val="000000"/>
          <w:sz w:val="32"/>
          <w:szCs w:val="32"/>
          <w:cs/>
          <w:lang w:bidi="th-TH"/>
        </w:rPr>
        <w:t>เงินลงทุนในบริษัทร่วมและร่วมค้าตามวิธีส่วนได้เสียและส่วนแบ่งกำไร (ขาดทุน) ของบริษัทร่วมแล</w:t>
      </w:r>
      <w:r w:rsidR="008C625F" w:rsidRPr="006470C6">
        <w:rPr>
          <w:rFonts w:cs="Angsana New"/>
          <w:color w:val="000000"/>
          <w:sz w:val="32"/>
          <w:szCs w:val="32"/>
          <w:cs/>
          <w:lang w:bidi="th-TH"/>
        </w:rPr>
        <w:t>ะ</w:t>
      </w:r>
      <w:r w:rsidR="00D23E71" w:rsidRPr="006470C6">
        <w:rPr>
          <w:rFonts w:cs="Angsana New"/>
          <w:color w:val="000000"/>
          <w:sz w:val="32"/>
          <w:szCs w:val="32"/>
          <w:cs/>
          <w:lang w:bidi="th-TH"/>
        </w:rPr>
        <w:t>ร่วมค้าตามวิธีส่วนได้เสีย</w:t>
      </w:r>
      <w:r w:rsidR="00773396" w:rsidRPr="006470C6">
        <w:rPr>
          <w:rFonts w:cs="Angsana New"/>
          <w:color w:val="000000"/>
          <w:sz w:val="32"/>
          <w:szCs w:val="32"/>
          <w:cs/>
          <w:lang w:bidi="th-TH"/>
        </w:rPr>
        <w:t>ซึ่งแสดงรายการในงบการเงินรวม</w:t>
      </w:r>
      <w:r w:rsidR="00D23E71"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8C625F" w:rsidRPr="006470C6">
        <w:rPr>
          <w:rFonts w:ascii="Angsana New" w:hAnsi="Angsana New" w:cs="Angsana New"/>
          <w:sz w:val="32"/>
          <w:szCs w:val="32"/>
          <w:cs/>
          <w:lang w:bidi="th-TH"/>
        </w:rPr>
        <w:t>ตามรายงาน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ลงวันที่</w:t>
      </w:r>
      <w:r w:rsidRPr="006470C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6470C6">
        <w:rPr>
          <w:rFonts w:ascii="Angsana New" w:hAnsi="Angsana New" w:cs="Angsana New"/>
          <w:sz w:val="32"/>
          <w:szCs w:val="32"/>
        </w:rPr>
        <w:t xml:space="preserve">2 </w:t>
      </w:r>
      <w:r w:rsidR="00D23E71" w:rsidRPr="006470C6">
        <w:rPr>
          <w:rFonts w:ascii="Angsana New" w:hAnsi="Angsana New" w:cs="Angsana New"/>
          <w:sz w:val="32"/>
          <w:szCs w:val="32"/>
          <w:cs/>
          <w:lang w:bidi="th-TH"/>
        </w:rPr>
        <w:t>มีนาคม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6470C6">
        <w:rPr>
          <w:rFonts w:ascii="Angsana New" w:hAnsi="Angsana New" w:cs="Angsana New"/>
          <w:sz w:val="32"/>
          <w:szCs w:val="32"/>
        </w:rPr>
        <w:t>256</w:t>
      </w:r>
      <w:r w:rsidR="008A5924" w:rsidRPr="006470C6">
        <w:rPr>
          <w:rFonts w:ascii="Angsana New" w:hAnsi="Angsana New" w:cs="Angsana New"/>
          <w:sz w:val="32"/>
          <w:szCs w:val="32"/>
        </w:rPr>
        <w:t>3</w:t>
      </w:r>
    </w:p>
    <w:p w14:paraId="079D1E22" w14:textId="77777777" w:rsidR="006E12E7" w:rsidRPr="007B694C" w:rsidRDefault="00927590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B694C">
        <w:rPr>
          <w:rFonts w:ascii="Angsana New" w:hAnsi="Angsana New" w:cs="Angsana New"/>
          <w:spacing w:val="2"/>
          <w:sz w:val="32"/>
          <w:szCs w:val="32"/>
          <w:cs/>
          <w:lang w:bidi="th-TH"/>
        </w:rPr>
        <w:lastRenderedPageBreak/>
        <w:t>งบกำไรขาดทุนและกำไรขาดทุนเบ็ดเสร็จอื่นรวมและเฉพาะของบริษัท งบแสดงการเปลี่ยนแปลง</w:t>
      </w:r>
      <w:r w:rsidRPr="007B694C">
        <w:rPr>
          <w:rFonts w:ascii="Angsana New" w:hAnsi="Angsana New" w:cs="Angsana New"/>
          <w:sz w:val="32"/>
          <w:szCs w:val="32"/>
          <w:cs/>
          <w:lang w:bidi="th-TH"/>
        </w:rPr>
        <w:t>ส่วนของผู้ถือหุ้นรวมและเฉพาะของบริษัท และงบกระแสเงินสดรวมและเฉพาะของ</w:t>
      </w:r>
      <w:r w:rsidR="00A31026" w:rsidRPr="007B694C">
        <w:rPr>
          <w:rFonts w:cs="Angsana New"/>
          <w:color w:val="000000"/>
          <w:sz w:val="32"/>
          <w:szCs w:val="32"/>
          <w:cs/>
          <w:lang w:val="en-US" w:bidi="th-TH"/>
        </w:rPr>
        <w:t xml:space="preserve">บริษัท เจนเนอรัล </w:t>
      </w:r>
      <w:r w:rsidR="00A31026" w:rsidRPr="007B694C">
        <w:rPr>
          <w:rFonts w:cs="Angsana New"/>
          <w:color w:val="000000"/>
          <w:spacing w:val="-2"/>
          <w:sz w:val="32"/>
          <w:szCs w:val="32"/>
          <w:cs/>
          <w:lang w:val="en-US" w:bidi="th-TH"/>
        </w:rPr>
        <w:t>เอนจิเนียริ่ง</w:t>
      </w:r>
      <w:r w:rsidR="00A31026" w:rsidRPr="007B694C">
        <w:rPr>
          <w:rFonts w:ascii="Angsana New" w:hAnsi="Angsana New" w:cs="Angsana New"/>
          <w:color w:val="000000"/>
          <w:spacing w:val="-2"/>
          <w:sz w:val="32"/>
          <w:szCs w:val="32"/>
          <w:lang w:val="en-US" w:bidi="th-TH"/>
        </w:rPr>
        <w:t xml:space="preserve"> </w:t>
      </w:r>
      <w:r w:rsidR="00A31026" w:rsidRPr="007B694C">
        <w:rPr>
          <w:rFonts w:cs="Angsana New"/>
          <w:color w:val="000000"/>
          <w:spacing w:val="-2"/>
          <w:sz w:val="32"/>
          <w:szCs w:val="32"/>
          <w:cs/>
          <w:lang w:val="en-US" w:bidi="th-TH"/>
        </w:rPr>
        <w:t>จำกัด (มหาชน)</w:t>
      </w:r>
      <w:r w:rsidR="00527E02" w:rsidRPr="007B694C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527E02" w:rsidRPr="007B694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และบริษัทย่อย </w:t>
      </w:r>
      <w:r w:rsidRPr="007B694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7B694C">
        <w:rPr>
          <w:rFonts w:ascii="Angsana New" w:hAnsi="Angsana New" w:cs="Angsana New"/>
          <w:spacing w:val="-2"/>
          <w:sz w:val="32"/>
          <w:szCs w:val="32"/>
          <w:lang w:val="en-US" w:bidi="th-TH"/>
        </w:rPr>
        <w:t xml:space="preserve">31 </w:t>
      </w:r>
      <w:r w:rsidRPr="007B694C">
        <w:rPr>
          <w:rFonts w:ascii="Angsana New" w:hAnsi="Angsana New" w:cs="Angsana New"/>
          <w:spacing w:val="-2"/>
          <w:sz w:val="32"/>
          <w:szCs w:val="32"/>
          <w:cs/>
          <w:lang w:val="en-US" w:bidi="th-TH"/>
        </w:rPr>
        <w:t xml:space="preserve">มีนาคม </w:t>
      </w:r>
      <w:r w:rsidRPr="007B694C">
        <w:rPr>
          <w:rFonts w:ascii="Angsana New" w:hAnsi="Angsana New" w:cs="Angsana New"/>
          <w:spacing w:val="-2"/>
          <w:sz w:val="32"/>
          <w:szCs w:val="32"/>
          <w:lang w:val="en-US" w:bidi="th-TH"/>
        </w:rPr>
        <w:t>256</w:t>
      </w:r>
      <w:r w:rsidR="00DB0D30" w:rsidRPr="007B694C">
        <w:rPr>
          <w:rFonts w:ascii="Angsana New" w:hAnsi="Angsana New" w:cs="Angsana New"/>
          <w:spacing w:val="-2"/>
          <w:sz w:val="32"/>
          <w:szCs w:val="32"/>
          <w:lang w:val="en-US" w:bidi="th-TH"/>
        </w:rPr>
        <w:t>2</w:t>
      </w:r>
      <w:r w:rsidRPr="007B694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="003A1389" w:rsidRPr="007B694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สอบ</w:t>
      </w:r>
      <w:r w:rsidR="003A1389" w:rsidRPr="007B694C">
        <w:rPr>
          <w:rFonts w:ascii="Angsana New" w:hAnsi="Angsana New" w:cs="Angsana New"/>
          <w:sz w:val="32"/>
          <w:szCs w:val="32"/>
          <w:cs/>
          <w:lang w:bidi="th-TH"/>
        </w:rPr>
        <w:t>ทาน</w:t>
      </w:r>
      <w:r w:rsidRPr="007B694C">
        <w:rPr>
          <w:rFonts w:ascii="Angsana New" w:hAnsi="Angsana New" w:cs="Angsana New"/>
          <w:sz w:val="32"/>
          <w:szCs w:val="32"/>
          <w:cs/>
          <w:lang w:bidi="th-TH"/>
        </w:rPr>
        <w:t xml:space="preserve">โดยผู้สอบบัญชีอื่น </w:t>
      </w:r>
      <w:r w:rsidR="000248A9" w:rsidRPr="007B694C">
        <w:rPr>
          <w:rFonts w:ascii="Angsana New" w:hAnsi="Angsana New" w:cs="Angsana New"/>
          <w:sz w:val="32"/>
          <w:szCs w:val="32"/>
          <w:cs/>
          <w:lang w:val="en-US" w:bidi="th-TH"/>
        </w:rPr>
        <w:t>ซึ่งให้ข้อสรุปอย่างไม่มีเงื่อนไข</w:t>
      </w:r>
      <w:r w:rsidR="000248A9" w:rsidRPr="007B694C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7B694C">
        <w:rPr>
          <w:rFonts w:ascii="Angsana New" w:hAnsi="Angsana New" w:cs="Angsana New"/>
          <w:sz w:val="32"/>
          <w:szCs w:val="32"/>
          <w:cs/>
          <w:lang w:bidi="th-TH"/>
        </w:rPr>
        <w:t xml:space="preserve">ตามรายงานลงวันที่ </w:t>
      </w:r>
      <w:r w:rsidR="002567B9" w:rsidRPr="007B694C">
        <w:rPr>
          <w:rFonts w:ascii="Angsana New" w:hAnsi="Angsana New" w:cs="Angsana New"/>
          <w:sz w:val="32"/>
          <w:szCs w:val="32"/>
          <w:lang w:bidi="th-TH"/>
        </w:rPr>
        <w:t>14</w:t>
      </w:r>
      <w:r w:rsidRPr="007B694C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 พฤษภาคม </w:t>
      </w:r>
      <w:r w:rsidRPr="007B694C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AD6656" w:rsidRPr="007B694C">
        <w:rPr>
          <w:rFonts w:ascii="Angsana New" w:hAnsi="Angsana New" w:cs="Angsana New"/>
          <w:sz w:val="32"/>
          <w:szCs w:val="32"/>
          <w:lang w:val="en-US" w:bidi="th-TH"/>
        </w:rPr>
        <w:t>2</w:t>
      </w:r>
    </w:p>
    <w:p w14:paraId="3199A0BF" w14:textId="77777777" w:rsidR="00B54FCC" w:rsidRPr="006470C6" w:rsidRDefault="00B54FCC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DB8812C" w14:textId="77777777" w:rsidR="00A52E1B" w:rsidRPr="006470C6" w:rsidRDefault="00A52E1B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A406141" w14:textId="77777777" w:rsidR="00A52E1B" w:rsidRDefault="00A52E1B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2DFE695" w14:textId="77777777" w:rsidR="00B54981" w:rsidRPr="006470C6" w:rsidRDefault="00B54981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29DD885" w14:textId="77777777" w:rsidR="004E0394" w:rsidRPr="006470C6" w:rsidRDefault="004E0394" w:rsidP="006470C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C88197E" w14:textId="77777777" w:rsidR="007C5A37" w:rsidRPr="006470C6" w:rsidRDefault="007C5A37" w:rsidP="006470C6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="00D209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ศันสนีย์ </w:t>
      </w:r>
      <w:r w:rsidR="006F6E8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D2091B" w:rsidRPr="006470C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พูลสวัสดิ์</w:t>
      </w:r>
    </w:p>
    <w:p w14:paraId="1C46D2F0" w14:textId="77777777" w:rsidR="00D20C85" w:rsidRPr="006470C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641704B2" w14:textId="77777777" w:rsidR="00D20C85" w:rsidRPr="006470C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D2091B" w:rsidRPr="006470C6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621C13C1" w14:textId="77777777" w:rsidR="00D20C85" w:rsidRPr="006470C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6A2EACF3" w14:textId="77777777" w:rsidR="00637EE6" w:rsidRPr="006470C6" w:rsidRDefault="00637EE6" w:rsidP="006470C6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6470C6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6470C6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1BADDE51" w14:textId="77777777" w:rsidR="00D20C85" w:rsidRPr="006470C6" w:rsidRDefault="00D20C85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470C6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78367C73" w14:textId="77777777" w:rsidR="00D15EA5" w:rsidRPr="006470C6" w:rsidRDefault="00A52E1B" w:rsidP="006470C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470C6">
        <w:rPr>
          <w:rFonts w:ascii="Angsana New" w:hAnsi="Angsana New" w:cs="Angsana New"/>
          <w:sz w:val="32"/>
          <w:szCs w:val="32"/>
          <w:cs/>
          <w:lang w:val="en-US" w:bidi="th-TH"/>
        </w:rPr>
        <w:t>1</w:t>
      </w:r>
      <w:r w:rsidR="00D2091B" w:rsidRPr="006470C6">
        <w:rPr>
          <w:rFonts w:ascii="Angsana New" w:hAnsi="Angsana New" w:cs="Angsana New"/>
          <w:sz w:val="32"/>
          <w:szCs w:val="32"/>
          <w:lang w:val="en-US" w:bidi="th-TH"/>
        </w:rPr>
        <w:t>5</w:t>
      </w:r>
      <w:r w:rsidR="00917F1E" w:rsidRPr="006470C6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917F1E" w:rsidRPr="006470C6">
        <w:rPr>
          <w:rFonts w:ascii="Angsana New" w:hAnsi="Angsana New" w:cs="Angsana New"/>
          <w:sz w:val="32"/>
          <w:szCs w:val="32"/>
          <w:cs/>
          <w:lang w:val="en-US" w:bidi="th-TH"/>
        </w:rPr>
        <w:t>พฤษภาคม</w:t>
      </w:r>
      <w:r w:rsidR="00927590" w:rsidRPr="006470C6">
        <w:rPr>
          <w:rFonts w:ascii="Angsana New" w:hAnsi="Angsana New" w:cs="Angsana New"/>
          <w:sz w:val="32"/>
          <w:szCs w:val="32"/>
          <w:lang w:val="en-US" w:bidi="th-TH"/>
        </w:rPr>
        <w:t xml:space="preserve"> 256</w:t>
      </w:r>
      <w:r w:rsidRPr="006470C6">
        <w:rPr>
          <w:rFonts w:ascii="Angsana New" w:hAnsi="Angsana New" w:cs="Angsana New"/>
          <w:sz w:val="32"/>
          <w:szCs w:val="32"/>
          <w:cs/>
          <w:lang w:val="en-US" w:bidi="th-TH"/>
        </w:rPr>
        <w:t>3</w:t>
      </w:r>
    </w:p>
    <w:sectPr w:rsidR="00D15EA5" w:rsidRPr="006470C6" w:rsidSect="006470C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016" w:right="1008" w:bottom="576" w:left="2304" w:header="749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90048" w14:textId="77777777" w:rsidR="00AE23BF" w:rsidRDefault="00AE23BF">
      <w:r>
        <w:separator/>
      </w:r>
    </w:p>
  </w:endnote>
  <w:endnote w:type="continuationSeparator" w:id="0">
    <w:p w14:paraId="0C5B408E" w14:textId="77777777" w:rsidR="00AE23BF" w:rsidRDefault="00AE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ºÚÌå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B8E2B" w14:textId="77777777" w:rsidR="00617651" w:rsidRDefault="00617651" w:rsidP="00617651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50F3D" w14:textId="77777777" w:rsidR="00617651" w:rsidRDefault="00617651" w:rsidP="00617651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BE1C2" w14:textId="77777777" w:rsidR="00AE23BF" w:rsidRDefault="00AE23BF">
      <w:bookmarkStart w:id="0" w:name="_Hlk482348182"/>
      <w:bookmarkEnd w:id="0"/>
      <w:r>
        <w:separator/>
      </w:r>
    </w:p>
  </w:footnote>
  <w:footnote w:type="continuationSeparator" w:id="0">
    <w:p w14:paraId="0D962422" w14:textId="77777777" w:rsidR="00AE23BF" w:rsidRDefault="00AE2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985F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2EDFD" w14:textId="77777777" w:rsidR="00B63D0E" w:rsidRDefault="00B63D0E" w:rsidP="00D96128">
    <w:pPr>
      <w:pStyle w:val="Header"/>
      <w:jc w:val="right"/>
    </w:pPr>
  </w:p>
  <w:p w14:paraId="0F80DC61" w14:textId="77777777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592AD" w14:textId="77777777" w:rsidR="00AA3D1F" w:rsidRDefault="00AA3D1F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auto"/>
        <w:sz w:val="40"/>
        <w:szCs w:val="40"/>
        <w:lang w:val="en-US" w:bidi="th-TH"/>
      </w:rPr>
    </w:pPr>
  </w:p>
  <w:p w14:paraId="3A48E418" w14:textId="77777777" w:rsidR="00AA3D1F" w:rsidRDefault="00AA3D1F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auto"/>
        <w:sz w:val="40"/>
        <w:szCs w:val="40"/>
        <w:lang w:val="en-US" w:bidi="th-TH"/>
      </w:rPr>
    </w:pPr>
  </w:p>
  <w:p w14:paraId="19634044" w14:textId="77777777" w:rsidR="00AA3D1F" w:rsidRDefault="00AA3D1F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auto"/>
        <w:sz w:val="40"/>
        <w:szCs w:val="40"/>
        <w:lang w:val="en-US" w:bidi="th-TH"/>
      </w:rPr>
    </w:pPr>
  </w:p>
  <w:p w14:paraId="0FA5387D" w14:textId="77777777" w:rsidR="00AA3D1F" w:rsidRDefault="00AA3D1F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auto"/>
        <w:sz w:val="40"/>
        <w:szCs w:val="40"/>
        <w:lang w:val="en-US" w:bidi="th-TH"/>
      </w:rPr>
    </w:pPr>
  </w:p>
  <w:p w14:paraId="5074C756" w14:textId="77777777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2B10035D" w14:textId="77777777" w:rsidR="00D460E7" w:rsidRDefault="00D460E7" w:rsidP="00D15EA5">
    <w:pPr>
      <w:pStyle w:val="Header"/>
    </w:pPr>
    <w:bookmarkStart w:id="2" w:name="Footer3_tbl"/>
    <w:bookmarkEnd w:id="2"/>
  </w:p>
  <w:p w14:paraId="205DC773" w14:textId="77777777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8E232C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FDC6D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E237E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DC5B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DC3E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4F9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</w:abstractNum>
  <w:abstractNum w:abstractNumId="11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  <w:lvl w:ilvl="3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pPr>
        <w:ind w:left="454"/>
      </w:pPr>
      <w:rPr>
        <w:rFonts w:cs="Times New Roman" w:hint="default"/>
      </w:rPr>
    </w:lvl>
  </w:abstractNum>
  <w:abstractNum w:abstractNumId="12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  <w:lvl w:ilvl="3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pPr>
        <w:ind w:left="709"/>
      </w:pPr>
      <w:rPr>
        <w:rFonts w:cs="Times New Roman" w:hint="default"/>
      </w:rPr>
    </w:lvl>
  </w:abstractNum>
  <w:abstractNum w:abstractNumId="13" w15:restartNumberingAfterBreak="0">
    <w:nsid w:val="1A933704"/>
    <w:multiLevelType w:val="multilevel"/>
    <w:tmpl w:val="8460F8B0"/>
    <w:numStyleLink w:val="GTTableBullets"/>
  </w:abstractNum>
  <w:abstractNum w:abstractNumId="14" w15:restartNumberingAfterBreak="0">
    <w:nsid w:val="1C757904"/>
    <w:multiLevelType w:val="multilevel"/>
    <w:tmpl w:val="AEF68414"/>
    <w:styleLink w:val="GTTableNumbers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851"/>
      </w:pPr>
      <w:rPr>
        <w:rFonts w:cs="Times New Roman" w:hint="default"/>
      </w:rPr>
    </w:lvl>
  </w:abstractNum>
  <w:abstractNum w:abstractNumId="15" w15:restartNumberingAfterBreak="0">
    <w:nsid w:val="235B21F8"/>
    <w:multiLevelType w:val="multilevel"/>
    <w:tmpl w:val="FAE6F968"/>
    <w:numStyleLink w:val="GTListBullet"/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BA976CF"/>
    <w:multiLevelType w:val="multilevel"/>
    <w:tmpl w:val="98FC98AC"/>
    <w:numStyleLink w:val="GTListNumber"/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3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/>
      </w:pPr>
      <w:rPr>
        <w:rFonts w:cs="Times New Roman"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/>
      </w:pPr>
      <w:rPr>
        <w:rFonts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/>
      </w:pPr>
      <w:rPr>
        <w:rFonts w:cs="Times New Roman"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/>
      </w:pPr>
      <w:rPr>
        <w:rFonts w:cs="Times New Roman"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/>
      </w:pPr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pPr>
        <w:ind w:left="851"/>
      </w:pPr>
      <w:rPr>
        <w:rFonts w:cs="Times New Roman" w:hint="default"/>
      </w:rPr>
    </w:lvl>
  </w:abstractNum>
  <w:abstractNum w:abstractNumId="22" w15:restartNumberingAfterBreak="0">
    <w:nsid w:val="7F924C95"/>
    <w:multiLevelType w:val="multilevel"/>
    <w:tmpl w:val="0D561ACA"/>
    <w:numStyleLink w:val="GTNumberedHeadings"/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4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6"/>
  </w:num>
  <w:num w:numId="18">
    <w:abstractNumId w:val="22"/>
  </w:num>
  <w:num w:numId="19">
    <w:abstractNumId w:val="11"/>
  </w:num>
  <w:num w:numId="20">
    <w:abstractNumId w:val="21"/>
  </w:num>
  <w:num w:numId="21">
    <w:abstractNumId w:val="19"/>
  </w:num>
  <w:num w:numId="22">
    <w:abstractNumId w:val="10"/>
  </w:num>
  <w:num w:numId="23">
    <w:abstractNumId w:val="14"/>
  </w:num>
  <w:num w:numId="24">
    <w:abstractNumId w:val="13"/>
  </w:num>
  <w:num w:numId="25">
    <w:abstractNumId w:val="14"/>
  </w:num>
  <w:num w:numId="26">
    <w:abstractNumId w:val="15"/>
  </w:num>
  <w:num w:numId="27">
    <w:abstractNumId w:val="17"/>
  </w:num>
  <w:num w:numId="28">
    <w:abstractNumId w:val="21"/>
  </w:num>
  <w:num w:numId="29">
    <w:abstractNumId w:val="19"/>
  </w:num>
  <w:num w:numId="30">
    <w:abstractNumId w:val="10"/>
  </w:num>
  <w:num w:numId="31">
    <w:abstractNumId w:val="14"/>
  </w:num>
  <w:num w:numId="32">
    <w:abstractNumId w:val="13"/>
  </w:num>
  <w:num w:numId="33">
    <w:abstractNumId w:val="13"/>
  </w:num>
  <w:num w:numId="34">
    <w:abstractNumId w:val="13"/>
  </w:num>
  <w:num w:numId="35">
    <w:abstractNumId w:val="14"/>
  </w:num>
  <w:num w:numId="36">
    <w:abstractNumId w:val="14"/>
  </w:num>
  <w:num w:numId="37">
    <w:abstractNumId w:val="14"/>
  </w:num>
  <w:num w:numId="38">
    <w:abstractNumId w:val="20"/>
  </w:num>
  <w:num w:numId="39">
    <w:abstractNumId w:val="20"/>
  </w:num>
  <w:num w:numId="40">
    <w:abstractNumId w:val="20"/>
  </w:num>
  <w:num w:numId="41">
    <w:abstractNumId w:val="18"/>
  </w:num>
  <w:num w:numId="42">
    <w:abstractNumId w:val="18"/>
  </w:num>
  <w:num w:numId="4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0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daVAT reg 888 0195 82. Registered in England. Company number  05523714 daGrant Thornton International Ltd and the member firms are not a worldwide partnership. Services are delivered independently by the member firms.da"/>
    <w:docVar w:name="dv_trad_addr" w:val="22 Melton Street, daEuston Square, daLondon, NW1 2EP  da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4549"/>
    <w:rsid w:val="000248A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52CE"/>
    <w:rsid w:val="000F3AAB"/>
    <w:rsid w:val="000F6E25"/>
    <w:rsid w:val="001011DF"/>
    <w:rsid w:val="00107DF2"/>
    <w:rsid w:val="00112B69"/>
    <w:rsid w:val="001265E0"/>
    <w:rsid w:val="001316D3"/>
    <w:rsid w:val="00134B1D"/>
    <w:rsid w:val="001554CD"/>
    <w:rsid w:val="00155A91"/>
    <w:rsid w:val="001613E2"/>
    <w:rsid w:val="001632CA"/>
    <w:rsid w:val="0016459D"/>
    <w:rsid w:val="00167017"/>
    <w:rsid w:val="00171359"/>
    <w:rsid w:val="0019210D"/>
    <w:rsid w:val="001A3BFB"/>
    <w:rsid w:val="001A3C20"/>
    <w:rsid w:val="001B198C"/>
    <w:rsid w:val="001B7388"/>
    <w:rsid w:val="001C4696"/>
    <w:rsid w:val="001D2302"/>
    <w:rsid w:val="001D7BB3"/>
    <w:rsid w:val="001E12A6"/>
    <w:rsid w:val="001E498F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567B9"/>
    <w:rsid w:val="002608D9"/>
    <w:rsid w:val="0026182A"/>
    <w:rsid w:val="00277EBE"/>
    <w:rsid w:val="0028089B"/>
    <w:rsid w:val="00281DAB"/>
    <w:rsid w:val="002838FB"/>
    <w:rsid w:val="00285249"/>
    <w:rsid w:val="002A252E"/>
    <w:rsid w:val="002A38CC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A76"/>
    <w:rsid w:val="00330AA1"/>
    <w:rsid w:val="00335E5B"/>
    <w:rsid w:val="00354F5D"/>
    <w:rsid w:val="00365ECE"/>
    <w:rsid w:val="003744DA"/>
    <w:rsid w:val="00384904"/>
    <w:rsid w:val="003A1389"/>
    <w:rsid w:val="003B4CCD"/>
    <w:rsid w:val="003B4DED"/>
    <w:rsid w:val="003B6737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070A"/>
    <w:rsid w:val="0041436D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9103F"/>
    <w:rsid w:val="004A0DFE"/>
    <w:rsid w:val="004A3C62"/>
    <w:rsid w:val="004B7D44"/>
    <w:rsid w:val="004C0971"/>
    <w:rsid w:val="004C0C25"/>
    <w:rsid w:val="004C2111"/>
    <w:rsid w:val="004C732E"/>
    <w:rsid w:val="004C77BF"/>
    <w:rsid w:val="004D09F0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555D8"/>
    <w:rsid w:val="005627FF"/>
    <w:rsid w:val="00577D61"/>
    <w:rsid w:val="005822AC"/>
    <w:rsid w:val="005A32CE"/>
    <w:rsid w:val="005A7C19"/>
    <w:rsid w:val="005B405A"/>
    <w:rsid w:val="005B50CC"/>
    <w:rsid w:val="005B65F3"/>
    <w:rsid w:val="005C05BA"/>
    <w:rsid w:val="005C2CCB"/>
    <w:rsid w:val="005C6479"/>
    <w:rsid w:val="005C69FD"/>
    <w:rsid w:val="005D7025"/>
    <w:rsid w:val="005E252A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470C6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6F6E85"/>
    <w:rsid w:val="0070147C"/>
    <w:rsid w:val="007018A9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3396"/>
    <w:rsid w:val="00775DA6"/>
    <w:rsid w:val="0078170A"/>
    <w:rsid w:val="00790956"/>
    <w:rsid w:val="0079502D"/>
    <w:rsid w:val="007A0755"/>
    <w:rsid w:val="007A31D9"/>
    <w:rsid w:val="007A74F9"/>
    <w:rsid w:val="007B05D4"/>
    <w:rsid w:val="007B694C"/>
    <w:rsid w:val="007C5A37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327E"/>
    <w:rsid w:val="00847054"/>
    <w:rsid w:val="00850F25"/>
    <w:rsid w:val="008534AA"/>
    <w:rsid w:val="008719C2"/>
    <w:rsid w:val="00877FDF"/>
    <w:rsid w:val="00884FF7"/>
    <w:rsid w:val="00894ACE"/>
    <w:rsid w:val="008A5924"/>
    <w:rsid w:val="008A59C0"/>
    <w:rsid w:val="008B19D9"/>
    <w:rsid w:val="008B1FD3"/>
    <w:rsid w:val="008B204B"/>
    <w:rsid w:val="008C49AE"/>
    <w:rsid w:val="008C4A90"/>
    <w:rsid w:val="008C59F7"/>
    <w:rsid w:val="008C625F"/>
    <w:rsid w:val="008E7687"/>
    <w:rsid w:val="008F0E3C"/>
    <w:rsid w:val="008F11FA"/>
    <w:rsid w:val="008F33AE"/>
    <w:rsid w:val="008F4ACA"/>
    <w:rsid w:val="00901E15"/>
    <w:rsid w:val="00912F98"/>
    <w:rsid w:val="00917F1E"/>
    <w:rsid w:val="00917FBB"/>
    <w:rsid w:val="009219CA"/>
    <w:rsid w:val="009223D3"/>
    <w:rsid w:val="00927590"/>
    <w:rsid w:val="00930E83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1026"/>
    <w:rsid w:val="00A3526A"/>
    <w:rsid w:val="00A35782"/>
    <w:rsid w:val="00A362F9"/>
    <w:rsid w:val="00A43EE6"/>
    <w:rsid w:val="00A52E1B"/>
    <w:rsid w:val="00A60F49"/>
    <w:rsid w:val="00A61E15"/>
    <w:rsid w:val="00A66F91"/>
    <w:rsid w:val="00A70229"/>
    <w:rsid w:val="00A918D1"/>
    <w:rsid w:val="00A93A9A"/>
    <w:rsid w:val="00AA3D1F"/>
    <w:rsid w:val="00AA5C16"/>
    <w:rsid w:val="00AB4F80"/>
    <w:rsid w:val="00AC1C56"/>
    <w:rsid w:val="00AC31D4"/>
    <w:rsid w:val="00AC6098"/>
    <w:rsid w:val="00AD3B26"/>
    <w:rsid w:val="00AD6656"/>
    <w:rsid w:val="00AE0190"/>
    <w:rsid w:val="00AE23BF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945"/>
    <w:rsid w:val="00B36A0E"/>
    <w:rsid w:val="00B36BA1"/>
    <w:rsid w:val="00B40D67"/>
    <w:rsid w:val="00B43C45"/>
    <w:rsid w:val="00B54981"/>
    <w:rsid w:val="00B54FCC"/>
    <w:rsid w:val="00B55EE8"/>
    <w:rsid w:val="00B56E6C"/>
    <w:rsid w:val="00B6226E"/>
    <w:rsid w:val="00B63D0E"/>
    <w:rsid w:val="00B758CE"/>
    <w:rsid w:val="00B83039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29F6"/>
    <w:rsid w:val="00C23EE0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91B"/>
    <w:rsid w:val="00D20C85"/>
    <w:rsid w:val="00D2100B"/>
    <w:rsid w:val="00D23E71"/>
    <w:rsid w:val="00D24220"/>
    <w:rsid w:val="00D3089E"/>
    <w:rsid w:val="00D31B87"/>
    <w:rsid w:val="00D31D7A"/>
    <w:rsid w:val="00D33E60"/>
    <w:rsid w:val="00D370D9"/>
    <w:rsid w:val="00D37B9F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167B"/>
    <w:rsid w:val="00DB308D"/>
    <w:rsid w:val="00DB5F40"/>
    <w:rsid w:val="00DB71AB"/>
    <w:rsid w:val="00DD1E47"/>
    <w:rsid w:val="00DD61A9"/>
    <w:rsid w:val="00DD6EF1"/>
    <w:rsid w:val="00DE4958"/>
    <w:rsid w:val="00DE7532"/>
    <w:rsid w:val="00DF0ABD"/>
    <w:rsid w:val="00E029E8"/>
    <w:rsid w:val="00E04361"/>
    <w:rsid w:val="00E05104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EF1AAF"/>
    <w:rsid w:val="00F11892"/>
    <w:rsid w:val="00F246A1"/>
    <w:rsid w:val="00F27876"/>
    <w:rsid w:val="00F37917"/>
    <w:rsid w:val="00F5513E"/>
    <w:rsid w:val="00F63F3F"/>
    <w:rsid w:val="00F66FA5"/>
    <w:rsid w:val="00F70C91"/>
    <w:rsid w:val="00F71678"/>
    <w:rsid w:val="00F71A70"/>
    <w:rsid w:val="00F730E3"/>
    <w:rsid w:val="00F755E9"/>
    <w:rsid w:val="00F909CD"/>
    <w:rsid w:val="00F974D1"/>
    <w:rsid w:val="00FA16E0"/>
    <w:rsid w:val="00FA3966"/>
    <w:rsid w:val="00FC1304"/>
    <w:rsid w:val="00FC4397"/>
    <w:rsid w:val="00FD05AD"/>
    <w:rsid w:val="00FD0666"/>
    <w:rsid w:val="00FD2155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63C3FA"/>
  <w14:defaultImageDpi w14:val="0"/>
  <w15:docId w15:val="{15E019D1-D6F6-4BD1-8865-406E9675B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iPriority="9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 w:bidi="ar-SA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452E7B"/>
    <w:pPr>
      <w:keepNext/>
      <w:spacing w:before="240" w:line="400" w:lineRule="exact"/>
      <w:outlineLvl w:val="0"/>
    </w:pPr>
    <w:rPr>
      <w:rFonts w:asciiTheme="majorHAnsi" w:hAnsiTheme="majorHAnsi" w:cs="Calibri Light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FE2187"/>
    <w:pPr>
      <w:spacing w:line="240" w:lineRule="atLeast"/>
      <w:outlineLvl w:val="2"/>
    </w:pPr>
    <w:rPr>
      <w:rFonts w:asciiTheme="minorHAnsi" w:hAnsiTheme="minorHAnsi" w:cs="Calibr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452E7B"/>
    <w:pPr>
      <w:numPr>
        <w:ilvl w:val="4"/>
        <w:numId w:val="1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452E7B"/>
    <w:pPr>
      <w:numPr>
        <w:ilvl w:val="5"/>
        <w:numId w:val="1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452E7B"/>
    <w:pPr>
      <w:numPr>
        <w:ilvl w:val="6"/>
        <w:numId w:val="1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452E7B"/>
    <w:pPr>
      <w:numPr>
        <w:ilvl w:val="7"/>
        <w:numId w:val="1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452E7B"/>
    <w:pPr>
      <w:numPr>
        <w:ilvl w:val="8"/>
        <w:numId w:val="1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52E7B"/>
    <w:rPr>
      <w:rFonts w:asciiTheme="majorHAnsi" w:hAnsiTheme="majorHAnsi" w:cs="Calibri Light"/>
      <w:bCs/>
      <w:color w:val="4F2D7F" w:themeColor="accent1"/>
      <w:kern w:val="32"/>
      <w:sz w:val="28"/>
      <w:szCs w:val="28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FE2187"/>
    <w:rPr>
      <w:rFonts w:asciiTheme="majorHAnsi" w:hAnsiTheme="majorHAnsi" w:cs="Calibri Light"/>
      <w:color w:val="4F2D7F" w:themeColor="accent1"/>
      <w:kern w:val="32"/>
      <w:sz w:val="19"/>
      <w:szCs w:val="19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GB" w:bidi="ar-SA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52E7B"/>
    <w:rPr>
      <w:rFonts w:asciiTheme="minorHAnsi" w:hAnsiTheme="minorHAnsi" w:cs="Calibri"/>
      <w:color w:val="4F2D7F" w:themeColor="accent1"/>
      <w:kern w:val="32"/>
      <w:sz w:val="18"/>
      <w:szCs w:val="1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hAnsiTheme="minorHAnsi" w:cs="Arial"/>
      <w:b/>
      <w:bCs/>
      <w:i/>
      <w:iCs/>
      <w:sz w:val="24"/>
      <w:szCs w:val="26"/>
      <w:lang w:val="en-GB"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  <w:sz w:val="18"/>
      <w:szCs w:val="22"/>
      <w:lang w:val="en-GB"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sz w:val="24"/>
      <w:szCs w:val="24"/>
      <w:lang w:val="en-GB"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  <w:sz w:val="24"/>
      <w:szCs w:val="24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="Arial" w:hAnsi="Arial" w:cs="Arial"/>
      <w:sz w:val="18"/>
      <w:szCs w:val="22"/>
      <w:lang w:val="en-GB" w:bidi="ar-SA"/>
    </w:rPr>
  </w:style>
  <w:style w:type="paragraph" w:styleId="BodyText">
    <w:name w:val="Body Text"/>
    <w:basedOn w:val="Normal"/>
    <w:link w:val="BodyTextChar"/>
    <w:uiPriority w:val="99"/>
    <w:qFormat/>
    <w:rsid w:val="00452E7B"/>
  </w:style>
  <w:style w:type="character" w:customStyle="1" w:styleId="BodyTextChar">
    <w:name w:val="Body Text Char"/>
    <w:basedOn w:val="DefaultParagraphFont"/>
    <w:link w:val="BodyText"/>
    <w:uiPriority w:val="99"/>
    <w:locked/>
    <w:rsid w:val="00452E7B"/>
    <w:rPr>
      <w:rFonts w:asciiTheme="minorHAnsi" w:hAnsiTheme="minorHAnsi" w:cs="Arial"/>
      <w:sz w:val="18"/>
      <w:lang w:val="en-GB" w:eastAsia="x-none"/>
    </w:rPr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basedOn w:val="Normal"/>
    <w:link w:val="HeaderChar"/>
    <w:uiPriority w:val="99"/>
    <w:rsid w:val="00452E7B"/>
    <w:pPr>
      <w:tabs>
        <w:tab w:val="right" w:pos="8562"/>
      </w:tabs>
      <w:spacing w:after="0" w:line="240" w:lineRule="auto"/>
    </w:pPr>
    <w:rPr>
      <w:b/>
      <w:color w:val="747678" w:themeColor="background2"/>
      <w:sz w:val="16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63D0E"/>
    <w:rPr>
      <w:rFonts w:asciiTheme="minorHAnsi" w:hAnsiTheme="minorHAnsi" w:cs="Arial"/>
      <w:b/>
      <w:color w:val="747678" w:themeColor="background2"/>
      <w:sz w:val="16"/>
      <w:lang w:val="en-GB" w:eastAsia="x-none"/>
    </w:rPr>
  </w:style>
  <w:style w:type="paragraph" w:styleId="Footer">
    <w:name w:val="footer"/>
    <w:basedOn w:val="Normal"/>
    <w:link w:val="FooterChar"/>
    <w:uiPriority w:val="99"/>
    <w:rsid w:val="00004B8D"/>
    <w:pPr>
      <w:tabs>
        <w:tab w:val="right" w:pos="8636"/>
      </w:tabs>
      <w:spacing w:after="0" w:line="240" w:lineRule="auto"/>
      <w:jc w:val="right"/>
    </w:pPr>
    <w:rPr>
      <w:rFonts w:cs="Calibri"/>
      <w:color w:val="747678" w:themeColor="background2"/>
      <w:sz w:val="12"/>
      <w:szCs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4B8D"/>
    <w:rPr>
      <w:rFonts w:asciiTheme="minorHAnsi" w:hAnsiTheme="minorHAnsi" w:cs="Calibri"/>
      <w:color w:val="747678" w:themeColor="background2"/>
      <w:sz w:val="16"/>
      <w:szCs w:val="16"/>
      <w:lang w:val="en-GB" w:eastAsia="x-none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="Calibri Light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link w:val="TitleChar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="Calibri Light"/>
      <w:b/>
      <w:bCs/>
      <w:color w:val="4F2D7F" w:themeColor="accent1"/>
      <w:kern w:val="28"/>
      <w:sz w:val="72"/>
      <w:szCs w:val="3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val="en-GB" w:bidi="ar-SA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 w:bidi="ar-SA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="Calibri Light"/>
      <w:color w:val="4F2D7F" w:themeColor="accent1"/>
      <w:sz w:val="72"/>
      <w:lang w:val="en-GB" w:bidi="ar-SA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 w:bidi="ar-SA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 w:bidi="ar-SA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 w:bidi="ar-SA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basedOn w:val="Normal"/>
    <w:next w:val="Normal"/>
    <w:uiPriority w:val="39"/>
    <w:rsid w:val="00452E7B"/>
    <w:pPr>
      <w:tabs>
        <w:tab w:val="right" w:pos="8505"/>
      </w:tabs>
      <w:spacing w:before="120"/>
    </w:pPr>
  </w:style>
  <w:style w:type="paragraph" w:styleId="TOC2">
    <w:name w:val="toc 2"/>
    <w:basedOn w:val="Normal"/>
    <w:next w:val="Normal"/>
    <w:uiPriority w:val="39"/>
    <w:semiHidden/>
    <w:rsid w:val="00452E7B"/>
    <w:pPr>
      <w:tabs>
        <w:tab w:val="right" w:pos="8363"/>
      </w:tabs>
      <w:ind w:left="198"/>
    </w:pPr>
    <w:rPr>
      <w:szCs w:val="24"/>
    </w:rPr>
  </w:style>
  <w:style w:type="paragraph" w:styleId="TOC3">
    <w:name w:val="toc 3"/>
    <w:basedOn w:val="TOC2"/>
    <w:next w:val="Normal"/>
    <w:uiPriority w:val="39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 w:bidi="ar-SA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Subtitle">
    <w:name w:val="Subtitle"/>
    <w:basedOn w:val="Normal"/>
    <w:link w:val="SubtitleChar"/>
    <w:uiPriority w:val="9"/>
    <w:rsid w:val="00452E7B"/>
    <w:pPr>
      <w:spacing w:after="840" w:line="280" w:lineRule="atLeast"/>
      <w:outlineLvl w:val="1"/>
    </w:pPr>
    <w:rPr>
      <w:rFonts w:asciiTheme="majorHAnsi" w:hAnsiTheme="majorHAnsi"/>
      <w:bCs/>
      <w:color w:val="747678" w:themeColor="background2"/>
      <w:kern w:val="28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sz w:val="24"/>
      <w:szCs w:val="24"/>
      <w:lang w:val="en-GB" w:bidi="ar-SA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="Calibri Light"/>
      <w:color w:val="4F2D7F" w:themeColor="accent1"/>
      <w:sz w:val="72"/>
      <w:lang w:val="en-GB" w:bidi="ar-SA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 w:bidi="ar-SA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 w:bidi="ar-SA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 w:bidi="ar-SA"/>
    </w:rPr>
  </w:style>
  <w:style w:type="table" w:styleId="TableGrid">
    <w:name w:val="Table Grid"/>
    <w:basedOn w:val="TableNormal"/>
    <w:uiPriority w:val="39"/>
    <w:rsid w:val="00452E7B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  <w:tabs>
        <w:tab w:val="num" w:pos="227"/>
      </w:tabs>
      <w:ind w:left="227" w:hanging="227"/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num" w:pos="454"/>
      </w:tabs>
      <w:ind w:left="454" w:hanging="227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link w:val="QuoteChar"/>
    <w:uiPriority w:val="9"/>
    <w:unhideWhenUsed/>
    <w:rsid w:val="00452E7B"/>
    <w:rPr>
      <w:sz w:val="28"/>
    </w:rPr>
  </w:style>
  <w:style w:type="character" w:customStyle="1" w:styleId="QuoteChar">
    <w:name w:val="Quote Char"/>
    <w:basedOn w:val="DefaultParagraphFont"/>
    <w:link w:val="Quote"/>
    <w:uiPriority w:val="29"/>
    <w:rPr>
      <w:rFonts w:asciiTheme="minorHAnsi" w:hAnsiTheme="minorHAnsi" w:cs="Arial"/>
      <w:i/>
      <w:iCs/>
      <w:color w:val="404040" w:themeColor="text1" w:themeTint="BF"/>
      <w:sz w:val="18"/>
      <w:lang w:val="en-GB" w:bidi="ar-SA"/>
    </w:rPr>
  </w:style>
  <w:style w:type="paragraph" w:styleId="MacroText">
    <w:name w:val="macro"/>
    <w:link w:val="MacroTextChar"/>
    <w:uiPriority w:val="99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urier New" w:hAnsi="Courier New" w:cs="Courier New"/>
      <w:lang w:val="en-GB" w:bidi="ar-SA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 w:bidi="ar-SA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18"/>
      </w:numPr>
      <w:spacing w:before="240" w:after="120" w:line="400" w:lineRule="exact"/>
    </w:pPr>
    <w:rPr>
      <w:rFonts w:asciiTheme="majorHAnsi" w:hAnsiTheme="majorHAnsi" w:cs="Calibri Light"/>
      <w:color w:val="4F2D7F" w:themeColor="accent1"/>
      <w:sz w:val="36"/>
      <w:lang w:val="en-GB" w:bidi="ar-SA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18"/>
      </w:numPr>
      <w:spacing w:before="240" w:after="120" w:line="320" w:lineRule="exact"/>
    </w:pPr>
    <w:rPr>
      <w:rFonts w:asciiTheme="majorHAnsi" w:hAnsiTheme="majorHAnsi" w:cs="Calibri Light"/>
      <w:color w:val="4F2D7F" w:themeColor="accent1"/>
      <w:sz w:val="26"/>
      <w:szCs w:val="28"/>
      <w:lang w:val="en-GB" w:bidi="ar-SA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locked/>
    <w:rsid w:val="00452E7B"/>
    <w:rPr>
      <w:rFonts w:asciiTheme="minorHAnsi" w:hAnsiTheme="minorHAnsi" w:cs="Tahoma"/>
      <w:sz w:val="16"/>
      <w:szCs w:val="16"/>
      <w:lang w:val="en-GB" w:eastAsia="x-none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  <w:lang w:bidi="ar-SA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blStylePr w:type="firstRow">
      <w:rPr>
        <w:rFonts w:asciiTheme="minorHAnsi" w:hAnsiTheme="minorHAnsi" w:cs="Times New Roman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 w:bidi="ar-SA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="Calibri Light"/>
      <w:color w:val="4F2D7F" w:themeColor="accent1"/>
      <w:sz w:val="72"/>
    </w:r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 w:bidi="ar-SA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styleId="Hyperlink">
    <w:name w:val="Hyperlink"/>
    <w:basedOn w:val="DefaultParagraphFont"/>
    <w:uiPriority w:val="99"/>
    <w:rsid w:val="00452E7B"/>
    <w:rPr>
      <w:rFonts w:cs="Times New Roman"/>
      <w:color w:val="0000FF"/>
      <w:u w:val="single"/>
      <w:lang w:val="en-GB" w:eastAsia="x-none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 w:eastAsia="x-none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 w:bidi="ar-SA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uiPriority w:val="99"/>
    <w:semiHidden/>
    <w:rsid w:val="00452E7B"/>
    <w:rPr>
      <w:rFonts w:asciiTheme="minorHAnsi" w:hAnsiTheme="minorHAnsi" w:cs="Times New Roman"/>
      <w:lang w:val="en-GB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52E7B"/>
    <w:rPr>
      <w:rFonts w:asciiTheme="minorHAnsi" w:hAnsiTheme="minorHAnsi" w:cs="Arial"/>
      <w:sz w:val="21"/>
      <w:szCs w:val="21"/>
      <w:lang w:val="en-GB" w:eastAsia="x-none"/>
    </w:r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bidi="ar-SA"/>
    </w:rPr>
  </w:style>
  <w:style w:type="character" w:customStyle="1" w:styleId="ReportColour">
    <w:name w:val="Report Colour"/>
    <w:basedOn w:val="DefaultParagraphFont"/>
    <w:rsid w:val="00452E7B"/>
    <w:rPr>
      <w:rFonts w:cs="Times New Roman"/>
      <w:color w:val="4F2D7F" w:themeColor="accent1"/>
      <w:lang w:val="en-GB" w:eastAsia="x-none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="Calibri Light"/>
      <w:color w:val="4F2D7F" w:themeColor="accent1"/>
      <w:sz w:val="72"/>
    </w:rPr>
  </w:style>
  <w:style w:type="paragraph" w:styleId="TOC4">
    <w:name w:val="toc 4"/>
    <w:basedOn w:val="Normal"/>
    <w:next w:val="Normal"/>
    <w:autoRedefine/>
    <w:uiPriority w:val="39"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uiPriority w:val="39"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uiPriority w:val="39"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uiPriority w:val="39"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uiPriority w:val="39"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uiPriority w:val="39"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uiPriority w:val="99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="Cordia New"/>
      <w:i/>
      <w:iCs/>
      <w:color w:val="4F2D7F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A0DFE"/>
    <w:rPr>
      <w:rFonts w:asciiTheme="minorHAnsi" w:hAnsiTheme="minorHAnsi" w:cs="Arial"/>
      <w:sz w:val="16"/>
      <w:szCs w:val="16"/>
      <w:lang w:val="en-GB" w:eastAsia="x-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A0DFE"/>
    <w:rPr>
      <w:rFonts w:asciiTheme="minorHAnsi" w:hAnsiTheme="minorHAnsi" w:cs="Arial"/>
      <w:sz w:val="16"/>
      <w:szCs w:val="16"/>
      <w:lang w:val="en-GB" w:eastAsia="x-none"/>
    </w:rPr>
  </w:style>
  <w:style w:type="character" w:styleId="BookTitle">
    <w:name w:val="Book Title"/>
    <w:basedOn w:val="DefaultParagraphFont"/>
    <w:uiPriority w:val="33"/>
    <w:semiHidden/>
    <w:rsid w:val="004A0DFE"/>
    <w:rPr>
      <w:rFonts w:cs="Times New Roman"/>
      <w:b/>
      <w:bCs/>
      <w:i/>
      <w:iCs/>
      <w:spacing w:val="5"/>
      <w:lang w:val="en-GB" w:eastAsia="x-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rFonts w:cs="Times New Roman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rPr>
        <w:rFonts w:cs="Times New Roman"/>
      </w:rPr>
      <w:tblPr/>
      <w:tcPr>
        <w:shd w:val="clear" w:color="auto" w:fill="808080" w:themeFill="text1" w:themeFillTint="7F"/>
      </w:tcPr>
    </w:tblStylePr>
    <w:tblStylePr w:type="band1Horz">
      <w:rPr>
        <w:rFonts w:cs="Times New Roman"/>
      </w:rPr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rFonts w:cs="Times New Roman"/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rPr>
        <w:rFonts w:cs="Times New Roman"/>
      </w:rPr>
      <w:tblPr/>
      <w:tcPr>
        <w:shd w:val="clear" w:color="auto" w:fill="A382D3" w:themeFill="accent1" w:themeFillTint="7F"/>
      </w:tcPr>
    </w:tblStylePr>
    <w:tblStylePr w:type="band1Horz">
      <w:rPr>
        <w:rFonts w:cs="Times New Roman"/>
      </w:rPr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rFonts w:cs="Times New Roman"/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rPr>
        <w:rFonts w:cs="Times New Roman"/>
      </w:rPr>
      <w:tblPr/>
      <w:tcPr>
        <w:shd w:val="clear" w:color="auto" w:fill="E3DED7" w:themeFill="accent2" w:themeFillTint="7F"/>
      </w:tcPr>
    </w:tblStylePr>
    <w:tblStylePr w:type="band1Horz">
      <w:rPr>
        <w:rFonts w:cs="Times New Roman"/>
      </w:rPr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rFonts w:cs="Times New Roman"/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rPr>
        <w:rFonts w:cs="Times New Roman"/>
      </w:rPr>
      <w:tblPr/>
      <w:tcPr>
        <w:shd w:val="clear" w:color="auto" w:fill="5BF2FF" w:themeFill="accent3" w:themeFillTint="7F"/>
      </w:tcPr>
    </w:tblStylePr>
    <w:tblStylePr w:type="band1Horz">
      <w:rPr>
        <w:rFonts w:cs="Times New Roman"/>
      </w:rPr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rFonts w:cs="Times New Roman"/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rPr>
        <w:rFonts w:cs="Times New Roman"/>
      </w:rPr>
      <w:tblPr/>
      <w:tcPr>
        <w:shd w:val="clear" w:color="auto" w:fill="FFBD8E" w:themeFill="accent4" w:themeFillTint="7F"/>
      </w:tcPr>
    </w:tblStylePr>
    <w:tblStylePr w:type="band1Horz">
      <w:rPr>
        <w:rFonts w:cs="Times New Roman"/>
      </w:rPr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rFonts w:cs="Times New Roman"/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rPr>
        <w:rFonts w:cs="Times New Roman"/>
      </w:rPr>
      <w:tblPr/>
      <w:tcPr>
        <w:shd w:val="clear" w:color="auto" w:fill="CDEB98" w:themeFill="accent5" w:themeFillTint="7F"/>
      </w:tcPr>
    </w:tblStylePr>
    <w:tblStylePr w:type="band1Horz">
      <w:rPr>
        <w:rFonts w:cs="Times New Roman"/>
      </w:rPr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rFonts w:cs="Times New Roman"/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rFonts w:cs="Times New Roman"/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rFonts w:cs="Times New Roman"/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rFonts w:cs="Times New Roman"/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rPr>
        <w:rFonts w:cs="Times New Roman"/>
      </w:rPr>
      <w:tblPr/>
      <w:tcPr>
        <w:shd w:val="clear" w:color="auto" w:fill="F493A0" w:themeFill="accent6" w:themeFillTint="7F"/>
      </w:tcPr>
    </w:tblStylePr>
    <w:tblStylePr w:type="band1Horz">
      <w:rPr>
        <w:rFonts w:cs="Times New Roman"/>
      </w:rPr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rFonts w:cs="Times New Roman"/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rFonts w:cs="Times New Roman"/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rFonts w:cs="Times New Roman"/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rFonts w:cs="Times New Roman"/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rFonts w:cs="Times New Roman"/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rFonts w:cs="Times New Roman"/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rFonts w:cs="Times New Roman"/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rPr>
        <w:rFonts w:cs="Times New Roman"/>
      </w:rPr>
      <w:tblPr/>
      <w:tcPr>
        <w:shd w:val="clear" w:color="auto" w:fill="999999" w:themeFill="text1" w:themeFillTint="66"/>
      </w:tcPr>
    </w:tblStylePr>
    <w:tblStylePr w:type="band1Horz">
      <w:rPr>
        <w:rFonts w:cs="Times New Roman"/>
      </w:rPr>
      <w:tblPr/>
      <w:tcPr>
        <w:shd w:val="clear" w:color="auto" w:fill="808080" w:themeFill="text1" w:themeFillTint="7F"/>
      </w:tcPr>
    </w:tblStylePr>
    <w:tblStylePr w:type="neCell">
      <w:rPr>
        <w:rFonts w:cs="Times New Roman"/>
        <w:color w:val="000000" w:themeColor="text1"/>
      </w:rPr>
    </w:tblStylePr>
    <w:tblStylePr w:type="nwCell">
      <w:rPr>
        <w:rFonts w:cs="Times New Roman"/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rPr>
        <w:rFonts w:cs="Times New Roman"/>
      </w:rPr>
      <w:tblPr/>
      <w:tcPr>
        <w:shd w:val="clear" w:color="auto" w:fill="B59BDB" w:themeFill="accent1" w:themeFillTint="66"/>
      </w:tcPr>
    </w:tblStylePr>
    <w:tblStylePr w:type="band1Horz">
      <w:rPr>
        <w:rFonts w:cs="Times New Roman"/>
      </w:rPr>
      <w:tblPr/>
      <w:tcPr>
        <w:shd w:val="clear" w:color="auto" w:fill="A382D3" w:themeFill="accent1" w:themeFillTint="7F"/>
      </w:tcPr>
    </w:tblStylePr>
    <w:tblStylePr w:type="neCell">
      <w:rPr>
        <w:rFonts w:cs="Times New Roman"/>
        <w:color w:val="000000" w:themeColor="text1"/>
      </w:rPr>
    </w:tblStylePr>
    <w:tblStylePr w:type="nwCell">
      <w:rPr>
        <w:rFonts w:cs="Times New Roman"/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rPr>
        <w:rFonts w:cs="Times New Roman"/>
      </w:rPr>
      <w:tblPr/>
      <w:tcPr>
        <w:shd w:val="clear" w:color="auto" w:fill="E9E5DF" w:themeFill="accent2" w:themeFillTint="66"/>
      </w:tcPr>
    </w:tblStylePr>
    <w:tblStylePr w:type="band1Horz">
      <w:rPr>
        <w:rFonts w:cs="Times New Roman"/>
      </w:rPr>
      <w:tblPr/>
      <w:tcPr>
        <w:shd w:val="clear" w:color="auto" w:fill="E3DED7" w:themeFill="accent2" w:themeFillTint="7F"/>
      </w:tcPr>
    </w:tblStylePr>
    <w:tblStylePr w:type="neCell">
      <w:rPr>
        <w:rFonts w:cs="Times New Roman"/>
        <w:color w:val="000000" w:themeColor="text1"/>
      </w:rPr>
    </w:tblStylePr>
    <w:tblStylePr w:type="nwCell">
      <w:rPr>
        <w:rFonts w:cs="Times New Roman"/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rPr>
        <w:rFonts w:cs="Times New Roman"/>
      </w:rPr>
      <w:tblPr/>
      <w:tcPr>
        <w:shd w:val="clear" w:color="auto" w:fill="7BF4FF" w:themeFill="accent3" w:themeFillTint="66"/>
      </w:tcPr>
    </w:tblStylePr>
    <w:tblStylePr w:type="band1Horz">
      <w:rPr>
        <w:rFonts w:cs="Times New Roman"/>
      </w:rPr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rPr>
        <w:rFonts w:cs="Times New Roman"/>
      </w:rPr>
      <w:tblPr/>
      <w:tcPr>
        <w:shd w:val="clear" w:color="auto" w:fill="FFCAA5" w:themeFill="accent4" w:themeFillTint="66"/>
      </w:tcPr>
    </w:tblStylePr>
    <w:tblStylePr w:type="band1Horz">
      <w:rPr>
        <w:rFonts w:cs="Times New Roman"/>
      </w:rPr>
      <w:tblPr/>
      <w:tcPr>
        <w:shd w:val="clear" w:color="auto" w:fill="FFBD8E" w:themeFill="accent4" w:themeFillTint="7F"/>
      </w:tcPr>
    </w:tblStylePr>
    <w:tblStylePr w:type="neCell">
      <w:rPr>
        <w:rFonts w:cs="Times New Roman"/>
        <w:color w:val="000000" w:themeColor="text1"/>
      </w:rPr>
    </w:tblStylePr>
    <w:tblStylePr w:type="nwCell">
      <w:rPr>
        <w:rFonts w:cs="Times New Roman"/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rPr>
        <w:rFonts w:cs="Times New Roman"/>
      </w:rPr>
      <w:tblPr/>
      <w:tcPr>
        <w:shd w:val="clear" w:color="auto" w:fill="D6EFAD" w:themeFill="accent5" w:themeFillTint="66"/>
      </w:tcPr>
    </w:tblStylePr>
    <w:tblStylePr w:type="band1Horz">
      <w:rPr>
        <w:rFonts w:cs="Times New Roman"/>
      </w:rPr>
      <w:tblPr/>
      <w:tcPr>
        <w:shd w:val="clear" w:color="auto" w:fill="CDEB98" w:themeFill="accent5" w:themeFillTint="7F"/>
      </w:tcPr>
    </w:tblStylePr>
    <w:tblStylePr w:type="neCell">
      <w:rPr>
        <w:rFonts w:cs="Times New Roman"/>
        <w:color w:val="000000" w:themeColor="text1"/>
      </w:rPr>
    </w:tblStylePr>
    <w:tblStylePr w:type="nwCell">
      <w:rPr>
        <w:rFonts w:cs="Times New Roman"/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rFonts w:cs="Times New Roman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rPr>
        <w:rFonts w:cs="Times New Roman"/>
      </w:rPr>
      <w:tblPr/>
      <w:tcPr>
        <w:shd w:val="clear" w:color="auto" w:fill="F6A8B2" w:themeFill="accent6" w:themeFillTint="66"/>
      </w:tcPr>
    </w:tblStylePr>
    <w:tblStylePr w:type="band1Horz">
      <w:rPr>
        <w:rFonts w:cs="Times New Roman"/>
      </w:rPr>
      <w:tblPr/>
      <w:tcPr>
        <w:shd w:val="clear" w:color="auto" w:fill="F493A0" w:themeFill="accent6" w:themeFillTint="7F"/>
      </w:tcPr>
    </w:tblStylePr>
    <w:tblStylePr w:type="neCell">
      <w:rPr>
        <w:rFonts w:cs="Times New Roman"/>
        <w:color w:val="000000" w:themeColor="text1"/>
      </w:rPr>
    </w:tblStylePr>
    <w:tblStylePr w:type="nwCell">
      <w:rPr>
        <w:rFonts w:cs="Times New Roman"/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rFonts w:cs="Times New Roman"/>
      <w:sz w:val="16"/>
      <w:szCs w:val="16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A0DFE"/>
    <w:rPr>
      <w:rFonts w:asciiTheme="minorHAnsi" w:hAnsiTheme="minorHAnsi" w:cs="Arial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A0DFE"/>
    <w:rPr>
      <w:rFonts w:asciiTheme="minorHAnsi" w:hAnsiTheme="minorHAnsi" w:cs="Arial"/>
      <w:b/>
      <w:bCs/>
      <w:lang w:val="en-GB" w:eastAsia="x-none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  <w:lang w:bidi="ar-SA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</w:rPr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rPr>
        <w:rFonts w:cs="Times New Roman"/>
      </w:rPr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A0DFE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A0DFE"/>
    <w:rPr>
      <w:rFonts w:ascii="Segoe UI" w:hAnsi="Segoe UI" w:cs="Segoe UI"/>
      <w:sz w:val="16"/>
      <w:szCs w:val="16"/>
      <w:lang w:val="en-GB" w:eastAsia="x-none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character" w:styleId="Emphasis">
    <w:name w:val="Emphasis"/>
    <w:basedOn w:val="DefaultParagraphFont"/>
    <w:uiPriority w:val="20"/>
    <w:semiHidden/>
    <w:unhideWhenUsed/>
    <w:rsid w:val="004A0DFE"/>
    <w:rPr>
      <w:rFonts w:cs="Times New Roman"/>
      <w:i/>
      <w:iCs/>
      <w:lang w:val="en-GB" w:eastAsia="x-none"/>
    </w:rPr>
  </w:style>
  <w:style w:type="character" w:styleId="EndnoteReference">
    <w:name w:val="endnote reference"/>
    <w:basedOn w:val="DefaultParagraphFont"/>
    <w:uiPriority w:val="99"/>
    <w:semiHidden/>
    <w:unhideWhenUsed/>
    <w:rsid w:val="004A0DFE"/>
    <w:rPr>
      <w:rFonts w:cs="Times New Roman"/>
      <w:vertAlign w:val="superscript"/>
      <w:lang w:val="en-GB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4A0DFE"/>
    <w:rPr>
      <w:rFonts w:asciiTheme="minorHAnsi" w:hAnsiTheme="minorHAnsi" w:cs="Arial"/>
      <w:lang w:val="en-GB" w:eastAsia="x-none"/>
    </w:rPr>
  </w:style>
  <w:style w:type="paragraph" w:styleId="EnvelopeAddress">
    <w:name w:val="envelope address"/>
    <w:basedOn w:val="Normal"/>
    <w:uiPriority w:val="99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="Angsana New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="Angsana New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A0DFE"/>
    <w:rPr>
      <w:rFonts w:cs="Times New Roman"/>
      <w:color w:val="800080" w:themeColor="followedHyperlink"/>
      <w:u w:val="single"/>
      <w:lang w:val="en-GB" w:eastAsia="x-none"/>
    </w:rPr>
  </w:style>
  <w:style w:type="character" w:styleId="FootnoteReference">
    <w:name w:val="footnote reference"/>
    <w:basedOn w:val="DefaultParagraphFont"/>
    <w:uiPriority w:val="99"/>
    <w:semiHidden/>
    <w:unhideWhenUsed/>
    <w:rsid w:val="004A0DFE"/>
    <w:rPr>
      <w:rFonts w:cs="Times New Roman"/>
      <w:vertAlign w:val="superscript"/>
      <w:lang w:val="en-GB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A0DFE"/>
    <w:rPr>
      <w:rFonts w:asciiTheme="minorHAnsi" w:hAnsiTheme="minorHAnsi" w:cs="Arial"/>
      <w:lang w:val="en-GB" w:eastAsia="x-none"/>
    </w:rPr>
  </w:style>
  <w:style w:type="table" w:styleId="GridTable1Light">
    <w:name w:val="Grid Table 1 Light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rPr>
      <w:lang w:bidi="ar-SA"/>
    </w:rPr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2">
    <w:name w:val="Grid Table 2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666666" w:themeColor="text1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666666" w:themeColor="text1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666666" w:themeColor="text1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9069CA" w:themeColor="accent1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9069CA" w:themeColor="accent1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9069CA" w:themeColor="accent1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DED8CF" w:themeColor="accent2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DED8CF" w:themeColor="accent2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DED8CF" w:themeColor="accent2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39EFFF" w:themeColor="accent3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39EFFF" w:themeColor="accent3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39EFFF" w:themeColor="accent3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FFB078" w:themeColor="accent4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FFB078" w:themeColor="accent4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FFB078" w:themeColor="accent4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C2E784" w:themeColor="accent5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C2E784" w:themeColor="accent5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C2E784" w:themeColor="accent5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F17D8C" w:themeColor="accent6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F17D8C" w:themeColor="accent6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F17D8C" w:themeColor="accent6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rPr>
        <w:rFonts w:cs="Times New Roman"/>
      </w:rPr>
      <w:tblPr/>
      <w:tcPr>
        <w:shd w:val="clear" w:color="auto" w:fill="999999" w:themeFill="text1" w:themeFillTint="66"/>
      </w:tcPr>
    </w:tblStylePr>
    <w:tblStylePr w:type="band1Horz">
      <w:rPr>
        <w:rFonts w:cs="Times New Roman"/>
      </w:rPr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rPr>
        <w:rFonts w:cs="Times New Roman"/>
      </w:rPr>
      <w:tblPr/>
      <w:tcPr>
        <w:shd w:val="clear" w:color="auto" w:fill="B59BDB" w:themeFill="accent1" w:themeFillTint="66"/>
      </w:tcPr>
    </w:tblStylePr>
    <w:tblStylePr w:type="band1Horz">
      <w:rPr>
        <w:rFonts w:cs="Times New Roman"/>
      </w:rPr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rPr>
        <w:rFonts w:cs="Times New Roman"/>
      </w:rPr>
      <w:tblPr/>
      <w:tcPr>
        <w:shd w:val="clear" w:color="auto" w:fill="E9E5DF" w:themeFill="accent2" w:themeFillTint="66"/>
      </w:tcPr>
    </w:tblStylePr>
    <w:tblStylePr w:type="band1Horz">
      <w:rPr>
        <w:rFonts w:cs="Times New Roman"/>
      </w:rPr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rPr>
        <w:rFonts w:cs="Times New Roman"/>
      </w:rPr>
      <w:tblPr/>
      <w:tcPr>
        <w:shd w:val="clear" w:color="auto" w:fill="7BF4FF" w:themeFill="accent3" w:themeFillTint="66"/>
      </w:tcPr>
    </w:tblStylePr>
    <w:tblStylePr w:type="band1Horz">
      <w:rPr>
        <w:rFonts w:cs="Times New Roman"/>
      </w:rPr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rPr>
        <w:rFonts w:cs="Times New Roman"/>
      </w:rPr>
      <w:tblPr/>
      <w:tcPr>
        <w:shd w:val="clear" w:color="auto" w:fill="FFCAA5" w:themeFill="accent4" w:themeFillTint="66"/>
      </w:tcPr>
    </w:tblStylePr>
    <w:tblStylePr w:type="band1Horz">
      <w:rPr>
        <w:rFonts w:cs="Times New Roman"/>
      </w:rPr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rPr>
        <w:rFonts w:cs="Times New Roman"/>
      </w:rPr>
      <w:tblPr/>
      <w:tcPr>
        <w:shd w:val="clear" w:color="auto" w:fill="D6EFAD" w:themeFill="accent5" w:themeFillTint="66"/>
      </w:tcPr>
    </w:tblStylePr>
    <w:tblStylePr w:type="band1Horz">
      <w:rPr>
        <w:rFonts w:cs="Times New Roman"/>
      </w:rPr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rPr>
      <w:lang w:bidi="ar-S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rPr>
        <w:rFonts w:cs="Times New Roman"/>
      </w:rPr>
      <w:tblPr/>
      <w:tcPr>
        <w:shd w:val="clear" w:color="auto" w:fill="F6A8B2" w:themeFill="accent6" w:themeFillTint="66"/>
      </w:tcPr>
    </w:tblStylePr>
    <w:tblStylePr w:type="band1Horz">
      <w:rPr>
        <w:rFonts w:cs="Times New Roman"/>
      </w:rPr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  <w:lang w:bidi="ar-SA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  <w:lang w:bidi="ar-SA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  <w:lang w:bidi="ar-SA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  <w:lang w:bidi="ar-SA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  <w:lang w:bidi="ar-SA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  <w:lang w:bidi="ar-SA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666666" w:themeColor="text1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666666" w:themeColor="text1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666666" w:themeColor="text1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  <w:lang w:bidi="ar-SA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9069CA" w:themeColor="accent1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9069CA" w:themeColor="accent1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9069CA" w:themeColor="accent1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  <w:lang w:bidi="ar-SA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DED8CF" w:themeColor="accent2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DED8CF" w:themeColor="accent2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DED8CF" w:themeColor="accent2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  <w:lang w:bidi="ar-SA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39EFFF" w:themeColor="accent3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39EFFF" w:themeColor="accent3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39EFFF" w:themeColor="accent3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  <w:lang w:bidi="ar-SA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FFB078" w:themeColor="accent4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FFB078" w:themeColor="accent4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FFB078" w:themeColor="accent4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  <w:lang w:bidi="ar-SA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C2E784" w:themeColor="accent5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C2E784" w:themeColor="accent5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C2E784" w:themeColor="accent5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  <w:lang w:bidi="ar-SA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rFonts w:cs="Times New Roman"/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Times New Roman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cs="Times New Roman"/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Times New Roman"/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  <w:tblStylePr w:type="neCell">
      <w:rPr>
        <w:rFonts w:cs="Times New Roman"/>
      </w:rPr>
      <w:tblPr/>
      <w:tcPr>
        <w:tcBorders>
          <w:bottom w:val="single" w:sz="4" w:space="0" w:color="F17D8C" w:themeColor="accent6" w:themeTint="99"/>
        </w:tcBorders>
      </w:tcPr>
    </w:tblStylePr>
    <w:tblStylePr w:type="nwCell">
      <w:rPr>
        <w:rFonts w:cs="Times New Roman"/>
      </w:rPr>
      <w:tblPr/>
      <w:tcPr>
        <w:tcBorders>
          <w:bottom w:val="single" w:sz="4" w:space="0" w:color="F17D8C" w:themeColor="accent6" w:themeTint="99"/>
        </w:tcBorders>
      </w:tcPr>
    </w:tblStylePr>
    <w:tblStylePr w:type="seCell">
      <w:rPr>
        <w:rFonts w:cs="Times New Roman"/>
      </w:rPr>
      <w:tblPr/>
      <w:tcPr>
        <w:tcBorders>
          <w:top w:val="single" w:sz="4" w:space="0" w:color="F17D8C" w:themeColor="accent6" w:themeTint="99"/>
        </w:tcBorders>
      </w:tcPr>
    </w:tblStylePr>
    <w:tblStylePr w:type="swCell">
      <w:rPr>
        <w:rFonts w:cs="Times New Roman"/>
      </w:rPr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rFonts w:cs="Times New Roman"/>
      <w:color w:val="2B579A"/>
      <w:shd w:val="clear" w:color="auto" w:fill="E6E6E6"/>
      <w:lang w:val="en-GB" w:eastAsia="x-none"/>
    </w:rPr>
  </w:style>
  <w:style w:type="character" w:styleId="HTMLAcronym">
    <w:name w:val="HTML Acronym"/>
    <w:basedOn w:val="DefaultParagraphFont"/>
    <w:uiPriority w:val="99"/>
    <w:semiHidden/>
    <w:unhideWhenUsed/>
    <w:rsid w:val="004A0DFE"/>
    <w:rPr>
      <w:rFonts w:cs="Times New Roman"/>
      <w:lang w:val="en-GB" w:eastAsia="x-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locked/>
    <w:rsid w:val="004A0DFE"/>
    <w:rPr>
      <w:rFonts w:asciiTheme="minorHAnsi" w:hAnsiTheme="minorHAnsi" w:cs="Arial"/>
      <w:i/>
      <w:iCs/>
      <w:sz w:val="18"/>
      <w:lang w:val="en-GB" w:eastAsia="x-none"/>
    </w:rPr>
  </w:style>
  <w:style w:type="character" w:styleId="HTMLCite">
    <w:name w:val="HTML Cite"/>
    <w:basedOn w:val="DefaultParagraphFont"/>
    <w:uiPriority w:val="99"/>
    <w:semiHidden/>
    <w:unhideWhenUsed/>
    <w:rsid w:val="004A0DFE"/>
    <w:rPr>
      <w:rFonts w:cs="Times New Roman"/>
      <w:i/>
      <w:iCs/>
      <w:lang w:val="en-GB" w:eastAsia="x-none"/>
    </w:rPr>
  </w:style>
  <w:style w:type="character" w:styleId="HTMLCode">
    <w:name w:val="HTML Code"/>
    <w:basedOn w:val="DefaultParagraphFont"/>
    <w:uiPriority w:val="99"/>
    <w:semiHidden/>
    <w:unhideWhenUsed/>
    <w:rsid w:val="004A0DFE"/>
    <w:rPr>
      <w:rFonts w:ascii="Consolas" w:hAnsi="Consolas" w:cs="Times New Roman"/>
      <w:sz w:val="20"/>
      <w:szCs w:val="20"/>
      <w:lang w:val="en-GB" w:eastAsia="x-none"/>
    </w:rPr>
  </w:style>
  <w:style w:type="character" w:styleId="HTMLDefinition">
    <w:name w:val="HTML Definition"/>
    <w:basedOn w:val="DefaultParagraphFont"/>
    <w:uiPriority w:val="99"/>
    <w:semiHidden/>
    <w:unhideWhenUsed/>
    <w:rsid w:val="004A0DFE"/>
    <w:rPr>
      <w:rFonts w:cs="Times New Roman"/>
      <w:i/>
      <w:iCs/>
      <w:lang w:val="en-GB" w:eastAsia="x-none"/>
    </w:rPr>
  </w:style>
  <w:style w:type="character" w:styleId="HTMLKeyboard">
    <w:name w:val="HTML Keyboard"/>
    <w:basedOn w:val="DefaultParagraphFont"/>
    <w:uiPriority w:val="99"/>
    <w:semiHidden/>
    <w:unhideWhenUsed/>
    <w:rsid w:val="004A0DFE"/>
    <w:rPr>
      <w:rFonts w:ascii="Consolas" w:hAnsi="Consolas" w:cs="Times New Roman"/>
      <w:sz w:val="20"/>
      <w:szCs w:val="20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4A0DFE"/>
    <w:rPr>
      <w:rFonts w:ascii="Consolas" w:hAnsi="Consolas" w:cs="Arial"/>
      <w:lang w:val="en-GB" w:eastAsia="x-none"/>
    </w:rPr>
  </w:style>
  <w:style w:type="character" w:styleId="HTMLSample">
    <w:name w:val="HTML Sample"/>
    <w:basedOn w:val="DefaultParagraphFont"/>
    <w:uiPriority w:val="99"/>
    <w:semiHidden/>
    <w:unhideWhenUsed/>
    <w:rsid w:val="004A0DFE"/>
    <w:rPr>
      <w:rFonts w:ascii="Consolas" w:hAnsi="Consolas" w:cs="Times New Roman"/>
      <w:sz w:val="24"/>
      <w:szCs w:val="24"/>
      <w:lang w:val="en-GB" w:eastAsia="x-none"/>
    </w:rPr>
  </w:style>
  <w:style w:type="character" w:styleId="HTMLTypewriter">
    <w:name w:val="HTML Typewriter"/>
    <w:basedOn w:val="DefaultParagraphFont"/>
    <w:uiPriority w:val="99"/>
    <w:semiHidden/>
    <w:unhideWhenUsed/>
    <w:rsid w:val="004A0DFE"/>
    <w:rPr>
      <w:rFonts w:ascii="Consolas" w:hAnsi="Consolas" w:cs="Times New Roman"/>
      <w:sz w:val="20"/>
      <w:szCs w:val="20"/>
      <w:lang w:val="en-GB" w:eastAsia="x-none"/>
    </w:rPr>
  </w:style>
  <w:style w:type="character" w:styleId="HTMLVariable">
    <w:name w:val="HTML Variable"/>
    <w:basedOn w:val="DefaultParagraphFont"/>
    <w:uiPriority w:val="99"/>
    <w:semiHidden/>
    <w:unhideWhenUsed/>
    <w:rsid w:val="004A0DFE"/>
    <w:rPr>
      <w:rFonts w:cs="Times New Roman"/>
      <w:i/>
      <w:iCs/>
      <w:lang w:val="en-GB" w:eastAsia="x-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A0DFE"/>
    <w:rPr>
      <w:rFonts w:asciiTheme="majorHAnsi" w:eastAsiaTheme="majorEastAsia" w:hAnsiTheme="majorHAnsi" w:cs="Angsana New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rFonts w:cs="Times New Roman"/>
      <w:i/>
      <w:iCs/>
      <w:color w:val="4F2D7F" w:themeColor="accent1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locked/>
    <w:rsid w:val="004A0DFE"/>
    <w:rPr>
      <w:rFonts w:asciiTheme="minorHAnsi" w:hAnsiTheme="minorHAnsi" w:cs="Arial"/>
      <w:i/>
      <w:iCs/>
      <w:color w:val="4F2D7F" w:themeColor="accent1"/>
      <w:sz w:val="18"/>
      <w:lang w:val="en-GB" w:eastAsia="x-none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rFonts w:cs="Times New Roman"/>
      <w:b/>
      <w:bCs/>
      <w:smallCaps/>
      <w:color w:val="4F2D7F" w:themeColor="accent1"/>
      <w:spacing w:val="5"/>
      <w:lang w:val="en-GB" w:eastAsia="x-none"/>
    </w:rPr>
  </w:style>
  <w:style w:type="table" w:styleId="LightGrid">
    <w:name w:val="Light Grid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/>
      </w:pPr>
      <w:rPr>
        <w:rFonts w:asciiTheme="majorHAnsi" w:eastAsiaTheme="majorEastAsia" w:hAnsiTheme="majorHAnsi" w:cs="Angsana New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="Angsana New"/>
        <w:b/>
        <w:bCs/>
      </w:rPr>
    </w:tblStylePr>
    <w:tblStylePr w:type="lastCol">
      <w:rPr>
        <w:rFonts w:asciiTheme="majorHAnsi" w:eastAsiaTheme="majorEastAsia" w:hAnsiTheme="majorHAnsi" w:cs="Angsana New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rPr>
        <w:rFonts w:cs="Times New Roman"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rPr>
        <w:rFonts w:cs="Times New Roman"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  <w:lang w:bidi="ar-SA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  <w:lang w:bidi="ar-SA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  <w:lang w:bidi="ar-SA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  <w:lang w:bidi="ar-SA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  <w:lang w:bidi="ar-SA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  <w:lang w:bidi="ar-SA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  <w:lang w:bidi="ar-SA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4A0DFE"/>
    <w:rPr>
      <w:rFonts w:cs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4A0DFE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4A0DFE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4A0DFE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A0DFE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rPr>
      <w:lang w:bidi="ar-SA"/>
    </w:rPr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rPr>
      <w:lang w:bidi="ar-SA"/>
    </w:rPr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rFonts w:cs="Times New Roman"/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rPr>
        <w:rFonts w:cs="Times New Roman"/>
      </w:rPr>
      <w:tblPr/>
      <w:tcPr>
        <w:tcBorders>
          <w:left w:val="nil"/>
          <w:bottom w:val="nil"/>
        </w:tcBorders>
      </w:tcPr>
    </w:tblStylePr>
    <w:tblStylePr w:type="nwCell">
      <w:rPr>
        <w:rFonts w:cs="Times New Roman"/>
      </w:rPr>
      <w:tblPr/>
      <w:tcPr>
        <w:tcBorders>
          <w:bottom w:val="nil"/>
          <w:right w:val="nil"/>
        </w:tcBorders>
      </w:tcPr>
    </w:tblStylePr>
    <w:tblStylePr w:type="seCell">
      <w:rPr>
        <w:rFonts w:cs="Times New Roman"/>
      </w:rPr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rPr>
      <w:lang w:bidi="ar-SA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  <w:lang w:bidi="ar-SA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  <w:lang w:bidi="ar-SA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  <w:lang w:bidi="ar-SA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  <w:lang w:bidi="ar-SA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  <w:lang w:bidi="ar-SA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  <w:lang w:bidi="ar-SA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  <w:lang w:bidi="ar-SA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DACDED" w:themeFill="accent1" w:themeFillTint="33"/>
      </w:tcPr>
    </w:tblStylePr>
    <w:tblStylePr w:type="band1Horz">
      <w:rPr>
        <w:rFonts w:cs="Times New Roman"/>
      </w:rPr>
      <w:tblPr/>
      <w:tcPr>
        <w:shd w:val="clear" w:color="auto" w:fill="DACDED" w:themeFill="accent1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4F2EF" w:themeFill="accent2" w:themeFillTint="33"/>
      </w:tcPr>
    </w:tblStylePr>
    <w:tblStylePr w:type="band1Horz">
      <w:rPr>
        <w:rFonts w:cs="Times New Roman"/>
      </w:rPr>
      <w:tblPr/>
      <w:tcPr>
        <w:shd w:val="clear" w:color="auto" w:fill="F4F2EF" w:themeFill="accent2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BDF9FF" w:themeFill="accent3" w:themeFillTint="33"/>
      </w:tcPr>
    </w:tblStylePr>
    <w:tblStylePr w:type="band1Horz">
      <w:rPr>
        <w:rFonts w:cs="Times New Roman"/>
      </w:rPr>
      <w:tblPr/>
      <w:tcPr>
        <w:shd w:val="clear" w:color="auto" w:fill="BDF9FF" w:themeFill="accent3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FE4D2" w:themeFill="accent4" w:themeFillTint="33"/>
      </w:tcPr>
    </w:tblStylePr>
    <w:tblStylePr w:type="band1Horz">
      <w:rPr>
        <w:rFonts w:cs="Times New Roman"/>
      </w:rPr>
      <w:tblPr/>
      <w:tcPr>
        <w:shd w:val="clear" w:color="auto" w:fill="FFE4D2" w:themeFill="accent4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EAF7D6" w:themeFill="accent5" w:themeFillTint="33"/>
      </w:tcPr>
    </w:tblStylePr>
    <w:tblStylePr w:type="band1Horz">
      <w:rPr>
        <w:rFonts w:cs="Times New Roman"/>
      </w:rPr>
      <w:tblPr/>
      <w:tcPr>
        <w:shd w:val="clear" w:color="auto" w:fill="EAF7D6" w:themeFill="accent5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AD3D8" w:themeFill="accent6" w:themeFillTint="33"/>
      </w:tcPr>
    </w:tblStylePr>
    <w:tblStylePr w:type="band1Horz">
      <w:rPr>
        <w:rFonts w:cs="Times New Roman"/>
      </w:rPr>
      <w:tblPr/>
      <w:tcPr>
        <w:shd w:val="clear" w:color="auto" w:fill="FAD3D8" w:themeFill="accent6" w:themeFillTint="33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 w:themeFill="text1" w:themeFillTint="7F"/>
      </w:tcPr>
    </w:tblStylePr>
    <w:tblStylePr w:type="band1Horz">
      <w:rPr>
        <w:rFonts w:cs="Times New Roman"/>
      </w:rPr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382D3" w:themeFill="accent1" w:themeFillTint="7F"/>
      </w:tcPr>
    </w:tblStylePr>
    <w:tblStylePr w:type="band1Horz">
      <w:rPr>
        <w:rFonts w:cs="Times New Roman"/>
      </w:rPr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3DED7" w:themeFill="accent2" w:themeFillTint="7F"/>
      </w:tcPr>
    </w:tblStylePr>
    <w:tblStylePr w:type="band1Horz">
      <w:rPr>
        <w:rFonts w:cs="Times New Roman"/>
      </w:rPr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5BF2FF" w:themeFill="accent3" w:themeFillTint="7F"/>
      </w:tcPr>
    </w:tblStylePr>
    <w:tblStylePr w:type="band1Horz">
      <w:rPr>
        <w:rFonts w:cs="Times New Roman"/>
      </w:rPr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BD8E" w:themeFill="accent4" w:themeFillTint="7F"/>
      </w:tcPr>
    </w:tblStylePr>
    <w:tblStylePr w:type="band1Horz">
      <w:rPr>
        <w:rFonts w:cs="Times New Roman"/>
      </w:rPr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EB98" w:themeFill="accent5" w:themeFillTint="7F"/>
      </w:tcPr>
    </w:tblStylePr>
    <w:tblStylePr w:type="band1Horz">
      <w:rPr>
        <w:rFonts w:cs="Times New Roman"/>
      </w:rPr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493A0" w:themeFill="accent6" w:themeFillTint="7F"/>
      </w:tcPr>
    </w:tblStylePr>
    <w:tblStylePr w:type="band1Horz">
      <w:rPr>
        <w:rFonts w:cs="Times New Roman"/>
      </w:rPr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rPr>
        <w:rFonts w:cs="Angsana New"/>
      </w:rPr>
      <w:tblPr/>
      <w:tcPr>
        <w:shd w:val="clear" w:color="auto" w:fill="808080" w:themeFill="text1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rPr>
        <w:rFonts w:cs="Angsana New"/>
      </w:rPr>
      <w:tblPr/>
      <w:tcPr>
        <w:shd w:val="clear" w:color="auto" w:fill="A382D3" w:themeFill="accent1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rPr>
        <w:rFonts w:cs="Angsana New"/>
      </w:rPr>
      <w:tblPr/>
      <w:tcPr>
        <w:shd w:val="clear" w:color="auto" w:fill="E3DED7" w:themeFill="accent2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rPr>
        <w:rFonts w:cs="Angsana New"/>
      </w:rPr>
      <w:tblPr/>
      <w:tcPr>
        <w:shd w:val="clear" w:color="auto" w:fill="5BF2FF" w:themeFill="accent3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rPr>
        <w:rFonts w:cs="Angsana New"/>
      </w:rPr>
      <w:tblPr/>
      <w:tcPr>
        <w:shd w:val="clear" w:color="auto" w:fill="FFBD8E" w:themeFill="accent4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rPr>
        <w:rFonts w:cs="Angsana New"/>
      </w:rPr>
      <w:tblPr/>
      <w:tcPr>
        <w:shd w:val="clear" w:color="auto" w:fill="CDEB98" w:themeFill="accent5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rFonts w:cs="Angsana New"/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rFonts w:cs="Angsana New"/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rPr>
        <w:rFonts w:cs="Angsana New"/>
      </w:rPr>
      <w:tblPr/>
      <w:tcPr>
        <w:shd w:val="clear" w:color="auto" w:fill="F493A0" w:themeFill="accent6" w:themeFillTint="7F"/>
      </w:tcPr>
    </w:tblStylePr>
    <w:tblStylePr w:type="band1Horz">
      <w:rPr>
        <w:rFonts w:cs="Angsana New"/>
      </w:rPr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rPr>
        <w:rFonts w:cs="Times New Roman"/>
      </w:rPr>
      <w:tblPr/>
      <w:tcPr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rPr>
        <w:rFonts w:cs="Times New Roman"/>
      </w:rPr>
      <w:tblPr/>
      <w:tcPr>
        <w:shd w:val="clear" w:color="auto" w:fill="D1C1E9" w:themeFill="accent1" w:themeFillTint="3F"/>
      </w:tcPr>
    </w:tblStylePr>
    <w:tblStylePr w:type="band1Horz">
      <w:rPr>
        <w:rFonts w:cs="Times New Roman"/>
      </w:rPr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rPr>
        <w:rFonts w:cs="Times New Roman"/>
      </w:rPr>
      <w:tblPr/>
      <w:tcPr>
        <w:shd w:val="clear" w:color="auto" w:fill="F1EEEB" w:themeFill="accent2" w:themeFillTint="3F"/>
      </w:tcPr>
    </w:tblStylePr>
    <w:tblStylePr w:type="band1Horz">
      <w:rPr>
        <w:rFonts w:cs="Times New Roman"/>
      </w:rPr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rPr>
        <w:rFonts w:cs="Times New Roman"/>
      </w:rPr>
      <w:tblPr/>
      <w:tcPr>
        <w:shd w:val="clear" w:color="auto" w:fill="ADF8FF" w:themeFill="accent3" w:themeFillTint="3F"/>
      </w:tcPr>
    </w:tblStylePr>
    <w:tblStylePr w:type="band1Horz">
      <w:rPr>
        <w:rFonts w:cs="Times New Roman"/>
      </w:rPr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rPr>
        <w:rFonts w:cs="Times New Roman"/>
      </w:rPr>
      <w:tblPr/>
      <w:tcPr>
        <w:shd w:val="clear" w:color="auto" w:fill="FFDEC7" w:themeFill="accent4" w:themeFillTint="3F"/>
      </w:tcPr>
    </w:tblStylePr>
    <w:tblStylePr w:type="band1Horz">
      <w:rPr>
        <w:rFonts w:cs="Times New Roman"/>
      </w:rPr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rPr>
        <w:rFonts w:cs="Times New Roman"/>
      </w:rPr>
      <w:tblPr/>
      <w:tcPr>
        <w:shd w:val="clear" w:color="auto" w:fill="E6F5CC" w:themeFill="accent5" w:themeFillTint="3F"/>
      </w:tcPr>
    </w:tblStylePr>
    <w:tblStylePr w:type="band1Horz">
      <w:rPr>
        <w:rFonts w:cs="Times New Roman"/>
      </w:rPr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  <w:lang w:bidi="ar-SA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="Angsana New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rFonts w:cs="Times New Roman"/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rPr>
        <w:rFonts w:cs="Times New Roman"/>
      </w:rPr>
      <w:tblPr/>
      <w:tcPr>
        <w:shd w:val="clear" w:color="auto" w:fill="F9C9CF" w:themeFill="accent6" w:themeFillTint="3F"/>
      </w:tcPr>
    </w:tblStylePr>
    <w:tblStylePr w:type="band1Horz">
      <w:rPr>
        <w:rFonts w:cs="Times New Roman"/>
      </w:rPr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="Angsana New"/>
      <w:color w:val="000000" w:themeColor="text1"/>
      <w:lang w:bidi="ar-SA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rFonts w:cs="Angsana New"/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rFonts w:cs="Angsana New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Angsana New"/>
      </w:rPr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rFonts w:cs="Angsana New"/>
      </w:rPr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rPr>
        <w:rFonts w:cs="Angsana New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rPr>
        <w:rFonts w:cs="Angsana New"/>
      </w:rPr>
      <w:tblPr/>
      <w:tcPr>
        <w:shd w:val="clear" w:color="auto" w:fill="FFFFFF" w:themeFill="background1"/>
      </w:tcPr>
    </w:tblStylePr>
    <w:tblStylePr w:type="swCell">
      <w:rPr>
        <w:rFonts w:cs="Angsana New"/>
      </w:rPr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1C1E9" w:themeFill="accent1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1EEEB" w:themeFill="accent2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DF8FF" w:themeFill="accent3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FDEC7" w:themeFill="accent4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6F5CC" w:themeFill="accent5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9C9CF" w:themeFill="accent6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rPr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rFonts w:cs="Times New Roman"/>
      <w:color w:val="2B579A"/>
      <w:shd w:val="clear" w:color="auto" w:fill="E6E6E6"/>
      <w:lang w:val="en-GB" w:eastAsia="x-none"/>
    </w:rPr>
  </w:style>
  <w:style w:type="paragraph" w:styleId="MessageHeader">
    <w:name w:val="Message Header"/>
    <w:basedOn w:val="Normal"/>
    <w:link w:val="MessageHeaderChar"/>
    <w:uiPriority w:val="99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="Angsana New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sid w:val="004A0DFE"/>
    <w:rPr>
      <w:rFonts w:asciiTheme="majorHAnsi" w:eastAsiaTheme="majorEastAsia" w:hAnsiTheme="majorHAnsi" w:cs="Angsana New"/>
      <w:sz w:val="24"/>
      <w:szCs w:val="24"/>
      <w:shd w:val="pct20" w:color="auto" w:fill="auto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4A0DFE"/>
    <w:rPr>
      <w:rFonts w:cs="Times New Roman"/>
      <w:color w:val="808080"/>
      <w:lang w:val="en-GB" w:eastAsia="x-none"/>
    </w:rPr>
  </w:style>
  <w:style w:type="table" w:styleId="PlainTable1">
    <w:name w:val="Plain Table 1"/>
    <w:basedOn w:val="TableNormal"/>
    <w:uiPriority w:val="41"/>
    <w:rsid w:val="004A0DFE"/>
    <w:rPr>
      <w:lang w:bidi="ar-S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rPr>
      <w:lang w:bidi="ar-SA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rFonts w:cs="Times New Roman"/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rFonts w:cs="Times New Roman"/>
        <w:b/>
        <w:bCs/>
        <w:caps/>
      </w:rPr>
      <w:tblPr/>
      <w:tcPr>
        <w:tcBorders>
          <w:top w:val="nil"/>
        </w:tcBorders>
      </w:tcPr>
    </w:tblStylePr>
    <w:tblStylePr w:type="firstCol">
      <w:rPr>
        <w:rFonts w:cs="Times New Roman"/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rFonts w:cs="Times New Roman"/>
        <w:b/>
        <w:bCs/>
        <w:caps/>
      </w:rPr>
      <w:tblPr/>
      <w:tcPr>
        <w:tcBorders>
          <w:left w:val="nil"/>
        </w:tcBorders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rPr>
      <w:lang w:bidi="ar-S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="Angsana New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rPr>
        <w:rFonts w:cs="Times New Roman"/>
      </w:rPr>
      <w:tblPr/>
      <w:tcPr>
        <w:shd w:val="clear" w:color="auto" w:fill="F2F2F2" w:themeFill="background1" w:themeFillShade="F2"/>
      </w:tcPr>
    </w:tblStylePr>
    <w:tblStylePr w:type="band1Horz">
      <w:rPr>
        <w:rFonts w:cs="Times New Roman"/>
      </w:rPr>
      <w:tblPr/>
      <w:tcPr>
        <w:shd w:val="clear" w:color="auto" w:fill="F2F2F2" w:themeFill="background1" w:themeFillShade="F2"/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left w:val="nil"/>
        </w:tcBorders>
      </w:tcPr>
    </w:tblStylePr>
    <w:tblStylePr w:type="swCell">
      <w:rPr>
        <w:rFonts w:cs="Times New Roman"/>
      </w:rPr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4A0DFE"/>
    <w:rPr>
      <w:rFonts w:asciiTheme="minorHAnsi" w:hAnsiTheme="minorHAnsi" w:cs="Arial"/>
      <w:sz w:val="18"/>
      <w:lang w:val="en-GB" w:eastAsia="x-none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rFonts w:cs="Times New Roman"/>
      <w:u w:val="dotted"/>
      <w:lang w:val="en-GB" w:eastAsia="x-none"/>
    </w:rPr>
  </w:style>
  <w:style w:type="character" w:styleId="Strong">
    <w:name w:val="Strong"/>
    <w:basedOn w:val="DefaultParagraphFont"/>
    <w:uiPriority w:val="22"/>
    <w:unhideWhenUsed/>
    <w:rsid w:val="004A0DFE"/>
    <w:rPr>
      <w:rFonts w:cs="Times New Roman"/>
      <w:b/>
      <w:bCs/>
      <w:lang w:val="en-GB" w:eastAsia="x-none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rFonts w:cs="Times New Roman"/>
      <w:i/>
      <w:iCs/>
      <w:color w:val="404040" w:themeColor="text1" w:themeTint="BF"/>
      <w:lang w:val="en-GB" w:eastAsia="x-none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rFonts w:cs="Times New Roman"/>
      <w:smallCaps/>
      <w:color w:val="5A5A5A" w:themeColor="text1" w:themeTint="A5"/>
      <w:lang w:val="en-GB" w:eastAsia="x-none"/>
    </w:rPr>
  </w:style>
  <w:style w:type="table" w:styleId="Table3Deffects1">
    <w:name w:val="Table 3D effects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4A0DFE"/>
    <w:pPr>
      <w:spacing w:after="120" w:line="240" w:lineRule="atLeast"/>
    </w:pPr>
    <w:rPr>
      <w:color w:val="000080"/>
      <w:lang w:bidi="ar-SA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4A0DFE"/>
    <w:pPr>
      <w:spacing w:after="120" w:line="240" w:lineRule="atLeast"/>
    </w:pPr>
    <w:rPr>
      <w:color w:val="FFFFFF"/>
      <w:lang w:bidi="ar-SA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4A0DFE"/>
    <w:pPr>
      <w:spacing w:after="120" w:line="240" w:lineRule="atLeast"/>
    </w:pPr>
    <w:rPr>
      <w:b/>
      <w:bCs/>
      <w:lang w:bidi="ar-SA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4A0DFE"/>
    <w:pPr>
      <w:spacing w:after="120" w:line="240" w:lineRule="atLeast"/>
    </w:pPr>
    <w:rPr>
      <w:b/>
      <w:bCs/>
      <w:lang w:bidi="ar-SA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4A0DFE"/>
    <w:pPr>
      <w:spacing w:after="120" w:line="240" w:lineRule="atLeast"/>
    </w:pPr>
    <w:rPr>
      <w:b/>
      <w:bCs/>
      <w:lang w:bidi="ar-SA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4A0DFE"/>
    <w:pPr>
      <w:spacing w:after="120" w:line="240" w:lineRule="atLeast"/>
    </w:pPr>
    <w:rPr>
      <w:b/>
      <w:bCs/>
      <w:lang w:bidi="ar-SA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rPr>
      <w:lang w:bidi="ar-S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4A0DFE"/>
    <w:pPr>
      <w:spacing w:after="120" w:line="240" w:lineRule="atLeast"/>
    </w:pPr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rsid w:val="004A0DFE"/>
    <w:pPr>
      <w:spacing w:before="120"/>
    </w:pPr>
    <w:rPr>
      <w:rFonts w:asciiTheme="majorHAnsi" w:eastAsiaTheme="majorEastAsia" w:hAnsiTheme="majorHAnsi" w:cs="Angsana New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="Angsana New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 w:cs="Times New Roman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tabs>
        <w:tab w:val="num" w:pos="851"/>
      </w:tabs>
      <w:spacing w:before="60" w:after="60"/>
      <w:ind w:left="851" w:hanging="284"/>
    </w:pPr>
  </w:style>
  <w:style w:type="character" w:customStyle="1" w:styleId="ListBulletChar">
    <w:name w:val="List Bullet Char"/>
    <w:basedOn w:val="DefaultParagraphFont"/>
    <w:link w:val="ListBullet"/>
    <w:uiPriority w:val="1"/>
    <w:locked/>
    <w:rsid w:val="00894ACE"/>
    <w:rPr>
      <w:rFonts w:asciiTheme="minorHAnsi" w:hAnsiTheme="minorHAnsi" w:cs="Arial"/>
      <w:sz w:val="18"/>
      <w:lang w:val="en-GB" w:eastAsia="x-none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TableBullets">
    <w:name w:val="GT Table Bullets"/>
    <w:pPr>
      <w:numPr>
        <w:numId w:val="22"/>
      </w:numPr>
    </w:pPr>
  </w:style>
  <w:style w:type="numbering" w:customStyle="1" w:styleId="GTParagraphBullet">
    <w:name w:val="GT Paragraph Bullet"/>
    <w:pPr>
      <w:numPr>
        <w:numId w:val="16"/>
      </w:numPr>
    </w:pPr>
  </w:style>
  <w:style w:type="numbering" w:customStyle="1" w:styleId="GTNumberedHeadings">
    <w:name w:val="GT Numbered Headings"/>
    <w:pPr>
      <w:numPr>
        <w:numId w:val="15"/>
      </w:numPr>
    </w:pPr>
  </w:style>
  <w:style w:type="numbering" w:customStyle="1" w:styleId="GTTableNumbers">
    <w:name w:val="GT Table Numbers"/>
    <w:pPr>
      <w:numPr>
        <w:numId w:val="23"/>
      </w:numPr>
    </w:pPr>
  </w:style>
  <w:style w:type="numbering" w:customStyle="1" w:styleId="GTListNumber">
    <w:name w:val="GT List Number"/>
    <w:pPr>
      <w:numPr>
        <w:numId w:val="21"/>
      </w:numPr>
    </w:pPr>
  </w:style>
  <w:style w:type="numbering" w:customStyle="1" w:styleId="GTListBullet">
    <w:name w:val="GT List Bullet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854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6" ma:contentTypeDescription="Create a new document." ma:contentTypeScope="" ma:versionID="bb74d1e08b4de345b4258cdfbfa9670c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c828ba5ecee4bfd2132ddc3dc11446a4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440F9-619F-4D85-BB94-474744423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beac9604-bfb4-48f8-9998-018e31e1f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003649-36DD-4EFC-8914-2C5E9DE05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4</TotalTime>
  <Pages>3</Pages>
  <Words>595</Words>
  <Characters>3397</Characters>
  <Application>Microsoft Office Word</Application>
  <DocSecurity>0</DocSecurity>
  <Lines>28</Lines>
  <Paragraphs>7</Paragraphs>
  <ScaleCrop>false</ScaleCrop>
  <Company>Grant Thornton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nik.manu2000@gmail.com</cp:lastModifiedBy>
  <cp:revision>2</cp:revision>
  <cp:lastPrinted>2018-11-09T06:02:00Z</cp:lastPrinted>
  <dcterms:created xsi:type="dcterms:W3CDTF">2020-05-18T01:18:00Z</dcterms:created>
  <dcterms:modified xsi:type="dcterms:W3CDTF">2020-05-18T01:18:00Z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</Properties>
</file>