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8" w:type="dxa"/>
        <w:tblLook w:val="01E0" w:firstRow="1" w:lastRow="1" w:firstColumn="1" w:lastColumn="1" w:noHBand="0" w:noVBand="0"/>
      </w:tblPr>
      <w:tblGrid>
        <w:gridCol w:w="2268"/>
        <w:gridCol w:w="7320"/>
      </w:tblGrid>
      <w:tr w:rsidR="00A7481C" w:rsidRPr="00EF7A26" w14:paraId="3D17E072" w14:textId="77777777" w:rsidTr="00215B2C">
        <w:trPr>
          <w:trHeight w:val="2865"/>
        </w:trPr>
        <w:tc>
          <w:tcPr>
            <w:tcW w:w="2268" w:type="dxa"/>
            <w:shd w:val="clear" w:color="auto" w:fill="auto"/>
          </w:tcPr>
          <w:p w14:paraId="6E39C4C2" w14:textId="77777777" w:rsidR="00A7481C" w:rsidRPr="00665967" w:rsidRDefault="00A7481C" w:rsidP="00215B2C">
            <w:pPr>
              <w:rPr>
                <w:rFonts w:ascii="Angsana New" w:eastAsia="MS Mincho" w:hAnsi="Angsana New" w:cs="Angsana New"/>
                <w:sz w:val="36"/>
                <w:szCs w:val="45"/>
              </w:rPr>
            </w:pPr>
          </w:p>
        </w:tc>
        <w:tc>
          <w:tcPr>
            <w:tcW w:w="7320" w:type="dxa"/>
            <w:shd w:val="clear" w:color="auto" w:fill="auto"/>
            <w:vAlign w:val="center"/>
          </w:tcPr>
          <w:p w14:paraId="393E47F4" w14:textId="77777777" w:rsidR="00A7481C" w:rsidRPr="00EF7A26" w:rsidRDefault="00F33926" w:rsidP="00A7481C">
            <w:pPr>
              <w:spacing w:after="0" w:line="380" w:lineRule="exact"/>
              <w:ind w:left="14"/>
              <w:rPr>
                <w:rFonts w:ascii="Times New Roman" w:eastAsia="MS Mincho" w:hAnsi="Times New Roman"/>
                <w:color w:val="7F7E82"/>
                <w:sz w:val="28"/>
              </w:rPr>
            </w:pPr>
            <w:r>
              <w:rPr>
                <w:rFonts w:ascii="Times New Roman" w:eastAsia="MS Mincho" w:hAnsi="Times New Roman" w:cs="Times New Roman"/>
                <w:color w:val="7F7E82"/>
                <w:sz w:val="28"/>
              </w:rPr>
              <w:t>Thai Mui Corporation</w:t>
            </w:r>
            <w:r w:rsidR="00A7481C" w:rsidRPr="00EF7A26">
              <w:rPr>
                <w:rFonts w:ascii="Times New Roman" w:eastAsia="MS Mincho" w:hAnsi="Times New Roman" w:cs="Times New Roman"/>
                <w:color w:val="7F7E82"/>
                <w:sz w:val="28"/>
              </w:rPr>
              <w:t xml:space="preserve"> </w:t>
            </w:r>
            <w:r w:rsidR="00DB5C14">
              <w:rPr>
                <w:rFonts w:ascii="Times New Roman" w:eastAsia="MS Mincho" w:hAnsi="Times New Roman" w:cs="Angsana New"/>
                <w:color w:val="7F7E82"/>
                <w:sz w:val="28"/>
                <w:szCs w:val="35"/>
              </w:rPr>
              <w:t xml:space="preserve">Public </w:t>
            </w:r>
            <w:r w:rsidR="00A7481C" w:rsidRPr="00EF7A26">
              <w:rPr>
                <w:rFonts w:ascii="Times New Roman" w:eastAsia="MS Mincho" w:hAnsi="Times New Roman" w:cs="Times New Roman"/>
                <w:color w:val="7F7E82"/>
                <w:sz w:val="28"/>
              </w:rPr>
              <w:t>Company Limited</w:t>
            </w:r>
            <w:r w:rsidR="00E37677" w:rsidRPr="00EF7A26">
              <w:rPr>
                <w:rFonts w:ascii="Times New Roman" w:eastAsia="MS Mincho" w:hAnsi="Times New Roman"/>
                <w:color w:val="7F7E82"/>
                <w:sz w:val="28"/>
              </w:rPr>
              <w:t xml:space="preserve"> </w:t>
            </w:r>
            <w:r w:rsidR="00162AC5">
              <w:rPr>
                <w:rFonts w:ascii="Times New Roman" w:eastAsia="MS Mincho" w:hAnsi="Times New Roman"/>
                <w:color w:val="7F7E82"/>
                <w:sz w:val="28"/>
              </w:rPr>
              <w:t xml:space="preserve">                               </w:t>
            </w:r>
            <w:r w:rsidR="00E37677" w:rsidRPr="00EF7A26">
              <w:rPr>
                <w:rFonts w:ascii="Times New Roman" w:eastAsia="MS Mincho" w:hAnsi="Times New Roman"/>
                <w:color w:val="7F7E82"/>
                <w:sz w:val="28"/>
              </w:rPr>
              <w:t>and</w:t>
            </w:r>
            <w:r w:rsidR="00162AC5">
              <w:rPr>
                <w:rFonts w:ascii="Times New Roman" w:eastAsia="MS Mincho" w:hAnsi="Times New Roman"/>
                <w:color w:val="7F7E82"/>
                <w:sz w:val="28"/>
              </w:rPr>
              <w:t xml:space="preserve"> </w:t>
            </w:r>
            <w:r w:rsidR="00E37677" w:rsidRPr="00EF7A26">
              <w:rPr>
                <w:rFonts w:ascii="Times New Roman" w:eastAsia="MS Mincho" w:hAnsi="Times New Roman"/>
                <w:color w:val="7F7E82"/>
                <w:sz w:val="28"/>
              </w:rPr>
              <w:t xml:space="preserve">its subsidiaries </w:t>
            </w:r>
          </w:p>
          <w:p w14:paraId="255B30B0" w14:textId="77777777" w:rsidR="00BC76F2" w:rsidRPr="00BC76F2" w:rsidRDefault="00BC76F2" w:rsidP="00BC76F2">
            <w:pPr>
              <w:spacing w:after="0" w:line="380" w:lineRule="exact"/>
              <w:ind w:left="14"/>
              <w:rPr>
                <w:rFonts w:ascii="Times New Roman" w:eastAsia="MS Mincho" w:hAnsi="Times New Roman"/>
                <w:color w:val="7F7E82"/>
                <w:sz w:val="28"/>
              </w:rPr>
            </w:pPr>
            <w:r w:rsidRPr="00BC76F2">
              <w:rPr>
                <w:rFonts w:ascii="Times New Roman" w:eastAsia="MS Mincho" w:hAnsi="Times New Roman"/>
                <w:color w:val="7F7E82"/>
                <w:sz w:val="28"/>
              </w:rPr>
              <w:t xml:space="preserve">Review report and </w:t>
            </w:r>
            <w:r w:rsidR="00162AC5">
              <w:rPr>
                <w:rFonts w:ascii="Times New Roman" w:eastAsia="MS Mincho" w:hAnsi="Times New Roman"/>
                <w:color w:val="7F7E82"/>
                <w:sz w:val="28"/>
              </w:rPr>
              <w:t xml:space="preserve">consolidated </w:t>
            </w:r>
            <w:r w:rsidRPr="00BC76F2">
              <w:rPr>
                <w:rFonts w:ascii="Times New Roman" w:eastAsia="MS Mincho" w:hAnsi="Times New Roman"/>
                <w:color w:val="7F7E82"/>
                <w:sz w:val="28"/>
              </w:rPr>
              <w:t xml:space="preserve">interim financial statements </w:t>
            </w:r>
          </w:p>
          <w:p w14:paraId="5889D6D6" w14:textId="77777777" w:rsidR="000500B9" w:rsidRDefault="00BC76F2" w:rsidP="000B7198">
            <w:pPr>
              <w:spacing w:after="0" w:line="380" w:lineRule="exact"/>
              <w:ind w:left="14"/>
              <w:rPr>
                <w:rFonts w:ascii="Times New Roman" w:eastAsia="MS Mincho" w:hAnsi="Times New Roman"/>
                <w:color w:val="7F7E82"/>
                <w:sz w:val="28"/>
              </w:rPr>
            </w:pPr>
            <w:r w:rsidRPr="00BC76F2">
              <w:rPr>
                <w:rFonts w:ascii="Times New Roman" w:eastAsia="MS Mincho" w:hAnsi="Times New Roman"/>
                <w:color w:val="7F7E82"/>
                <w:sz w:val="28"/>
              </w:rPr>
              <w:t xml:space="preserve">For </w:t>
            </w:r>
            <w:r w:rsidR="008071D9">
              <w:rPr>
                <w:rFonts w:ascii="Times New Roman" w:eastAsia="MS Mincho" w:hAnsi="Times New Roman"/>
                <w:color w:val="7F7E82"/>
                <w:sz w:val="28"/>
              </w:rPr>
              <w:t xml:space="preserve">the </w:t>
            </w:r>
            <w:r w:rsidR="008071D9" w:rsidRPr="008071D9">
              <w:rPr>
                <w:rFonts w:ascii="Times New Roman" w:eastAsia="MS Mincho" w:hAnsi="Times New Roman"/>
                <w:color w:val="7F7E82"/>
                <w:sz w:val="28"/>
              </w:rPr>
              <w:t xml:space="preserve">three-month </w:t>
            </w:r>
            <w:r w:rsidR="000500B9">
              <w:rPr>
                <w:rFonts w:ascii="Times New Roman" w:eastAsia="MS Mincho" w:hAnsi="Times New Roman"/>
                <w:color w:val="7F7E82"/>
                <w:sz w:val="28"/>
              </w:rPr>
              <w:t xml:space="preserve">and six-month </w:t>
            </w:r>
            <w:r w:rsidR="008071D9" w:rsidRPr="008071D9">
              <w:rPr>
                <w:rFonts w:ascii="Times New Roman" w:eastAsia="MS Mincho" w:hAnsi="Times New Roman"/>
                <w:color w:val="7F7E82"/>
                <w:sz w:val="28"/>
              </w:rPr>
              <w:t>period</w:t>
            </w:r>
            <w:r w:rsidR="000500B9">
              <w:rPr>
                <w:rFonts w:ascii="Times New Roman" w:eastAsia="MS Mincho" w:hAnsi="Times New Roman"/>
                <w:color w:val="7F7E82"/>
                <w:sz w:val="28"/>
              </w:rPr>
              <w:t>s</w:t>
            </w:r>
            <w:r w:rsidR="008071D9" w:rsidRPr="008071D9">
              <w:rPr>
                <w:rFonts w:ascii="Times New Roman" w:eastAsia="MS Mincho" w:hAnsi="Times New Roman"/>
                <w:color w:val="7F7E82"/>
                <w:sz w:val="28"/>
              </w:rPr>
              <w:t xml:space="preserve"> </w:t>
            </w:r>
            <w:r w:rsidRPr="00BC76F2">
              <w:rPr>
                <w:rFonts w:ascii="Times New Roman" w:eastAsia="MS Mincho" w:hAnsi="Times New Roman"/>
                <w:color w:val="7F7E82"/>
                <w:sz w:val="28"/>
              </w:rPr>
              <w:t xml:space="preserve">ended </w:t>
            </w:r>
          </w:p>
          <w:p w14:paraId="366789A2" w14:textId="29F8C27F" w:rsidR="00A7481C" w:rsidRPr="00EF7A26" w:rsidRDefault="00D5434D" w:rsidP="000B7198">
            <w:pPr>
              <w:spacing w:after="0" w:line="380" w:lineRule="exact"/>
              <w:ind w:left="14"/>
              <w:rPr>
                <w:rFonts w:ascii="Times New Roman" w:eastAsia="MS Mincho" w:hAnsi="Times New Roman" w:cs="Times New Roman"/>
                <w:color w:val="7F7E82"/>
                <w:sz w:val="28"/>
                <w:cs/>
              </w:rPr>
            </w:pPr>
            <w:r>
              <w:rPr>
                <w:rFonts w:ascii="Times New Roman" w:eastAsia="MS Mincho" w:hAnsi="Times New Roman"/>
                <w:color w:val="7F7E82"/>
                <w:sz w:val="28"/>
              </w:rPr>
              <w:t>3</w:t>
            </w:r>
            <w:r w:rsidR="000500B9">
              <w:rPr>
                <w:rFonts w:ascii="Times New Roman" w:eastAsia="MS Mincho" w:hAnsi="Times New Roman"/>
                <w:color w:val="7F7E82"/>
                <w:sz w:val="28"/>
              </w:rPr>
              <w:t>0 June</w:t>
            </w:r>
            <w:r w:rsidR="00BC76F2" w:rsidRPr="00BC76F2">
              <w:rPr>
                <w:rFonts w:ascii="Times New Roman" w:eastAsia="MS Mincho" w:hAnsi="Times New Roman"/>
                <w:color w:val="7F7E82"/>
                <w:sz w:val="28"/>
              </w:rPr>
              <w:t xml:space="preserve"> 20</w:t>
            </w:r>
            <w:r w:rsidR="00F33926">
              <w:rPr>
                <w:rFonts w:ascii="Times New Roman" w:eastAsia="MS Mincho" w:hAnsi="Times New Roman"/>
                <w:color w:val="7F7E82"/>
                <w:sz w:val="28"/>
              </w:rPr>
              <w:t>20</w:t>
            </w:r>
          </w:p>
        </w:tc>
      </w:tr>
    </w:tbl>
    <w:p w14:paraId="580A5206" w14:textId="77777777" w:rsidR="00A7481C" w:rsidRPr="00EF7A26" w:rsidRDefault="00A7481C" w:rsidP="00A7481C">
      <w:pPr>
        <w:sectPr w:rsidR="00A7481C" w:rsidRPr="00EF7A26" w:rsidSect="00605583">
          <w:headerReference w:type="even" r:id="rId9"/>
          <w:headerReference w:type="default" r:id="rId10"/>
          <w:footerReference w:type="even" r:id="rId11"/>
          <w:footerReference w:type="default" r:id="rId12"/>
          <w:headerReference w:type="first" r:id="rId13"/>
          <w:footerReference w:type="first" r:id="rId14"/>
          <w:pgSz w:w="11907" w:h="16840" w:code="9"/>
          <w:pgMar w:top="1728" w:right="1080" w:bottom="11520" w:left="360" w:header="720" w:footer="720" w:gutter="0"/>
          <w:cols w:space="720"/>
          <w:docGrid w:linePitch="360"/>
        </w:sectPr>
      </w:pPr>
    </w:p>
    <w:p w14:paraId="1EF99D81" w14:textId="77777777" w:rsidR="00BC76F2" w:rsidRPr="00BC76F2" w:rsidRDefault="00BC76F2" w:rsidP="00267C56">
      <w:pPr>
        <w:spacing w:after="0" w:line="360" w:lineRule="exact"/>
        <w:rPr>
          <w:rFonts w:ascii="Arial" w:hAnsi="Arial"/>
          <w:b/>
          <w:bCs/>
          <w:szCs w:val="22"/>
        </w:rPr>
      </w:pPr>
      <w:r w:rsidRPr="00BC76F2">
        <w:rPr>
          <w:rFonts w:ascii="Arial" w:hAnsi="Arial"/>
          <w:b/>
          <w:bCs/>
          <w:iCs/>
          <w:szCs w:val="22"/>
        </w:rPr>
        <w:lastRenderedPageBreak/>
        <w:t>I</w:t>
      </w:r>
      <w:r w:rsidRPr="00BC76F2">
        <w:rPr>
          <w:rFonts w:ascii="Arial" w:hAnsi="Arial"/>
          <w:b/>
          <w:bCs/>
          <w:szCs w:val="22"/>
        </w:rPr>
        <w:t>ndependent Auditor’s Report on Review of Interim Financial Information</w:t>
      </w:r>
    </w:p>
    <w:p w14:paraId="691C11DD" w14:textId="77777777" w:rsidR="00BC76F2" w:rsidRPr="00BC76F2" w:rsidRDefault="00BC76F2" w:rsidP="00267C56">
      <w:pPr>
        <w:spacing w:after="0" w:line="360" w:lineRule="exact"/>
        <w:rPr>
          <w:rFonts w:ascii="Arial" w:hAnsi="Arial"/>
          <w:szCs w:val="22"/>
        </w:rPr>
      </w:pPr>
      <w:r w:rsidRPr="00BC76F2">
        <w:rPr>
          <w:rFonts w:ascii="Arial" w:hAnsi="Arial"/>
          <w:szCs w:val="22"/>
        </w:rPr>
        <w:t>To the Shareholders of</w:t>
      </w:r>
      <w:r w:rsidRPr="00BC76F2">
        <w:rPr>
          <w:rFonts w:ascii="Arial" w:hAnsi="Arial"/>
          <w:szCs w:val="22"/>
          <w:cs/>
        </w:rPr>
        <w:t xml:space="preserve"> </w:t>
      </w:r>
      <w:r w:rsidR="00F33926">
        <w:rPr>
          <w:rFonts w:ascii="Arial" w:hAnsi="Arial" w:cs="Arial"/>
          <w:szCs w:val="22"/>
        </w:rPr>
        <w:t xml:space="preserve">Thai Mui Corporation </w:t>
      </w:r>
      <w:r w:rsidR="00DB5C14">
        <w:rPr>
          <w:rFonts w:ascii="Arial" w:hAnsi="Arial" w:cs="Arial"/>
          <w:szCs w:val="22"/>
        </w:rPr>
        <w:t xml:space="preserve">Public </w:t>
      </w:r>
      <w:r w:rsidRPr="00BC76F2">
        <w:rPr>
          <w:rFonts w:ascii="Arial" w:hAnsi="Arial" w:cs="Arial"/>
          <w:szCs w:val="22"/>
        </w:rPr>
        <w:t>Company Limited</w:t>
      </w:r>
    </w:p>
    <w:p w14:paraId="74E6275E" w14:textId="6F016415" w:rsidR="00F33926" w:rsidRPr="00FE7BAF" w:rsidRDefault="00F33926" w:rsidP="00F33926">
      <w:pPr>
        <w:spacing w:before="360" w:after="120" w:line="380" w:lineRule="exact"/>
        <w:rPr>
          <w:rFonts w:ascii="Arial" w:hAnsi="Arial" w:cs="Arial"/>
          <w:szCs w:val="22"/>
        </w:rPr>
      </w:pPr>
      <w:r w:rsidRPr="00FE7BAF">
        <w:rPr>
          <w:rFonts w:ascii="Arial" w:hAnsi="Arial" w:cs="Arial"/>
          <w:szCs w:val="22"/>
        </w:rPr>
        <w:t xml:space="preserve">I have reviewed the accompanying consolidated statement of financial position of </w:t>
      </w:r>
      <w:r>
        <w:rPr>
          <w:rFonts w:ascii="Arial" w:hAnsi="Arial" w:cs="Arial"/>
          <w:szCs w:val="22"/>
        </w:rPr>
        <w:t xml:space="preserve">Thai Mui Corporation </w:t>
      </w:r>
      <w:r w:rsidRPr="006F2165">
        <w:rPr>
          <w:rFonts w:ascii="Arial" w:hAnsi="Arial" w:cs="Arial"/>
          <w:szCs w:val="22"/>
        </w:rPr>
        <w:t>Public</w:t>
      </w:r>
      <w:r w:rsidRPr="000565A6">
        <w:rPr>
          <w:rFonts w:ascii="Arial" w:hAnsi="Arial" w:cs="Arial"/>
          <w:szCs w:val="22"/>
        </w:rPr>
        <w:t xml:space="preserve"> Company Limited</w:t>
      </w:r>
      <w:r w:rsidRPr="00FE7BAF">
        <w:rPr>
          <w:rFonts w:ascii="Arial" w:hAnsi="Arial" w:cs="Arial"/>
          <w:szCs w:val="22"/>
        </w:rPr>
        <w:t xml:space="preserve"> and its subsidiaries as at </w:t>
      </w:r>
      <w:r w:rsidR="000500B9">
        <w:rPr>
          <w:rFonts w:ascii="Arial" w:hAnsi="Arial" w:cs="Arial"/>
          <w:szCs w:val="22"/>
        </w:rPr>
        <w:t>30 June</w:t>
      </w:r>
      <w:r>
        <w:rPr>
          <w:rFonts w:ascii="Arial" w:hAnsi="Arial" w:cs="Arial"/>
          <w:szCs w:val="22"/>
        </w:rPr>
        <w:t xml:space="preserve"> 2020,</w:t>
      </w:r>
      <w:r w:rsidRPr="00FE7BAF">
        <w:rPr>
          <w:rFonts w:ascii="Arial" w:hAnsi="Arial" w:cs="Arial"/>
          <w:szCs w:val="22"/>
        </w:rPr>
        <w:t xml:space="preserve"> the related consolidated statement of</w:t>
      </w:r>
      <w:r>
        <w:rPr>
          <w:rFonts w:ascii="Arial" w:hAnsi="Arial" w:cs="Browallia New" w:hint="cs"/>
          <w:cs/>
        </w:rPr>
        <w:t xml:space="preserve"> </w:t>
      </w:r>
      <w:r>
        <w:rPr>
          <w:rFonts w:ascii="Arial" w:hAnsi="Arial" w:cs="Arial"/>
          <w:szCs w:val="22"/>
        </w:rPr>
        <w:t>comprehensive income</w:t>
      </w:r>
      <w:r w:rsidR="000500B9" w:rsidRPr="000500B9">
        <w:rPr>
          <w:rFonts w:ascii="Arial" w:hAnsi="Arial" w:cs="Arial"/>
          <w:szCs w:val="22"/>
        </w:rPr>
        <w:t xml:space="preserve"> </w:t>
      </w:r>
      <w:r w:rsidR="000500B9" w:rsidRPr="00FE7BAF">
        <w:rPr>
          <w:rFonts w:ascii="Arial" w:hAnsi="Arial" w:cs="Arial"/>
          <w:szCs w:val="22"/>
        </w:rPr>
        <w:t xml:space="preserve">for the </w:t>
      </w:r>
      <w:r w:rsidR="000500B9">
        <w:rPr>
          <w:rFonts w:ascii="Arial" w:hAnsi="Arial" w:cs="Arial"/>
          <w:szCs w:val="22"/>
        </w:rPr>
        <w:t>three-month and six-month periods then ended</w:t>
      </w:r>
      <w:r>
        <w:rPr>
          <w:rFonts w:ascii="Arial" w:hAnsi="Arial" w:cs="Browallia New"/>
        </w:rPr>
        <w:t xml:space="preserve">, </w:t>
      </w:r>
      <w:r w:rsidR="00B4234D">
        <w:rPr>
          <w:rFonts w:ascii="Arial" w:hAnsi="Arial" w:cs="Browallia New"/>
        </w:rPr>
        <w:t xml:space="preserve">and the related consolidated </w:t>
      </w:r>
      <w:r w:rsidRPr="00FE7BAF">
        <w:rPr>
          <w:rFonts w:ascii="Arial" w:hAnsi="Arial" w:cs="Arial"/>
          <w:szCs w:val="22"/>
        </w:rPr>
        <w:t>statements of c</w:t>
      </w:r>
      <w:r>
        <w:rPr>
          <w:rFonts w:ascii="Arial" w:hAnsi="Arial" w:cs="Arial"/>
          <w:szCs w:val="22"/>
        </w:rPr>
        <w:t xml:space="preserve">hanges in shareholders’ equity </w:t>
      </w:r>
      <w:r w:rsidRPr="00FE7BAF">
        <w:rPr>
          <w:rFonts w:ascii="Arial" w:hAnsi="Arial" w:cs="Arial"/>
          <w:szCs w:val="22"/>
        </w:rPr>
        <w:t xml:space="preserve">and cash flows for the </w:t>
      </w:r>
      <w:r w:rsidR="000500B9">
        <w:rPr>
          <w:rFonts w:ascii="Arial" w:hAnsi="Arial" w:cs="Arial"/>
          <w:szCs w:val="22"/>
        </w:rPr>
        <w:t>six</w:t>
      </w:r>
      <w:r>
        <w:rPr>
          <w:rFonts w:ascii="Arial" w:hAnsi="Arial" w:cs="Arial"/>
          <w:szCs w:val="22"/>
        </w:rPr>
        <w:t>-month period then ended,</w:t>
      </w:r>
      <w:r w:rsidRPr="00FE7BAF">
        <w:rPr>
          <w:rFonts w:ascii="Arial" w:hAnsi="Arial" w:cs="Arial"/>
          <w:szCs w:val="22"/>
        </w:rPr>
        <w:t xml:space="preserve"> </w:t>
      </w:r>
      <w:r w:rsidRPr="00FE7BAF">
        <w:rPr>
          <w:rFonts w:ascii="Arial" w:hAnsi="Arial" w:cs="Cordia New"/>
          <w:szCs w:val="22"/>
        </w:rPr>
        <w:t xml:space="preserve">as well as </w:t>
      </w:r>
      <w:r w:rsidRPr="00FE7BAF">
        <w:rPr>
          <w:rFonts w:ascii="Arial" w:hAnsi="Arial" w:cs="Arial"/>
          <w:szCs w:val="22"/>
        </w:rPr>
        <w:t xml:space="preserve">the condensed notes to the </w:t>
      </w:r>
      <w:r>
        <w:rPr>
          <w:rFonts w:ascii="Arial" w:hAnsi="Arial" w:cs="Arial"/>
          <w:szCs w:val="22"/>
        </w:rPr>
        <w:t xml:space="preserve">interim </w:t>
      </w:r>
      <w:r w:rsidRPr="00FE7BAF">
        <w:rPr>
          <w:rFonts w:ascii="Arial" w:hAnsi="Arial" w:cs="Arial"/>
          <w:szCs w:val="22"/>
        </w:rPr>
        <w:t xml:space="preserve">consolidated financial statements, and have also reviewed the separate financial information of </w:t>
      </w:r>
      <w:r>
        <w:rPr>
          <w:rFonts w:ascii="Arial" w:hAnsi="Arial" w:cs="Arial"/>
          <w:szCs w:val="22"/>
        </w:rPr>
        <w:t>Thai Mui Corporation</w:t>
      </w:r>
      <w:r w:rsidRPr="000565A6">
        <w:rPr>
          <w:rFonts w:ascii="Arial" w:hAnsi="Arial" w:cs="Arial"/>
          <w:szCs w:val="22"/>
        </w:rPr>
        <w:t xml:space="preserve"> </w:t>
      </w:r>
      <w:r>
        <w:rPr>
          <w:rFonts w:ascii="Arial" w:hAnsi="Arial" w:cs="Arial"/>
          <w:szCs w:val="22"/>
        </w:rPr>
        <w:t xml:space="preserve">Public </w:t>
      </w:r>
      <w:r w:rsidRPr="000565A6">
        <w:rPr>
          <w:rFonts w:ascii="Arial" w:hAnsi="Arial" w:cs="Arial"/>
          <w:szCs w:val="22"/>
        </w:rPr>
        <w:t>Company Limited</w:t>
      </w:r>
      <w:r w:rsidRPr="00FE7BAF">
        <w:rPr>
          <w:rFonts w:ascii="Arial" w:hAnsi="Arial" w:cs="Arial"/>
          <w:szCs w:val="22"/>
        </w:rPr>
        <w:t xml:space="preserve"> for the same period</w:t>
      </w:r>
      <w:r>
        <w:rPr>
          <w:rFonts w:ascii="Arial" w:hAnsi="Arial" w:cs="Arial"/>
          <w:szCs w:val="22"/>
        </w:rPr>
        <w:t xml:space="preserve"> (collectively “interim financial information”)</w:t>
      </w:r>
      <w:r w:rsidRPr="00FE7BAF">
        <w:rPr>
          <w:rFonts w:ascii="Arial" w:hAnsi="Arial" w:cs="Arial"/>
          <w:szCs w:val="22"/>
        </w:rPr>
        <w:t>. Management is responsible for the preparation and presentation of this interim financial information in accordance with</w:t>
      </w:r>
      <w:r w:rsidRPr="00FE7BAF">
        <w:rPr>
          <w:rFonts w:ascii="Arial" w:hAnsi="Arial" w:hint="cs"/>
          <w:szCs w:val="22"/>
          <w:cs/>
        </w:rPr>
        <w:t xml:space="preserve"> </w:t>
      </w:r>
      <w:r>
        <w:rPr>
          <w:rFonts w:ascii="Arial" w:hAnsi="Arial"/>
          <w:szCs w:val="22"/>
        </w:rPr>
        <w:t xml:space="preserve">Thai </w:t>
      </w:r>
      <w:r w:rsidRPr="00FE7BAF">
        <w:rPr>
          <w:rFonts w:ascii="Arial" w:hAnsi="Arial" w:cs="Arial"/>
          <w:szCs w:val="22"/>
        </w:rPr>
        <w:t>Accounting Standard No. 34 Interim Financial Reporting. My responsibility is to express a conclusion on this interim financial information based on my review.</w:t>
      </w:r>
    </w:p>
    <w:p w14:paraId="3C814A6B" w14:textId="77777777" w:rsidR="00F33926" w:rsidRPr="001744CD" w:rsidRDefault="00F33926" w:rsidP="00F33926">
      <w:pPr>
        <w:spacing w:before="80" w:after="80" w:line="380" w:lineRule="exact"/>
        <w:rPr>
          <w:rFonts w:ascii="Arial" w:hAnsi="Arial" w:cs="Arial"/>
          <w:b/>
          <w:bCs/>
          <w:szCs w:val="22"/>
        </w:rPr>
      </w:pPr>
      <w:r w:rsidRPr="001744CD">
        <w:rPr>
          <w:rFonts w:ascii="Arial" w:hAnsi="Arial" w:cs="Arial"/>
          <w:b/>
          <w:bCs/>
          <w:szCs w:val="22"/>
        </w:rPr>
        <w:t>Scope of Review</w:t>
      </w:r>
    </w:p>
    <w:p w14:paraId="4710BBB8" w14:textId="77777777" w:rsidR="00F33926" w:rsidRPr="00F33926" w:rsidRDefault="00F33926" w:rsidP="00F33926">
      <w:pPr>
        <w:spacing w:before="120" w:after="120" w:line="380" w:lineRule="exact"/>
        <w:rPr>
          <w:rFonts w:ascii="Arial" w:hAnsi="Arial" w:cs="Arial"/>
          <w:szCs w:val="22"/>
        </w:rPr>
      </w:pPr>
      <w:r w:rsidRPr="001744CD">
        <w:rPr>
          <w:rFonts w:ascii="Arial" w:hAnsi="Arial" w:cs="Arial"/>
          <w:szCs w:val="22"/>
        </w:rPr>
        <w:t xml:space="preserve">I conducted my review in accordance with </w:t>
      </w:r>
      <w:r w:rsidRPr="001744CD">
        <w:rPr>
          <w:rFonts w:ascii="Arial" w:hAnsi="Arial"/>
          <w:szCs w:val="22"/>
        </w:rPr>
        <w:t xml:space="preserve">Thai </w:t>
      </w:r>
      <w:r w:rsidRPr="001744CD">
        <w:rPr>
          <w:rFonts w:ascii="Arial" w:hAnsi="Arial" w:cs="Arial"/>
          <w:szCs w:val="22"/>
        </w:rPr>
        <w:t xml:space="preserve">Standard on Review Engagements </w:t>
      </w:r>
      <w:r w:rsidRPr="001744CD">
        <w:rPr>
          <w:rFonts w:ascii="Arial" w:hAnsi="Arial" w:cs="Arial"/>
          <w:szCs w:val="22"/>
          <w:cs/>
        </w:rPr>
        <w:t>2410</w:t>
      </w:r>
      <w:r w:rsidRPr="001744CD">
        <w:rPr>
          <w:rFonts w:ascii="Arial" w:hAnsi="Arial" w:cs="Arial"/>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w:t>
      </w:r>
      <w:r w:rsidRPr="00F33926">
        <w:rPr>
          <w:rFonts w:ascii="Arial" w:hAnsi="Arial" w:cs="Arial"/>
          <w:szCs w:val="22"/>
        </w:rPr>
        <w:t xml:space="preserve">substantially less in scope than an audit conducted in accordance with </w:t>
      </w:r>
      <w:r w:rsidRPr="00F33926">
        <w:rPr>
          <w:rFonts w:ascii="Arial" w:hAnsi="Arial"/>
          <w:szCs w:val="22"/>
        </w:rPr>
        <w:t xml:space="preserve">Thai </w:t>
      </w:r>
      <w:r w:rsidRPr="00F33926">
        <w:rPr>
          <w:rFonts w:ascii="Arial" w:hAnsi="Arial" w:cs="Arial"/>
          <w:szCs w:val="22"/>
        </w:rPr>
        <w:t>Standards on Auditing and consequently does not enable me to obtain assurance that I would become aware of all significant matters that might be identified in an audit. Accordingly, I do not express an audit opinion.</w:t>
      </w:r>
    </w:p>
    <w:p w14:paraId="67FE5B4E" w14:textId="77777777" w:rsidR="00665967" w:rsidRPr="00F33926" w:rsidRDefault="00665967" w:rsidP="00665967">
      <w:pPr>
        <w:spacing w:before="80" w:after="80" w:line="380" w:lineRule="exact"/>
        <w:rPr>
          <w:rFonts w:ascii="Arial" w:hAnsi="Arial" w:cs="Arial"/>
          <w:b/>
          <w:bCs/>
          <w:szCs w:val="22"/>
        </w:rPr>
      </w:pPr>
      <w:r w:rsidRPr="00F33926">
        <w:rPr>
          <w:rFonts w:ascii="Arial" w:hAnsi="Arial" w:cs="Arial"/>
          <w:b/>
          <w:bCs/>
          <w:szCs w:val="22"/>
        </w:rPr>
        <w:t>Conclusion</w:t>
      </w:r>
    </w:p>
    <w:p w14:paraId="2401BAE5" w14:textId="77777777" w:rsidR="00665967" w:rsidRDefault="00665967" w:rsidP="00665967">
      <w:pPr>
        <w:spacing w:before="120" w:after="120" w:line="380" w:lineRule="exact"/>
        <w:rPr>
          <w:rFonts w:ascii="Arial" w:hAnsi="Arial"/>
          <w:szCs w:val="22"/>
        </w:rPr>
      </w:pPr>
      <w:r w:rsidRPr="00F33926">
        <w:rPr>
          <w:rFonts w:ascii="Arial" w:hAnsi="Arial" w:cs="Arial"/>
          <w:szCs w:val="22"/>
        </w:rPr>
        <w:t xml:space="preserve">Based on my review, nothing has come to my attention that causes me to believe that the accompanying interim financial </w:t>
      </w:r>
      <w:r w:rsidRPr="001744CD">
        <w:rPr>
          <w:rFonts w:ascii="Arial" w:hAnsi="Arial" w:cs="Arial"/>
          <w:szCs w:val="22"/>
        </w:rPr>
        <w:t>information is not prepared, in all material respects, in accordance with</w:t>
      </w:r>
      <w:r w:rsidRPr="001744CD">
        <w:rPr>
          <w:rFonts w:ascii="Arial" w:hAnsi="Arial"/>
          <w:szCs w:val="22"/>
        </w:rPr>
        <w:t xml:space="preserve"> Thai</w:t>
      </w:r>
      <w:r w:rsidRPr="001744CD">
        <w:rPr>
          <w:rFonts w:ascii="Arial" w:hAnsi="Arial" w:cs="Arial"/>
          <w:szCs w:val="22"/>
        </w:rPr>
        <w:t xml:space="preserve"> Accounting Standard No. 34 Interim Financial Reporting.</w:t>
      </w:r>
    </w:p>
    <w:p w14:paraId="4A852D01" w14:textId="315B1E50" w:rsidR="00F33926" w:rsidRPr="00EF7A26" w:rsidRDefault="00F33926" w:rsidP="00F33926">
      <w:pPr>
        <w:spacing w:before="120" w:after="120" w:line="380" w:lineRule="exact"/>
        <w:rPr>
          <w:rFonts w:ascii="Arial" w:hAnsi="Arial" w:cs="Arial"/>
          <w:szCs w:val="22"/>
        </w:rPr>
      </w:pPr>
    </w:p>
    <w:p w14:paraId="721C5CCC" w14:textId="77777777" w:rsidR="00F33926" w:rsidRPr="008C5D05" w:rsidRDefault="00F33926" w:rsidP="00F33926">
      <w:pPr>
        <w:pStyle w:val="ps-000-normal"/>
        <w:spacing w:before="120" w:line="380" w:lineRule="exact"/>
        <w:rPr>
          <w:rFonts w:ascii="Arial" w:eastAsiaTheme="minorHAnsi" w:hAnsi="Arial" w:cs="Arial"/>
          <w:color w:val="auto"/>
          <w:sz w:val="22"/>
          <w:szCs w:val="22"/>
        </w:rPr>
      </w:pPr>
    </w:p>
    <w:p w14:paraId="4520EB5B" w14:textId="77777777" w:rsidR="007144B6" w:rsidRDefault="007144B6" w:rsidP="00665967">
      <w:pPr>
        <w:spacing w:before="120" w:after="120" w:line="380" w:lineRule="exact"/>
        <w:rPr>
          <w:rFonts w:ascii="Arial" w:hAnsi="Arial" w:cs="Arial"/>
          <w:b/>
          <w:bCs/>
          <w:szCs w:val="22"/>
        </w:rPr>
        <w:sectPr w:rsidR="007144B6" w:rsidSect="007144B6">
          <w:footerReference w:type="default" r:id="rId15"/>
          <w:footerReference w:type="first" r:id="rId16"/>
          <w:pgSz w:w="11909" w:h="16834" w:code="9"/>
          <w:pgMar w:top="2722" w:right="1080" w:bottom="1080" w:left="1339" w:header="403" w:footer="720" w:gutter="0"/>
          <w:pgNumType w:start="1"/>
          <w:cols w:space="720"/>
          <w:noEndnote/>
          <w:titlePg/>
          <w:docGrid w:linePitch="299"/>
        </w:sectPr>
      </w:pPr>
    </w:p>
    <w:p w14:paraId="0FA6C3F3" w14:textId="25DA380D" w:rsidR="00FC62D1" w:rsidRPr="00FC62D1" w:rsidRDefault="00FC62D1" w:rsidP="00CA27EE">
      <w:pPr>
        <w:spacing w:before="80" w:after="80" w:line="340" w:lineRule="exact"/>
        <w:rPr>
          <w:rFonts w:ascii="Arial" w:hAnsi="Arial"/>
          <w:b/>
          <w:bCs/>
          <w:szCs w:val="22"/>
        </w:rPr>
      </w:pPr>
      <w:r w:rsidRPr="00EF7A26">
        <w:rPr>
          <w:rFonts w:ascii="Arial" w:hAnsi="Arial" w:cs="Arial"/>
          <w:b/>
          <w:bCs/>
          <w:szCs w:val="22"/>
        </w:rPr>
        <w:lastRenderedPageBreak/>
        <w:t>Emphasis of matter</w:t>
      </w:r>
      <w:r>
        <w:rPr>
          <w:rFonts w:ascii="Arial" w:hAnsi="Arial"/>
          <w:b/>
          <w:bCs/>
          <w:szCs w:val="22"/>
        </w:rPr>
        <w:t>s</w:t>
      </w:r>
    </w:p>
    <w:p w14:paraId="2749A0D4" w14:textId="617BE48E" w:rsidR="009D69D4" w:rsidRDefault="009D69D4" w:rsidP="00CA27EE">
      <w:pPr>
        <w:spacing w:before="80" w:after="80" w:line="340" w:lineRule="exact"/>
        <w:rPr>
          <w:rFonts w:ascii="Arial" w:hAnsi="Arial"/>
          <w:szCs w:val="22"/>
        </w:rPr>
      </w:pPr>
      <w:r w:rsidRPr="00080C62">
        <w:rPr>
          <w:rFonts w:ascii="Arial" w:hAnsi="Arial" w:cs="Arial"/>
          <w:szCs w:val="22"/>
        </w:rPr>
        <w:t xml:space="preserve">I draw attention to the following </w:t>
      </w:r>
      <w:r>
        <w:rPr>
          <w:rFonts w:ascii="Arial" w:hAnsi="Arial"/>
          <w:szCs w:val="22"/>
        </w:rPr>
        <w:t>n</w:t>
      </w:r>
      <w:r w:rsidRPr="00080C62">
        <w:rPr>
          <w:rFonts w:ascii="Arial" w:hAnsi="Arial" w:cs="Arial"/>
          <w:szCs w:val="22"/>
        </w:rPr>
        <w:t>otes to the interim financial statements:</w:t>
      </w:r>
    </w:p>
    <w:p w14:paraId="7B01B758" w14:textId="68308BCA" w:rsidR="00B4234D" w:rsidRPr="008512BE" w:rsidRDefault="00C04E93" w:rsidP="00CA27EE">
      <w:pPr>
        <w:spacing w:before="80" w:after="80" w:line="340" w:lineRule="exact"/>
        <w:ind w:left="540" w:hanging="540"/>
        <w:rPr>
          <w:rFonts w:ascii="Arial" w:hAnsi="Arial" w:cs="Arial"/>
          <w:szCs w:val="22"/>
        </w:rPr>
      </w:pPr>
      <w:r>
        <w:rPr>
          <w:rFonts w:ascii="Arial" w:hAnsi="Arial"/>
          <w:szCs w:val="22"/>
        </w:rPr>
        <w:t>1)</w:t>
      </w:r>
      <w:r>
        <w:rPr>
          <w:rFonts w:ascii="Arial" w:hAnsi="Arial"/>
          <w:szCs w:val="22"/>
        </w:rPr>
        <w:tab/>
      </w:r>
      <w:r w:rsidR="00B4234D" w:rsidRPr="008512BE">
        <w:rPr>
          <w:rFonts w:ascii="Arial" w:hAnsi="Arial" w:cs="Arial"/>
          <w:szCs w:val="22"/>
        </w:rPr>
        <w:t>I draw attention to Note</w:t>
      </w:r>
      <w:r w:rsidR="00B4234D" w:rsidRPr="008512BE">
        <w:rPr>
          <w:rFonts w:ascii="Arial" w:hAnsi="Arial" w:cs="Arial" w:hint="cs"/>
          <w:szCs w:val="22"/>
          <w:cs/>
        </w:rPr>
        <w:t xml:space="preserve"> </w:t>
      </w:r>
      <w:r w:rsidR="00B4234D" w:rsidRPr="008512BE">
        <w:rPr>
          <w:rFonts w:ascii="Arial" w:hAnsi="Arial" w:cs="Arial"/>
          <w:szCs w:val="22"/>
        </w:rPr>
        <w:t>1.2</w:t>
      </w:r>
      <w:r w:rsidR="00B4234D" w:rsidRPr="008512BE">
        <w:rPr>
          <w:rFonts w:ascii="Arial" w:hAnsi="Arial" w:cs="Arial"/>
          <w:szCs w:val="22"/>
          <w:cs/>
        </w:rPr>
        <w:t xml:space="preserve"> </w:t>
      </w:r>
      <w:r w:rsidR="00B4234D" w:rsidRPr="008512BE">
        <w:rPr>
          <w:rFonts w:ascii="Arial" w:hAnsi="Arial" w:cs="Arial" w:hint="cs"/>
          <w:szCs w:val="22"/>
          <w:cs/>
        </w:rPr>
        <w:t>and Note 1.</w:t>
      </w:r>
      <w:r w:rsidR="00B4234D" w:rsidRPr="008512BE">
        <w:rPr>
          <w:rFonts w:ascii="Arial" w:hAnsi="Arial" w:cs="Arial"/>
          <w:szCs w:val="22"/>
        </w:rPr>
        <w:t>5 to the interim</w:t>
      </w:r>
      <w:r w:rsidR="00B4234D" w:rsidRPr="008512BE">
        <w:rPr>
          <w:rFonts w:ascii="Arial" w:hAnsi="Arial" w:cs="Arial" w:hint="cs"/>
          <w:szCs w:val="22"/>
          <w:cs/>
        </w:rPr>
        <w:t xml:space="preserve"> </w:t>
      </w:r>
      <w:r w:rsidR="00B4234D" w:rsidRPr="008512BE">
        <w:rPr>
          <w:rFonts w:ascii="Arial" w:hAnsi="Arial" w:cs="Arial"/>
          <w:szCs w:val="22"/>
        </w:rPr>
        <w:t xml:space="preserve">consolidated financial statements. The Covid-19 pandemic is continuing to evolve, resulting in an economic slowdown and adversely impacting most businesses and industries in terms of supply chains, consumer spending, limited or suspended production, operational delays, and more. This situation significantly affects the Group’s business activities in terms of </w:t>
      </w:r>
      <w:r w:rsidR="00461DC4">
        <w:rPr>
          <w:rFonts w:ascii="Arial" w:hAnsi="Arial" w:cs="Browallia New"/>
        </w:rPr>
        <w:t>decreasing in customer’s order</w:t>
      </w:r>
      <w:r w:rsidR="00B4234D" w:rsidRPr="008512BE">
        <w:rPr>
          <w:rFonts w:ascii="Arial" w:hAnsi="Arial" w:cs="Arial"/>
          <w:szCs w:val="22"/>
        </w:rPr>
        <w:t>, and this is significantly impacting the Group’s financial position, operating results, and cash flows at present, and is expected to do so in the future. However, the impact cannot be reasonably estimated at this stage.</w:t>
      </w:r>
    </w:p>
    <w:p w14:paraId="4EABAC92" w14:textId="297F46DB" w:rsidR="009D69D4" w:rsidRPr="00080C62" w:rsidRDefault="00C04E93" w:rsidP="00CA27EE">
      <w:pPr>
        <w:spacing w:before="80" w:after="80" w:line="340" w:lineRule="exact"/>
        <w:ind w:left="540" w:hanging="540"/>
        <w:rPr>
          <w:rFonts w:ascii="Arial" w:hAnsi="Arial" w:cs="Arial"/>
          <w:szCs w:val="22"/>
        </w:rPr>
      </w:pPr>
      <w:r>
        <w:rPr>
          <w:rFonts w:ascii="Arial" w:hAnsi="Arial" w:cs="Arial"/>
          <w:szCs w:val="22"/>
        </w:rPr>
        <w:t>2</w:t>
      </w:r>
      <w:r w:rsidR="009D69D4" w:rsidRPr="00080C62">
        <w:rPr>
          <w:rFonts w:ascii="Arial" w:hAnsi="Arial" w:cs="Arial"/>
          <w:szCs w:val="22"/>
        </w:rPr>
        <w:t>)</w:t>
      </w:r>
      <w:r w:rsidR="009D69D4" w:rsidRPr="00080C62">
        <w:rPr>
          <w:rFonts w:ascii="Arial" w:hAnsi="Arial" w:cs="Arial"/>
          <w:szCs w:val="22"/>
        </w:rPr>
        <w:tab/>
        <w:t>As discussed in Note 2 and Note 10.2 to the interim</w:t>
      </w:r>
      <w:r w:rsidR="00CA27EE">
        <w:rPr>
          <w:rFonts w:ascii="Arial" w:hAnsi="Arial" w:cs="Arial"/>
          <w:szCs w:val="22"/>
        </w:rPr>
        <w:t xml:space="preserve"> consolidated</w:t>
      </w:r>
      <w:r w:rsidR="009D69D4" w:rsidRPr="00080C62">
        <w:rPr>
          <w:rFonts w:ascii="Arial" w:hAnsi="Arial" w:cs="Arial"/>
          <w:szCs w:val="22"/>
        </w:rPr>
        <w:t xml:space="preserve"> financial statements, regarding the corrections of the Group’s prior year errors and the acquisition of investment in Trend Asia Corporation Co., Ltd. (a subsidiary)</w:t>
      </w:r>
      <w:r w:rsidR="009D69D4">
        <w:rPr>
          <w:rFonts w:ascii="Arial" w:hAnsi="Arial" w:cs="Arial"/>
          <w:szCs w:val="22"/>
        </w:rPr>
        <w:t xml:space="preserve">, </w:t>
      </w:r>
      <w:r w:rsidR="009D69D4" w:rsidRPr="00080C62">
        <w:rPr>
          <w:rFonts w:ascii="Arial" w:hAnsi="Arial" w:cs="Arial"/>
          <w:szCs w:val="22"/>
        </w:rPr>
        <w:t>the Company completed the measurement of the fair value of the identifiable assets and liabilities assumed as at acquisition date, and the measurement of related goodwill in the current period. Therefore</w:t>
      </w:r>
      <w:r w:rsidR="009D69D4">
        <w:rPr>
          <w:rFonts w:ascii="Arial" w:hAnsi="Arial" w:cs="Arial"/>
          <w:szCs w:val="22"/>
        </w:rPr>
        <w:t>,</w:t>
      </w:r>
      <w:r w:rsidR="009D69D4" w:rsidRPr="00080C62">
        <w:rPr>
          <w:rFonts w:ascii="Arial" w:hAnsi="Arial" w:cs="Arial"/>
          <w:szCs w:val="22"/>
        </w:rPr>
        <w:t xml:space="preserve"> the Group had to make </w:t>
      </w:r>
      <w:r w:rsidR="009D69D4" w:rsidRPr="001C4F62">
        <w:rPr>
          <w:rFonts w:ascii="Arial" w:hAnsi="Arial" w:cs="Arial"/>
          <w:spacing w:val="-4"/>
          <w:szCs w:val="22"/>
        </w:rPr>
        <w:t>retrospective adjustments of the consolidated statement</w:t>
      </w:r>
      <w:r w:rsidR="001C4F62" w:rsidRPr="001C4F62">
        <w:rPr>
          <w:rFonts w:ascii="Arial" w:hAnsi="Arial" w:cs="Arial"/>
          <w:spacing w:val="-4"/>
          <w:szCs w:val="22"/>
        </w:rPr>
        <w:t xml:space="preserve"> of financial position</w:t>
      </w:r>
      <w:r w:rsidR="009D69D4" w:rsidRPr="001C4F62">
        <w:rPr>
          <w:rFonts w:ascii="Arial" w:hAnsi="Arial" w:cs="Arial"/>
          <w:spacing w:val="-4"/>
          <w:szCs w:val="22"/>
        </w:rPr>
        <w:t xml:space="preserve"> </w:t>
      </w:r>
      <w:r w:rsidR="002446A1">
        <w:rPr>
          <w:rFonts w:ascii="Arial" w:hAnsi="Arial" w:cs="Arial"/>
          <w:spacing w:val="-4"/>
          <w:szCs w:val="22"/>
        </w:rPr>
        <w:t>as at</w:t>
      </w:r>
      <w:r w:rsidR="001C4F62">
        <w:rPr>
          <w:rFonts w:ascii="Arial" w:hAnsi="Arial" w:cs="Arial"/>
          <w:szCs w:val="22"/>
        </w:rPr>
        <w:t xml:space="preserve"> </w:t>
      </w:r>
      <w:r w:rsidR="009D69D4" w:rsidRPr="001C4F62">
        <w:rPr>
          <w:rFonts w:ascii="Arial" w:hAnsi="Arial" w:cs="Arial"/>
          <w:spacing w:val="-2"/>
          <w:szCs w:val="22"/>
        </w:rPr>
        <w:t>31 December 2019</w:t>
      </w:r>
      <w:r w:rsidR="001C4F62" w:rsidRPr="001C4F62">
        <w:rPr>
          <w:rFonts w:ascii="Arial" w:hAnsi="Arial" w:cs="Arial"/>
          <w:spacing w:val="-2"/>
          <w:szCs w:val="22"/>
        </w:rPr>
        <w:t xml:space="preserve"> and </w:t>
      </w:r>
      <w:r w:rsidR="00F36C06">
        <w:rPr>
          <w:rFonts w:ascii="Arial" w:hAnsi="Arial" w:cs="Arial"/>
          <w:spacing w:val="-2"/>
          <w:szCs w:val="22"/>
        </w:rPr>
        <w:t xml:space="preserve">the </w:t>
      </w:r>
      <w:r w:rsidR="001C4F62" w:rsidRPr="001C4F62">
        <w:rPr>
          <w:rFonts w:ascii="Arial" w:hAnsi="Arial" w:cs="Arial"/>
          <w:spacing w:val="-2"/>
          <w:szCs w:val="22"/>
        </w:rPr>
        <w:t>consolidated statement</w:t>
      </w:r>
      <w:r w:rsidR="00266A17">
        <w:rPr>
          <w:rFonts w:ascii="Arial" w:hAnsi="Arial" w:cs="Arial"/>
          <w:spacing w:val="-2"/>
          <w:szCs w:val="22"/>
        </w:rPr>
        <w:t>s</w:t>
      </w:r>
      <w:r w:rsidR="001C4F62" w:rsidRPr="001C4F62">
        <w:rPr>
          <w:rFonts w:ascii="Arial" w:hAnsi="Arial" w:cs="Arial"/>
          <w:spacing w:val="-2"/>
          <w:szCs w:val="22"/>
        </w:rPr>
        <w:t xml:space="preserve"> of</w:t>
      </w:r>
      <w:r w:rsidR="002446A1">
        <w:rPr>
          <w:rFonts w:ascii="Arial" w:hAnsi="Arial" w:cs="Arial"/>
          <w:spacing w:val="-2"/>
          <w:szCs w:val="22"/>
        </w:rPr>
        <w:t xml:space="preserve"> comprehensive</w:t>
      </w:r>
      <w:r w:rsidR="001C4F62" w:rsidRPr="001C4F62">
        <w:rPr>
          <w:rFonts w:ascii="Arial" w:hAnsi="Arial" w:cs="Arial"/>
          <w:spacing w:val="-2"/>
          <w:szCs w:val="22"/>
        </w:rPr>
        <w:t xml:space="preserve"> income for </w:t>
      </w:r>
      <w:r w:rsidR="001C4F62" w:rsidRPr="00CA27EE">
        <w:rPr>
          <w:rFonts w:ascii="Arial" w:hAnsi="Arial" w:cs="Arial"/>
          <w:szCs w:val="22"/>
        </w:rPr>
        <w:t>the three-month and</w:t>
      </w:r>
      <w:r w:rsidR="00CA27EE" w:rsidRPr="00CA27EE">
        <w:rPr>
          <w:rFonts w:ascii="Arial" w:hAnsi="Arial" w:cs="Arial"/>
          <w:szCs w:val="22"/>
        </w:rPr>
        <w:t xml:space="preserve"> </w:t>
      </w:r>
      <w:r w:rsidR="001C4F62" w:rsidRPr="00CA27EE">
        <w:rPr>
          <w:rFonts w:ascii="Arial" w:hAnsi="Arial" w:cs="Arial"/>
          <w:szCs w:val="22"/>
        </w:rPr>
        <w:t>six-month periods ended 30 June 2019</w:t>
      </w:r>
      <w:r w:rsidR="009D69D4" w:rsidRPr="00CA27EE">
        <w:rPr>
          <w:rFonts w:ascii="Arial" w:hAnsi="Arial" w:cs="Arial"/>
          <w:szCs w:val="22"/>
        </w:rPr>
        <w:t>, presented herein as comparative</w:t>
      </w:r>
      <w:r w:rsidR="009D69D4" w:rsidRPr="00080C62">
        <w:rPr>
          <w:rFonts w:ascii="Arial" w:hAnsi="Arial" w:cs="Arial"/>
          <w:szCs w:val="22"/>
        </w:rPr>
        <w:t xml:space="preserve"> information</w:t>
      </w:r>
      <w:r w:rsidR="009D69D4">
        <w:rPr>
          <w:rFonts w:ascii="Arial" w:hAnsi="Arial" w:cs="Arial"/>
          <w:szCs w:val="22"/>
        </w:rPr>
        <w:t>,</w:t>
      </w:r>
      <w:r w:rsidR="009D69D4" w:rsidRPr="00080C62">
        <w:rPr>
          <w:rFonts w:ascii="Arial" w:hAnsi="Arial" w:cs="Arial"/>
          <w:szCs w:val="22"/>
        </w:rPr>
        <w:t xml:space="preserve"> </w:t>
      </w:r>
      <w:r w:rsidR="009D69D4">
        <w:rPr>
          <w:rFonts w:ascii="Arial" w:hAnsi="Arial" w:cs="Arial"/>
          <w:szCs w:val="22"/>
        </w:rPr>
        <w:t xml:space="preserve">to </w:t>
      </w:r>
      <w:r w:rsidR="009D69D4" w:rsidRPr="00080C62">
        <w:rPr>
          <w:rFonts w:ascii="Arial" w:hAnsi="Arial" w:cs="Arial"/>
          <w:szCs w:val="22"/>
        </w:rPr>
        <w:t>reflect to these</w:t>
      </w:r>
      <w:r w:rsidR="009D69D4">
        <w:rPr>
          <w:rFonts w:ascii="Arial" w:hAnsi="Arial" w:hint="cs"/>
          <w:szCs w:val="22"/>
          <w:cs/>
        </w:rPr>
        <w:t xml:space="preserve"> </w:t>
      </w:r>
      <w:r w:rsidR="009D69D4" w:rsidRPr="00080C62">
        <w:rPr>
          <w:rFonts w:ascii="Arial" w:hAnsi="Arial" w:cs="Arial"/>
          <w:szCs w:val="22"/>
        </w:rPr>
        <w:t xml:space="preserve">adjustments transactions. </w:t>
      </w:r>
    </w:p>
    <w:p w14:paraId="2B0848CA" w14:textId="44871225" w:rsidR="009D69D4" w:rsidRPr="00080C62" w:rsidRDefault="00C04E93" w:rsidP="00CA27EE">
      <w:pPr>
        <w:spacing w:before="80" w:after="80" w:line="340" w:lineRule="exact"/>
        <w:ind w:left="540" w:hanging="540"/>
        <w:rPr>
          <w:rFonts w:ascii="Arial" w:hAnsi="Arial" w:cs="Arial"/>
          <w:szCs w:val="22"/>
        </w:rPr>
      </w:pPr>
      <w:r>
        <w:rPr>
          <w:rFonts w:ascii="Arial" w:hAnsi="Arial" w:cs="Arial"/>
          <w:szCs w:val="22"/>
        </w:rPr>
        <w:t>3</w:t>
      </w:r>
      <w:r w:rsidR="009D69D4" w:rsidRPr="00080C62">
        <w:rPr>
          <w:rFonts w:ascii="Arial" w:hAnsi="Arial" w:cs="Arial"/>
          <w:szCs w:val="22"/>
        </w:rPr>
        <w:t>)</w:t>
      </w:r>
      <w:r w:rsidR="009D69D4" w:rsidRPr="00080C62">
        <w:rPr>
          <w:rFonts w:ascii="Arial" w:hAnsi="Arial" w:cs="Arial"/>
          <w:szCs w:val="22"/>
        </w:rPr>
        <w:tab/>
      </w:r>
      <w:r w:rsidR="009D69D4" w:rsidRPr="00CA27EE">
        <w:rPr>
          <w:rFonts w:ascii="Arial" w:hAnsi="Arial" w:cs="Arial"/>
          <w:spacing w:val="-2"/>
          <w:szCs w:val="22"/>
        </w:rPr>
        <w:t>As discussed in Note 10.3 to the interim</w:t>
      </w:r>
      <w:r w:rsidR="00CA27EE" w:rsidRPr="00CA27EE">
        <w:rPr>
          <w:rFonts w:ascii="Arial" w:hAnsi="Arial" w:cs="Arial"/>
          <w:spacing w:val="-2"/>
          <w:szCs w:val="22"/>
        </w:rPr>
        <w:t xml:space="preserve"> consolidated</w:t>
      </w:r>
      <w:r w:rsidR="009D69D4" w:rsidRPr="00CA27EE">
        <w:rPr>
          <w:rFonts w:ascii="Arial" w:hAnsi="Arial" w:cs="Arial"/>
          <w:spacing w:val="-2"/>
          <w:szCs w:val="22"/>
        </w:rPr>
        <w:t xml:space="preserve"> financial statements, on 30 April 2019,</w:t>
      </w:r>
      <w:r w:rsidR="009D69D4" w:rsidRPr="00CA27EE">
        <w:rPr>
          <w:rFonts w:ascii="Arial" w:hAnsi="Arial" w:cs="Arial"/>
          <w:szCs w:val="22"/>
        </w:rPr>
        <w:t xml:space="preserve"> the Company entered into an agreement to purchase common shares of Trend Asia Corporation Co., Ltd.</w:t>
      </w:r>
      <w:r w:rsidR="009D69D4" w:rsidRPr="00080C62">
        <w:rPr>
          <w:rFonts w:ascii="Arial" w:hAnsi="Arial" w:cs="Arial"/>
          <w:szCs w:val="22"/>
        </w:rPr>
        <w:t xml:space="preserve"> </w:t>
      </w:r>
      <w:r w:rsidR="009D69D4" w:rsidRPr="00C04E93">
        <w:rPr>
          <w:rFonts w:ascii="Arial" w:hAnsi="Arial" w:cs="Arial"/>
          <w:spacing w:val="-6"/>
          <w:szCs w:val="22"/>
        </w:rPr>
        <w:t>with a person (the existing shareholder). Under the agreement, only total revenue after deducting</w:t>
      </w:r>
      <w:r w:rsidR="009D69D4" w:rsidRPr="00080C62">
        <w:rPr>
          <w:rFonts w:ascii="Arial" w:hAnsi="Arial" w:cs="Arial"/>
          <w:szCs w:val="22"/>
        </w:rPr>
        <w:t xml:space="preserve"> expenses </w:t>
      </w:r>
      <w:r w:rsidR="009D69D4">
        <w:rPr>
          <w:rFonts w:ascii="Arial" w:hAnsi="Arial" w:cs="Arial"/>
          <w:szCs w:val="22"/>
        </w:rPr>
        <w:t xml:space="preserve">generated from the </w:t>
      </w:r>
      <w:r w:rsidR="009D69D4" w:rsidRPr="00080C62">
        <w:rPr>
          <w:rFonts w:ascii="Arial" w:hAnsi="Arial" w:cs="Arial"/>
          <w:szCs w:val="22"/>
        </w:rPr>
        <w:t>procurement</w:t>
      </w:r>
      <w:r w:rsidR="009D69D4">
        <w:rPr>
          <w:rFonts w:ascii="Arial" w:hAnsi="Arial" w:cs="Arial"/>
          <w:szCs w:val="22"/>
        </w:rPr>
        <w:t xml:space="preserve">s </w:t>
      </w:r>
      <w:r w:rsidR="009D69D4" w:rsidRPr="00080C62">
        <w:rPr>
          <w:rFonts w:ascii="Arial" w:hAnsi="Arial" w:cs="Arial"/>
          <w:szCs w:val="22"/>
        </w:rPr>
        <w:t xml:space="preserve">and </w:t>
      </w:r>
      <w:r w:rsidR="009D69D4">
        <w:rPr>
          <w:rFonts w:ascii="Arial" w:hAnsi="Arial" w:cs="Arial"/>
          <w:szCs w:val="22"/>
        </w:rPr>
        <w:t xml:space="preserve">the installation of </w:t>
      </w:r>
      <w:r w:rsidR="009D69D4" w:rsidRPr="00080C62">
        <w:rPr>
          <w:rFonts w:ascii="Arial" w:hAnsi="Arial" w:cs="Arial"/>
          <w:szCs w:val="22"/>
        </w:rPr>
        <w:t>Static Mixer machine</w:t>
      </w:r>
      <w:r w:rsidR="009D69D4">
        <w:rPr>
          <w:rFonts w:ascii="Arial" w:hAnsi="Arial" w:cs="Arial"/>
          <w:szCs w:val="22"/>
        </w:rPr>
        <w:t xml:space="preserve">s, </w:t>
      </w:r>
      <w:r w:rsidR="009D69D4" w:rsidRPr="00C04E93">
        <w:rPr>
          <w:rFonts w:ascii="Arial" w:hAnsi="Arial" w:cs="Arial"/>
          <w:spacing w:val="-6"/>
          <w:szCs w:val="22"/>
        </w:rPr>
        <w:t>whether completed, pending or in process, will be given to the group of existing shareholders,</w:t>
      </w:r>
      <w:r w:rsidR="009D69D4">
        <w:rPr>
          <w:rFonts w:ascii="Arial" w:hAnsi="Arial" w:cs="Arial"/>
          <w:szCs w:val="22"/>
        </w:rPr>
        <w:t xml:space="preserve"> </w:t>
      </w:r>
      <w:r w:rsidR="009D69D4" w:rsidRPr="00080C62">
        <w:rPr>
          <w:rFonts w:ascii="Arial" w:hAnsi="Arial" w:cs="Arial"/>
          <w:szCs w:val="22"/>
        </w:rPr>
        <w:t>consisting of trade receivable</w:t>
      </w:r>
      <w:r w:rsidR="009D69D4">
        <w:rPr>
          <w:rFonts w:ascii="Arial" w:hAnsi="Arial" w:cs="Arial"/>
          <w:szCs w:val="22"/>
        </w:rPr>
        <w:t>s</w:t>
      </w:r>
      <w:r w:rsidR="009D69D4" w:rsidRPr="00080C62">
        <w:rPr>
          <w:rFonts w:ascii="Arial" w:hAnsi="Arial" w:cs="Arial"/>
          <w:szCs w:val="22"/>
        </w:rPr>
        <w:t xml:space="preserve">, accrued income and works in process. </w:t>
      </w:r>
      <w:r w:rsidR="009D69D4">
        <w:rPr>
          <w:rFonts w:ascii="Arial" w:hAnsi="Arial" w:cs="Arial"/>
          <w:szCs w:val="22"/>
        </w:rPr>
        <w:t>The existing</w:t>
      </w:r>
      <w:r w:rsidR="009D69D4" w:rsidRPr="00080C62">
        <w:rPr>
          <w:rFonts w:ascii="Arial" w:hAnsi="Arial" w:cs="Arial"/>
          <w:szCs w:val="22"/>
        </w:rPr>
        <w:t xml:space="preserve"> </w:t>
      </w:r>
      <w:r w:rsidR="009D69D4" w:rsidRPr="00C04E93">
        <w:rPr>
          <w:rFonts w:ascii="Arial" w:hAnsi="Arial" w:cs="Arial"/>
          <w:spacing w:val="-6"/>
          <w:szCs w:val="22"/>
        </w:rPr>
        <w:t>shareholder is solely responsible for any expenses and trade payable relating to such business.</w:t>
      </w:r>
    </w:p>
    <w:p w14:paraId="77DD2880" w14:textId="6CCDF51B" w:rsidR="009D69D4" w:rsidRPr="00080C62" w:rsidRDefault="009D69D4" w:rsidP="00CA27EE">
      <w:pPr>
        <w:spacing w:before="80" w:after="80" w:line="340" w:lineRule="exact"/>
        <w:ind w:left="540"/>
        <w:rPr>
          <w:rFonts w:ascii="Arial" w:hAnsi="Arial" w:cs="Arial"/>
          <w:szCs w:val="22"/>
        </w:rPr>
      </w:pPr>
      <w:r w:rsidRPr="00080C62">
        <w:rPr>
          <w:rFonts w:ascii="Arial" w:hAnsi="Arial" w:cs="Arial"/>
          <w:szCs w:val="22"/>
        </w:rPr>
        <w:t xml:space="preserve">After </w:t>
      </w:r>
      <w:r>
        <w:rPr>
          <w:rFonts w:ascii="Arial" w:hAnsi="Arial" w:cs="Arial"/>
          <w:szCs w:val="22"/>
        </w:rPr>
        <w:t xml:space="preserve">30 </w:t>
      </w:r>
      <w:r w:rsidRPr="00080C62">
        <w:rPr>
          <w:rFonts w:ascii="Arial" w:hAnsi="Arial" w:cs="Arial"/>
          <w:szCs w:val="22"/>
        </w:rPr>
        <w:t xml:space="preserve">April 2019, the subsidiary received a letter from </w:t>
      </w:r>
      <w:r>
        <w:rPr>
          <w:rFonts w:ascii="Arial" w:hAnsi="Arial" w:cs="Arial"/>
          <w:szCs w:val="22"/>
        </w:rPr>
        <w:t xml:space="preserve">a </w:t>
      </w:r>
      <w:r w:rsidRPr="00080C62">
        <w:rPr>
          <w:rFonts w:ascii="Arial" w:hAnsi="Arial" w:cs="Arial"/>
          <w:szCs w:val="22"/>
        </w:rPr>
        <w:t xml:space="preserve">customer to </w:t>
      </w:r>
      <w:r>
        <w:rPr>
          <w:rFonts w:ascii="Arial" w:hAnsi="Arial" w:cs="Arial"/>
          <w:szCs w:val="22"/>
        </w:rPr>
        <w:t>dismantle</w:t>
      </w:r>
      <w:r w:rsidRPr="00080C62">
        <w:rPr>
          <w:rFonts w:ascii="Arial" w:hAnsi="Arial" w:cs="Arial"/>
          <w:szCs w:val="22"/>
        </w:rPr>
        <w:t xml:space="preserve"> and </w:t>
      </w:r>
      <w:r>
        <w:rPr>
          <w:rFonts w:ascii="Arial" w:hAnsi="Arial" w:cs="Arial"/>
          <w:szCs w:val="22"/>
        </w:rPr>
        <w:t>re</w:t>
      </w:r>
      <w:r w:rsidRPr="00080C62">
        <w:rPr>
          <w:rFonts w:ascii="Arial" w:hAnsi="Arial" w:cs="Arial"/>
          <w:szCs w:val="22"/>
        </w:rPr>
        <w:t xml:space="preserve">move all of Static Mixer </w:t>
      </w:r>
      <w:r>
        <w:rPr>
          <w:rFonts w:ascii="Arial" w:hAnsi="Arial" w:cs="Arial"/>
          <w:szCs w:val="22"/>
        </w:rPr>
        <w:t>machines</w:t>
      </w:r>
      <w:r w:rsidRPr="00080C62">
        <w:rPr>
          <w:rFonts w:ascii="Arial" w:hAnsi="Arial" w:cs="Arial"/>
          <w:szCs w:val="22"/>
        </w:rPr>
        <w:t xml:space="preserve"> because </w:t>
      </w:r>
      <w:r>
        <w:rPr>
          <w:rFonts w:ascii="Arial" w:hAnsi="Arial" w:cs="Arial"/>
          <w:szCs w:val="22"/>
        </w:rPr>
        <w:t xml:space="preserve">they did not function as agreed. The subsidiary </w:t>
      </w:r>
      <w:r w:rsidRPr="00080C62">
        <w:rPr>
          <w:rFonts w:ascii="Arial" w:hAnsi="Arial" w:cs="Arial"/>
          <w:szCs w:val="22"/>
        </w:rPr>
        <w:t xml:space="preserve">suddenly </w:t>
      </w:r>
      <w:r>
        <w:rPr>
          <w:rFonts w:ascii="Arial" w:hAnsi="Arial" w:cs="Arial"/>
          <w:szCs w:val="22"/>
        </w:rPr>
        <w:t>notified</w:t>
      </w:r>
      <w:r w:rsidRPr="00080C62">
        <w:rPr>
          <w:rFonts w:ascii="Arial" w:hAnsi="Arial" w:cs="Arial"/>
          <w:szCs w:val="22"/>
        </w:rPr>
        <w:t xml:space="preserve"> trade payable (Contractor) to proceed. From such event, there is </w:t>
      </w:r>
      <w:r>
        <w:rPr>
          <w:rFonts w:ascii="Arial" w:hAnsi="Arial" w:cs="Arial"/>
          <w:szCs w:val="22"/>
        </w:rPr>
        <w:t xml:space="preserve">a </w:t>
      </w:r>
      <w:r w:rsidRPr="00080C62">
        <w:rPr>
          <w:rFonts w:ascii="Arial" w:hAnsi="Arial" w:cs="Arial"/>
          <w:szCs w:val="22"/>
        </w:rPr>
        <w:t xml:space="preserve">substantial doubt </w:t>
      </w:r>
      <w:r>
        <w:rPr>
          <w:rFonts w:ascii="Arial" w:hAnsi="Arial" w:cs="Arial"/>
          <w:szCs w:val="22"/>
        </w:rPr>
        <w:t>about</w:t>
      </w:r>
      <w:r w:rsidRPr="00080C62">
        <w:rPr>
          <w:rFonts w:ascii="Arial" w:hAnsi="Arial" w:cs="Arial"/>
          <w:szCs w:val="22"/>
        </w:rPr>
        <w:t xml:space="preserve"> </w:t>
      </w:r>
      <w:proofErr w:type="spellStart"/>
      <w:r w:rsidRPr="00080C62">
        <w:rPr>
          <w:rFonts w:ascii="Arial" w:hAnsi="Arial" w:cs="Arial"/>
          <w:szCs w:val="22"/>
        </w:rPr>
        <w:t>uncollectib</w:t>
      </w:r>
      <w:r>
        <w:rPr>
          <w:rFonts w:ascii="Arial" w:hAnsi="Arial" w:cs="Arial"/>
          <w:szCs w:val="22"/>
        </w:rPr>
        <w:t>ility</w:t>
      </w:r>
      <w:proofErr w:type="spellEnd"/>
      <w:r w:rsidRPr="00080C62">
        <w:rPr>
          <w:rFonts w:ascii="Arial" w:hAnsi="Arial" w:cs="Arial"/>
          <w:szCs w:val="22"/>
        </w:rPr>
        <w:t xml:space="preserve"> of trade receivable and </w:t>
      </w:r>
      <w:r>
        <w:rPr>
          <w:rFonts w:ascii="Arial" w:hAnsi="Arial" w:cs="Arial"/>
          <w:szCs w:val="22"/>
        </w:rPr>
        <w:t>demand for</w:t>
      </w:r>
      <w:r w:rsidRPr="00080C62">
        <w:rPr>
          <w:rFonts w:ascii="Arial" w:hAnsi="Arial" w:cs="Arial"/>
          <w:szCs w:val="22"/>
        </w:rPr>
        <w:t xml:space="preserve"> damage</w:t>
      </w:r>
      <w:r>
        <w:rPr>
          <w:rFonts w:ascii="Arial" w:hAnsi="Arial" w:cs="Arial"/>
          <w:szCs w:val="22"/>
        </w:rPr>
        <w:t>s</w:t>
      </w:r>
      <w:r w:rsidRPr="00080C62">
        <w:rPr>
          <w:rFonts w:ascii="Arial" w:hAnsi="Arial" w:cs="Arial"/>
          <w:szCs w:val="22"/>
        </w:rPr>
        <w:t xml:space="preserve">. The </w:t>
      </w:r>
      <w:r>
        <w:rPr>
          <w:rFonts w:ascii="Arial" w:hAnsi="Arial" w:cs="Arial"/>
          <w:szCs w:val="22"/>
        </w:rPr>
        <w:t>m</w:t>
      </w:r>
      <w:r w:rsidRPr="00080C62">
        <w:rPr>
          <w:rFonts w:ascii="Arial" w:hAnsi="Arial" w:cs="Arial"/>
          <w:szCs w:val="22"/>
        </w:rPr>
        <w:t>anagement of the Company however expect</w:t>
      </w:r>
      <w:r>
        <w:rPr>
          <w:rFonts w:ascii="Arial" w:hAnsi="Arial" w:cs="Arial"/>
          <w:szCs w:val="22"/>
        </w:rPr>
        <w:t>s</w:t>
      </w:r>
      <w:r w:rsidRPr="00080C62">
        <w:rPr>
          <w:rFonts w:ascii="Arial" w:hAnsi="Arial" w:cs="Arial"/>
          <w:szCs w:val="22"/>
        </w:rPr>
        <w:t xml:space="preserve"> that there </w:t>
      </w:r>
      <w:r>
        <w:rPr>
          <w:rFonts w:ascii="Arial" w:hAnsi="Arial" w:cs="Arial"/>
          <w:szCs w:val="22"/>
        </w:rPr>
        <w:t>will be</w:t>
      </w:r>
      <w:r w:rsidRPr="00080C62">
        <w:rPr>
          <w:rFonts w:ascii="Arial" w:hAnsi="Arial" w:cs="Arial"/>
          <w:szCs w:val="22"/>
        </w:rPr>
        <w:t xml:space="preserve"> no damage </w:t>
      </w:r>
      <w:r>
        <w:rPr>
          <w:rFonts w:ascii="Arial" w:hAnsi="Arial" w:cs="Arial"/>
          <w:szCs w:val="22"/>
        </w:rPr>
        <w:t>inflicted from the claim of the customer which</w:t>
      </w:r>
      <w:r w:rsidRPr="00080C62">
        <w:rPr>
          <w:rFonts w:ascii="Arial" w:hAnsi="Arial" w:cs="Arial"/>
          <w:szCs w:val="22"/>
        </w:rPr>
        <w:t xml:space="preserve"> impact</w:t>
      </w:r>
      <w:r>
        <w:rPr>
          <w:rFonts w:ascii="Arial" w:hAnsi="Arial" w:cs="Arial"/>
          <w:szCs w:val="22"/>
        </w:rPr>
        <w:t>s</w:t>
      </w:r>
      <w:r w:rsidRPr="00080C62">
        <w:rPr>
          <w:rFonts w:ascii="Arial" w:hAnsi="Arial" w:cs="Arial"/>
          <w:szCs w:val="22"/>
        </w:rPr>
        <w:t xml:space="preserve"> </w:t>
      </w:r>
      <w:r>
        <w:rPr>
          <w:rFonts w:ascii="Arial" w:hAnsi="Arial" w:cs="Arial"/>
          <w:szCs w:val="22"/>
        </w:rPr>
        <w:t xml:space="preserve">the dismantling of the </w:t>
      </w:r>
      <w:r w:rsidRPr="00080C62">
        <w:rPr>
          <w:rFonts w:ascii="Arial" w:hAnsi="Arial" w:cs="Arial"/>
          <w:szCs w:val="22"/>
        </w:rPr>
        <w:t xml:space="preserve">Static Mixer as it is </w:t>
      </w:r>
      <w:r>
        <w:rPr>
          <w:rFonts w:ascii="Arial" w:hAnsi="Arial" w:cs="Arial"/>
          <w:szCs w:val="22"/>
        </w:rPr>
        <w:t xml:space="preserve">an </w:t>
      </w:r>
      <w:r w:rsidRPr="00080C62">
        <w:rPr>
          <w:rFonts w:ascii="Arial" w:hAnsi="Arial" w:cs="Arial"/>
          <w:szCs w:val="22"/>
        </w:rPr>
        <w:t xml:space="preserve">obligation of the </w:t>
      </w:r>
      <w:r>
        <w:rPr>
          <w:rFonts w:ascii="Arial" w:hAnsi="Arial" w:cs="Arial"/>
          <w:szCs w:val="22"/>
        </w:rPr>
        <w:t xml:space="preserve">group </w:t>
      </w:r>
      <w:r w:rsidRPr="00EF1151">
        <w:rPr>
          <w:rFonts w:ascii="Arial" w:hAnsi="Arial" w:cs="Arial"/>
          <w:szCs w:val="22"/>
        </w:rPr>
        <w:t xml:space="preserve">of </w:t>
      </w:r>
      <w:r>
        <w:rPr>
          <w:rFonts w:ascii="Arial" w:hAnsi="Arial" w:cs="Arial"/>
          <w:szCs w:val="22"/>
        </w:rPr>
        <w:t xml:space="preserve">existing </w:t>
      </w:r>
      <w:r w:rsidRPr="00EF1151">
        <w:rPr>
          <w:rFonts w:ascii="Arial" w:hAnsi="Arial" w:cs="Arial"/>
          <w:szCs w:val="22"/>
        </w:rPr>
        <w:t>shareholder</w:t>
      </w:r>
      <w:r w:rsidRPr="0064694F">
        <w:rPr>
          <w:rFonts w:ascii="Arial" w:hAnsi="Arial" w:cs="Arial"/>
          <w:szCs w:val="22"/>
        </w:rPr>
        <w:t>s</w:t>
      </w:r>
      <w:r w:rsidRPr="00080C62">
        <w:rPr>
          <w:rFonts w:ascii="Arial" w:hAnsi="Arial" w:cs="Arial"/>
          <w:szCs w:val="22"/>
        </w:rPr>
        <w:t xml:space="preserve">. If </w:t>
      </w:r>
      <w:r>
        <w:rPr>
          <w:rFonts w:ascii="Arial" w:hAnsi="Arial" w:cs="Arial"/>
          <w:szCs w:val="22"/>
        </w:rPr>
        <w:t xml:space="preserve">case of </w:t>
      </w:r>
      <w:r w:rsidRPr="00080C62">
        <w:rPr>
          <w:rFonts w:ascii="Arial" w:hAnsi="Arial" w:cs="Arial"/>
          <w:szCs w:val="22"/>
        </w:rPr>
        <w:t>damage</w:t>
      </w:r>
      <w:r>
        <w:rPr>
          <w:rFonts w:ascii="Arial" w:hAnsi="Arial" w:cs="Arial"/>
          <w:szCs w:val="22"/>
        </w:rPr>
        <w:t xml:space="preserve"> claim</w:t>
      </w:r>
      <w:r w:rsidRPr="00080C62">
        <w:rPr>
          <w:rFonts w:ascii="Arial" w:hAnsi="Arial" w:cs="Arial"/>
          <w:szCs w:val="22"/>
        </w:rPr>
        <w:t xml:space="preserve">, the Company is able to offset with share payable. Trend Asia Corporation Co., Ltd., will delete such trade receivable and trade payable when obtaining evidence </w:t>
      </w:r>
      <w:r>
        <w:rPr>
          <w:rFonts w:ascii="Arial" w:hAnsi="Arial" w:cs="Arial"/>
          <w:szCs w:val="22"/>
        </w:rPr>
        <w:t xml:space="preserve">that assures </w:t>
      </w:r>
      <w:r w:rsidRPr="00080C62">
        <w:rPr>
          <w:rFonts w:ascii="Arial" w:hAnsi="Arial" w:cs="Arial"/>
          <w:szCs w:val="22"/>
        </w:rPr>
        <w:t xml:space="preserve">that no </w:t>
      </w:r>
      <w:r>
        <w:rPr>
          <w:rFonts w:ascii="Arial" w:hAnsi="Arial" w:cs="Arial"/>
          <w:szCs w:val="22"/>
        </w:rPr>
        <w:t xml:space="preserve">compensatory </w:t>
      </w:r>
      <w:r w:rsidRPr="00080C62">
        <w:rPr>
          <w:rFonts w:ascii="Arial" w:hAnsi="Arial" w:cs="Arial"/>
          <w:szCs w:val="22"/>
        </w:rPr>
        <w:t>damage</w:t>
      </w:r>
      <w:r>
        <w:rPr>
          <w:rFonts w:ascii="Arial" w:hAnsi="Arial" w:cs="Arial"/>
          <w:szCs w:val="22"/>
        </w:rPr>
        <w:t xml:space="preserve">s are demanded. </w:t>
      </w:r>
    </w:p>
    <w:p w14:paraId="2927A0A9" w14:textId="2C57B727" w:rsidR="00FC62D1" w:rsidRDefault="009D69D4" w:rsidP="00CA27EE">
      <w:pPr>
        <w:spacing w:before="80" w:after="80" w:line="340" w:lineRule="exact"/>
        <w:rPr>
          <w:rFonts w:ascii="Arial" w:hAnsi="Arial" w:cs="Arial"/>
          <w:b/>
          <w:bCs/>
          <w:szCs w:val="22"/>
        </w:rPr>
      </w:pPr>
      <w:r w:rsidRPr="00080C62">
        <w:rPr>
          <w:rFonts w:ascii="Arial" w:hAnsi="Arial" w:cs="Arial"/>
          <w:szCs w:val="22"/>
        </w:rPr>
        <w:t>My conclusion is not modified in respect of the above matter</w:t>
      </w:r>
      <w:r w:rsidR="00B4234D">
        <w:rPr>
          <w:rFonts w:ascii="Arial" w:hAnsi="Arial" w:cs="Arial"/>
          <w:szCs w:val="22"/>
        </w:rPr>
        <w:t>s</w:t>
      </w:r>
      <w:r w:rsidRPr="00080C62">
        <w:rPr>
          <w:rFonts w:ascii="Arial" w:hAnsi="Arial" w:cs="Arial"/>
          <w:szCs w:val="22"/>
        </w:rPr>
        <w:t>.</w:t>
      </w:r>
      <w:r w:rsidR="00FC62D1">
        <w:rPr>
          <w:rFonts w:ascii="Arial" w:hAnsi="Arial" w:cs="Arial"/>
          <w:b/>
          <w:bCs/>
          <w:szCs w:val="22"/>
        </w:rPr>
        <w:br w:type="page"/>
      </w:r>
    </w:p>
    <w:p w14:paraId="1AF1D59B" w14:textId="48F99074" w:rsidR="00665967" w:rsidRPr="00EF7A26" w:rsidRDefault="00665967" w:rsidP="00FC62D1">
      <w:pPr>
        <w:spacing w:before="120" w:after="120" w:line="380" w:lineRule="exact"/>
        <w:rPr>
          <w:rFonts w:ascii="Arial" w:hAnsi="Arial" w:cs="Arial"/>
          <w:b/>
          <w:bCs/>
          <w:szCs w:val="22"/>
        </w:rPr>
      </w:pPr>
      <w:r w:rsidRPr="00EF7A26">
        <w:rPr>
          <w:rFonts w:ascii="Arial" w:hAnsi="Arial" w:cs="Arial"/>
          <w:b/>
          <w:bCs/>
          <w:szCs w:val="22"/>
        </w:rPr>
        <w:lastRenderedPageBreak/>
        <w:t>Other Matter</w:t>
      </w:r>
    </w:p>
    <w:p w14:paraId="41AD55E4" w14:textId="1B0B12C9" w:rsidR="009D69D4" w:rsidRPr="00080C62" w:rsidRDefault="009D69D4" w:rsidP="009D69D4">
      <w:pPr>
        <w:spacing w:before="120" w:after="120" w:line="380" w:lineRule="exact"/>
        <w:rPr>
          <w:rFonts w:ascii="Arial" w:hAnsi="Arial" w:cs="Arial"/>
          <w:szCs w:val="22"/>
        </w:rPr>
      </w:pPr>
      <w:r w:rsidRPr="00080C62">
        <w:rPr>
          <w:rFonts w:ascii="Arial" w:hAnsi="Arial" w:cs="Arial"/>
          <w:szCs w:val="22"/>
        </w:rPr>
        <w:t>The consolidated statement of financial position of Thai Mui Corporation Public Company Limited and its subsidiaries, and the separate statement of financial position of Thai Mui Corporation Public Company Limited as at 31 December 2019, presented herein as comparative information, were audited by another auditor who expressed an unmodified opinion on those statements and draw attention to uncertainty</w:t>
      </w:r>
      <w:r>
        <w:rPr>
          <w:rFonts w:ascii="Arial" w:hAnsi="Arial" w:cs="Arial"/>
          <w:szCs w:val="22"/>
        </w:rPr>
        <w:t>,</w:t>
      </w:r>
      <w:r w:rsidRPr="00C96300">
        <w:rPr>
          <w:rFonts w:ascii="Arial" w:hAnsi="Arial" w:cs="Arial"/>
          <w:szCs w:val="22"/>
        </w:rPr>
        <w:t xml:space="preserve"> </w:t>
      </w:r>
      <w:r w:rsidRPr="00080C62">
        <w:rPr>
          <w:rFonts w:ascii="Arial" w:hAnsi="Arial" w:cs="Arial"/>
          <w:szCs w:val="22"/>
        </w:rPr>
        <w:t>under her report dated 27 February 2020</w:t>
      </w:r>
      <w:r>
        <w:rPr>
          <w:rFonts w:ascii="Arial" w:hAnsi="Arial" w:cs="Arial"/>
          <w:szCs w:val="22"/>
        </w:rPr>
        <w:t>,</w:t>
      </w:r>
      <w:r w:rsidRPr="00080C62">
        <w:rPr>
          <w:rFonts w:ascii="Arial" w:hAnsi="Arial" w:cs="Arial"/>
          <w:szCs w:val="22"/>
        </w:rPr>
        <w:t xml:space="preserve"> </w:t>
      </w:r>
      <w:r>
        <w:rPr>
          <w:rFonts w:ascii="Arial" w:hAnsi="Arial" w:cs="Arial"/>
          <w:szCs w:val="22"/>
        </w:rPr>
        <w:t>that</w:t>
      </w:r>
      <w:r w:rsidRPr="00080C62">
        <w:rPr>
          <w:rFonts w:ascii="Arial" w:hAnsi="Arial" w:cs="Arial"/>
          <w:szCs w:val="22"/>
        </w:rPr>
        <w:t xml:space="preserve"> </w:t>
      </w:r>
      <w:r>
        <w:rPr>
          <w:rFonts w:ascii="Arial" w:hAnsi="Arial" w:cs="Arial"/>
          <w:szCs w:val="22"/>
        </w:rPr>
        <w:t>the</w:t>
      </w:r>
      <w:r w:rsidRPr="00080C62">
        <w:rPr>
          <w:rFonts w:ascii="Arial" w:hAnsi="Arial" w:cs="Arial"/>
          <w:szCs w:val="22"/>
        </w:rPr>
        <w:t xml:space="preserve"> subsidiary company may be </w:t>
      </w:r>
      <w:r>
        <w:rPr>
          <w:rFonts w:ascii="Arial" w:hAnsi="Arial" w:cs="Arial"/>
          <w:szCs w:val="22"/>
        </w:rPr>
        <w:t>demanded to pay for compensatory</w:t>
      </w:r>
      <w:r w:rsidRPr="00080C62">
        <w:rPr>
          <w:rFonts w:ascii="Arial" w:hAnsi="Arial" w:cs="Arial"/>
          <w:szCs w:val="22"/>
        </w:rPr>
        <w:t xml:space="preserve"> damage</w:t>
      </w:r>
      <w:r>
        <w:rPr>
          <w:rFonts w:ascii="Arial" w:hAnsi="Arial" w:cs="Arial"/>
          <w:szCs w:val="22"/>
        </w:rPr>
        <w:t>s</w:t>
      </w:r>
      <w:r w:rsidRPr="00080C62">
        <w:rPr>
          <w:rFonts w:ascii="Arial" w:hAnsi="Arial" w:cs="Arial"/>
          <w:szCs w:val="22"/>
        </w:rPr>
        <w:t xml:space="preserve"> by a customer of</w:t>
      </w:r>
      <w:r>
        <w:rPr>
          <w:rFonts w:ascii="Arial" w:hAnsi="Arial" w:cs="Arial"/>
          <w:szCs w:val="22"/>
        </w:rPr>
        <w:t xml:space="preserve"> procurement</w:t>
      </w:r>
      <w:r w:rsidRPr="00080C62">
        <w:rPr>
          <w:rFonts w:ascii="Arial" w:hAnsi="Arial" w:cs="Arial"/>
          <w:szCs w:val="22"/>
        </w:rPr>
        <w:t xml:space="preserve"> Static Mixer </w:t>
      </w:r>
      <w:r>
        <w:rPr>
          <w:rFonts w:ascii="Arial" w:hAnsi="Arial" w:cs="Arial"/>
          <w:szCs w:val="22"/>
        </w:rPr>
        <w:t>installation work</w:t>
      </w:r>
      <w:r w:rsidR="00B4234D">
        <w:rPr>
          <w:rFonts w:ascii="Arial" w:hAnsi="Arial" w:cs="Arial"/>
          <w:szCs w:val="22"/>
        </w:rPr>
        <w:t xml:space="preserve"> as described above</w:t>
      </w:r>
      <w:r w:rsidRPr="00080C62">
        <w:rPr>
          <w:rFonts w:ascii="Arial" w:hAnsi="Arial" w:cs="Arial"/>
          <w:szCs w:val="22"/>
        </w:rPr>
        <w:t xml:space="preserve">. The </w:t>
      </w:r>
      <w:r w:rsidR="00B4234D">
        <w:rPr>
          <w:rFonts w:ascii="Arial" w:hAnsi="Arial" w:cs="Arial"/>
          <w:szCs w:val="22"/>
        </w:rPr>
        <w:t>related consolidated</w:t>
      </w:r>
      <w:r w:rsidRPr="00080C62">
        <w:rPr>
          <w:rFonts w:ascii="Arial" w:hAnsi="Arial" w:cs="Arial"/>
          <w:szCs w:val="22"/>
        </w:rPr>
        <w:t xml:space="preserve"> statements of comprehensive income</w:t>
      </w:r>
      <w:r w:rsidR="00B4234D">
        <w:rPr>
          <w:rFonts w:ascii="Arial" w:hAnsi="Arial" w:cs="Arial"/>
          <w:szCs w:val="22"/>
        </w:rPr>
        <w:t xml:space="preserve"> </w:t>
      </w:r>
      <w:r w:rsidR="00B4234D" w:rsidRPr="003F58F4">
        <w:rPr>
          <w:rFonts w:ascii="Arial" w:hAnsi="Arial" w:cs="Arial"/>
          <w:spacing w:val="-4"/>
          <w:szCs w:val="22"/>
        </w:rPr>
        <w:t>for the three-month and six-month periods ended 30 June 2019</w:t>
      </w:r>
      <w:r w:rsidR="009522BE">
        <w:rPr>
          <w:rFonts w:ascii="Arial" w:hAnsi="Arial" w:cs="Arial"/>
          <w:spacing w:val="-4"/>
          <w:szCs w:val="22"/>
        </w:rPr>
        <w:t>,</w:t>
      </w:r>
      <w:r w:rsidR="00B4234D">
        <w:rPr>
          <w:rFonts w:ascii="Arial" w:hAnsi="Arial" w:cs="Arial"/>
          <w:spacing w:val="-4"/>
          <w:szCs w:val="22"/>
        </w:rPr>
        <w:t xml:space="preserve"> and </w:t>
      </w:r>
      <w:r w:rsidR="009522BE">
        <w:rPr>
          <w:rFonts w:ascii="Arial" w:hAnsi="Arial" w:cs="Arial"/>
          <w:spacing w:val="-4"/>
          <w:szCs w:val="22"/>
        </w:rPr>
        <w:t xml:space="preserve">                 </w:t>
      </w:r>
      <w:r w:rsidR="00B4234D">
        <w:rPr>
          <w:rFonts w:ascii="Arial" w:hAnsi="Arial" w:cs="Arial"/>
          <w:spacing w:val="-4"/>
          <w:szCs w:val="22"/>
        </w:rPr>
        <w:t xml:space="preserve">the </w:t>
      </w:r>
      <w:r w:rsidR="00B4234D" w:rsidRPr="00B4234D">
        <w:rPr>
          <w:rFonts w:ascii="Arial" w:hAnsi="Arial" w:cs="Arial"/>
          <w:spacing w:val="-8"/>
          <w:szCs w:val="22"/>
        </w:rPr>
        <w:t>related consolidated statements of</w:t>
      </w:r>
      <w:r w:rsidRPr="00B4234D">
        <w:rPr>
          <w:rFonts w:ascii="Arial" w:hAnsi="Arial" w:cs="Arial"/>
          <w:spacing w:val="-8"/>
          <w:szCs w:val="22"/>
        </w:rPr>
        <w:t xml:space="preserve"> changes in shareholders’ equity and cash flows for the </w:t>
      </w:r>
      <w:r w:rsidR="003F58F4" w:rsidRPr="003F58F4">
        <w:rPr>
          <w:rFonts w:ascii="Arial" w:hAnsi="Arial" w:cs="Arial"/>
          <w:spacing w:val="-4"/>
          <w:szCs w:val="22"/>
        </w:rPr>
        <w:t>six-month</w:t>
      </w:r>
      <w:r w:rsidRPr="003F58F4">
        <w:rPr>
          <w:rFonts w:ascii="Arial" w:hAnsi="Arial" w:cs="Arial"/>
          <w:spacing w:val="-4"/>
          <w:szCs w:val="22"/>
        </w:rPr>
        <w:t xml:space="preserve"> period</w:t>
      </w:r>
      <w:r w:rsidR="00B4234D">
        <w:rPr>
          <w:rFonts w:ascii="Arial" w:hAnsi="Arial" w:cs="Arial"/>
          <w:spacing w:val="-4"/>
          <w:szCs w:val="22"/>
        </w:rPr>
        <w:t xml:space="preserve"> then</w:t>
      </w:r>
      <w:r w:rsidRPr="003F58F4">
        <w:rPr>
          <w:rFonts w:ascii="Arial" w:hAnsi="Arial" w:cs="Arial"/>
          <w:spacing w:val="-4"/>
          <w:szCs w:val="22"/>
        </w:rPr>
        <w:t xml:space="preserve"> ended </w:t>
      </w:r>
      <w:r w:rsidRPr="00080C62">
        <w:rPr>
          <w:rFonts w:ascii="Arial" w:hAnsi="Arial" w:cs="Arial"/>
          <w:szCs w:val="22"/>
        </w:rPr>
        <w:t xml:space="preserve"> of Thai Mui Corporation Public Company Limited </w:t>
      </w:r>
      <w:r w:rsidR="00B4234D">
        <w:rPr>
          <w:rFonts w:ascii="Arial" w:hAnsi="Arial" w:cs="Arial"/>
          <w:szCs w:val="22"/>
        </w:rPr>
        <w:t xml:space="preserve">and its subsidiaries, </w:t>
      </w:r>
      <w:r w:rsidR="009522BE">
        <w:rPr>
          <w:rFonts w:ascii="Arial" w:hAnsi="Arial" w:cs="Arial"/>
          <w:szCs w:val="22"/>
        </w:rPr>
        <w:t xml:space="preserve">             </w:t>
      </w:r>
      <w:r w:rsidR="00B4234D">
        <w:rPr>
          <w:rFonts w:ascii="Arial" w:hAnsi="Arial" w:cs="Arial"/>
          <w:szCs w:val="22"/>
        </w:rPr>
        <w:t>and</w:t>
      </w:r>
      <w:r w:rsidR="009522BE">
        <w:rPr>
          <w:rFonts w:ascii="Arial" w:hAnsi="Arial" w:cs="Arial"/>
          <w:szCs w:val="22"/>
        </w:rPr>
        <w:t xml:space="preserve"> </w:t>
      </w:r>
      <w:r w:rsidR="00B4234D">
        <w:rPr>
          <w:rFonts w:ascii="Arial" w:hAnsi="Arial" w:cs="Arial"/>
          <w:szCs w:val="22"/>
        </w:rPr>
        <w:t xml:space="preserve">the separate </w:t>
      </w:r>
      <w:r w:rsidR="009522BE">
        <w:rPr>
          <w:rFonts w:ascii="Arial" w:hAnsi="Arial" w:cs="Arial"/>
          <w:szCs w:val="22"/>
        </w:rPr>
        <w:t>statement of comprehensive income for three-month and six-month periods then ended, and the separate statement of changes in shareholders’ equity and cash flows for the six-month period then ended</w:t>
      </w:r>
      <w:r w:rsidR="00B4234D">
        <w:rPr>
          <w:rFonts w:ascii="Arial" w:hAnsi="Arial" w:cs="Arial"/>
          <w:szCs w:val="22"/>
        </w:rPr>
        <w:t xml:space="preserve"> of </w:t>
      </w:r>
      <w:r w:rsidR="00B4234D" w:rsidRPr="00080C62">
        <w:rPr>
          <w:rFonts w:ascii="Arial" w:hAnsi="Arial" w:cs="Arial"/>
          <w:szCs w:val="22"/>
        </w:rPr>
        <w:t xml:space="preserve">Thai Mui Corporation Public Company Limited </w:t>
      </w:r>
      <w:r w:rsidRPr="00080C62">
        <w:rPr>
          <w:rFonts w:ascii="Arial" w:hAnsi="Arial" w:cs="Arial"/>
          <w:szCs w:val="22"/>
        </w:rPr>
        <w:t xml:space="preserve">presented </w:t>
      </w:r>
      <w:r w:rsidRPr="009522BE">
        <w:rPr>
          <w:rFonts w:ascii="Arial" w:hAnsi="Arial" w:cs="Arial"/>
          <w:spacing w:val="-6"/>
          <w:szCs w:val="22"/>
        </w:rPr>
        <w:t>herein as comparative information, were also reviewed by the aforementioned auditor who concluded,</w:t>
      </w:r>
      <w:r w:rsidRPr="00080C62">
        <w:rPr>
          <w:rFonts w:ascii="Arial" w:hAnsi="Arial" w:cs="Arial"/>
          <w:szCs w:val="22"/>
        </w:rPr>
        <w:t xml:space="preserve"> under her report dated</w:t>
      </w:r>
      <w:r w:rsidR="003F58F4">
        <w:rPr>
          <w:rFonts w:ascii="Arial" w:hAnsi="Arial" w:cs="Arial"/>
          <w:szCs w:val="22"/>
        </w:rPr>
        <w:t>13 August</w:t>
      </w:r>
      <w:r w:rsidRPr="00080C62">
        <w:rPr>
          <w:rFonts w:ascii="Arial" w:hAnsi="Arial" w:cs="Arial"/>
          <w:szCs w:val="22"/>
        </w:rPr>
        <w:t xml:space="preserve"> 2019, that nothing had come to her attention that caused her </w:t>
      </w:r>
      <w:r w:rsidR="009522BE">
        <w:rPr>
          <w:rFonts w:ascii="Arial" w:hAnsi="Arial" w:cs="Arial"/>
          <w:szCs w:val="22"/>
        </w:rPr>
        <w:t xml:space="preserve">                  </w:t>
      </w:r>
      <w:r w:rsidRPr="00080C62">
        <w:rPr>
          <w:rFonts w:ascii="Arial" w:hAnsi="Arial" w:cs="Arial"/>
          <w:szCs w:val="22"/>
        </w:rPr>
        <w:t xml:space="preserve">to believe that the interim financial information was not prepared, in all material respects, </w:t>
      </w:r>
      <w:r w:rsidR="009522BE">
        <w:rPr>
          <w:rFonts w:ascii="Arial" w:hAnsi="Arial" w:cs="Arial"/>
          <w:szCs w:val="22"/>
        </w:rPr>
        <w:t xml:space="preserve">                    </w:t>
      </w:r>
      <w:r w:rsidRPr="00080C62">
        <w:rPr>
          <w:rFonts w:ascii="Arial" w:hAnsi="Arial" w:cs="Arial"/>
          <w:szCs w:val="22"/>
        </w:rPr>
        <w:t>in accordance with Thai Accounting Standard 34 Interim Financial Reporting.</w:t>
      </w:r>
    </w:p>
    <w:p w14:paraId="4239E60F" w14:textId="4993D87A" w:rsidR="00F96357" w:rsidRDefault="00F96357" w:rsidP="00F80D55">
      <w:pPr>
        <w:pStyle w:val="ps-000-normal"/>
        <w:spacing w:after="240" w:line="380" w:lineRule="exact"/>
        <w:rPr>
          <w:rFonts w:ascii="Arial" w:hAnsi="Arial" w:cs="Arial"/>
          <w:sz w:val="22"/>
          <w:szCs w:val="22"/>
        </w:rPr>
      </w:pPr>
    </w:p>
    <w:p w14:paraId="47E48C4C" w14:textId="77777777" w:rsidR="00565845" w:rsidRDefault="00565845" w:rsidP="00F80D55">
      <w:pPr>
        <w:pStyle w:val="ps-000-normal"/>
        <w:spacing w:after="240" w:line="380" w:lineRule="exact"/>
        <w:rPr>
          <w:rFonts w:ascii="Arial" w:hAnsi="Arial" w:cs="Arial"/>
          <w:sz w:val="22"/>
          <w:szCs w:val="22"/>
        </w:rPr>
      </w:pPr>
    </w:p>
    <w:p w14:paraId="423BB47A" w14:textId="77777777" w:rsidR="00F96357" w:rsidRPr="009315BE" w:rsidRDefault="00F96357" w:rsidP="00F80D55">
      <w:pPr>
        <w:pStyle w:val="ps-000-normal"/>
        <w:spacing w:after="240" w:line="380" w:lineRule="exact"/>
        <w:rPr>
          <w:rFonts w:ascii="Arial" w:hAnsi="Arial" w:cs="Arial"/>
          <w:sz w:val="22"/>
          <w:szCs w:val="22"/>
        </w:rPr>
      </w:pPr>
    </w:p>
    <w:p w14:paraId="07877CCC" w14:textId="77777777" w:rsidR="00BC76F2" w:rsidRPr="00BC76F2" w:rsidRDefault="00BC76F2" w:rsidP="00BD6B79">
      <w:pPr>
        <w:pStyle w:val="ps-000-normal"/>
        <w:spacing w:after="0" w:line="380" w:lineRule="exact"/>
        <w:rPr>
          <w:rFonts w:ascii="Arial" w:hAnsi="Arial" w:cs="Arial"/>
          <w:sz w:val="22"/>
          <w:szCs w:val="22"/>
        </w:rPr>
      </w:pPr>
      <w:r w:rsidRPr="00BC76F2">
        <w:rPr>
          <w:rFonts w:ascii="Arial" w:hAnsi="Arial" w:cs="Arial"/>
          <w:sz w:val="22"/>
          <w:szCs w:val="22"/>
        </w:rPr>
        <w:t>Siriwan Suratepin</w:t>
      </w:r>
    </w:p>
    <w:p w14:paraId="73CB54BB" w14:textId="77777777" w:rsidR="00BC76F2" w:rsidRPr="00BC76F2" w:rsidRDefault="00BC76F2" w:rsidP="00BD6B79">
      <w:pPr>
        <w:tabs>
          <w:tab w:val="left" w:pos="720"/>
          <w:tab w:val="center" w:pos="6300"/>
        </w:tabs>
        <w:spacing w:after="0" w:line="380" w:lineRule="exact"/>
        <w:rPr>
          <w:rFonts w:ascii="Arial" w:hAnsi="Arial" w:cs="Arial"/>
          <w:color w:val="000000"/>
          <w:szCs w:val="22"/>
        </w:rPr>
      </w:pPr>
      <w:r w:rsidRPr="00BC76F2">
        <w:rPr>
          <w:rFonts w:ascii="Arial" w:hAnsi="Arial" w:cs="Arial"/>
          <w:color w:val="000000"/>
          <w:szCs w:val="22"/>
        </w:rPr>
        <w:t>Certified Public Accountant (Thailand) No. 4604</w:t>
      </w:r>
    </w:p>
    <w:p w14:paraId="5A7E73BB" w14:textId="77777777" w:rsidR="00BC76F2" w:rsidRPr="00F80D55" w:rsidRDefault="00BC76F2" w:rsidP="00F80D55">
      <w:pPr>
        <w:spacing w:after="0" w:line="340" w:lineRule="exact"/>
        <w:rPr>
          <w:rFonts w:ascii="Arial" w:hAnsi="Arial" w:cs="Arial"/>
          <w:color w:val="000000"/>
          <w:szCs w:val="22"/>
        </w:rPr>
      </w:pPr>
    </w:p>
    <w:p w14:paraId="402AB90E" w14:textId="77777777" w:rsidR="00BC76F2" w:rsidRPr="00BC76F2" w:rsidRDefault="00BC76F2" w:rsidP="00BD6B79">
      <w:pPr>
        <w:spacing w:after="0" w:line="380" w:lineRule="exact"/>
        <w:rPr>
          <w:rFonts w:ascii="Arial" w:hAnsi="Arial" w:cs="Arial"/>
          <w:color w:val="000000"/>
          <w:szCs w:val="22"/>
        </w:rPr>
      </w:pPr>
      <w:r w:rsidRPr="00BC76F2">
        <w:rPr>
          <w:rFonts w:ascii="Arial" w:hAnsi="Arial" w:cs="Arial"/>
          <w:color w:val="000000"/>
          <w:szCs w:val="22"/>
        </w:rPr>
        <w:t>EY Office Limited</w:t>
      </w:r>
    </w:p>
    <w:p w14:paraId="420A2C0C" w14:textId="0DB36D53" w:rsidR="00EE49AA" w:rsidRDefault="00BC76F2" w:rsidP="00BD6B79">
      <w:pPr>
        <w:pStyle w:val="ps-000-normal"/>
        <w:spacing w:after="0" w:line="380" w:lineRule="exact"/>
        <w:rPr>
          <w:sz w:val="22"/>
          <w:szCs w:val="22"/>
        </w:rPr>
      </w:pPr>
      <w:r w:rsidRPr="00BC76F2">
        <w:rPr>
          <w:rFonts w:ascii="Arial" w:hAnsi="Arial" w:cs="Arial"/>
          <w:sz w:val="22"/>
          <w:szCs w:val="22"/>
        </w:rPr>
        <w:t xml:space="preserve">Bangkok: </w:t>
      </w:r>
      <w:r w:rsidR="00C24D51">
        <w:rPr>
          <w:rFonts w:ascii="Arial" w:hAnsi="Arial" w:cs="Arial"/>
          <w:sz w:val="22"/>
          <w:szCs w:val="22"/>
        </w:rPr>
        <w:t>13 August 2020</w:t>
      </w:r>
    </w:p>
    <w:p w14:paraId="1B7FF91B" w14:textId="77777777" w:rsidR="00EE49AA" w:rsidRPr="00EE49AA" w:rsidRDefault="00EE49AA" w:rsidP="00EE49AA"/>
    <w:p w14:paraId="47971204" w14:textId="77777777" w:rsidR="00EE49AA" w:rsidRPr="00EE49AA" w:rsidRDefault="00EE49AA" w:rsidP="00EE49AA"/>
    <w:p w14:paraId="1B4728A9" w14:textId="77777777" w:rsidR="00EE49AA" w:rsidRPr="00EE49AA" w:rsidRDefault="00EE49AA" w:rsidP="00EE49AA"/>
    <w:p w14:paraId="51A7EA4A" w14:textId="13EF9ADD" w:rsidR="00EE49AA" w:rsidRDefault="00EE49AA" w:rsidP="00EE49AA"/>
    <w:p w14:paraId="6A14BDFD" w14:textId="77777777" w:rsidR="008D5F3C" w:rsidRPr="00EE49AA" w:rsidRDefault="008D5F3C" w:rsidP="00EE49AA">
      <w:pPr>
        <w:jc w:val="center"/>
      </w:pPr>
    </w:p>
    <w:sectPr w:rsidR="008D5F3C" w:rsidRPr="00EE49AA" w:rsidSect="00EE49AA">
      <w:footerReference w:type="first" r:id="rId17"/>
      <w:pgSz w:w="11909" w:h="16834" w:code="9"/>
      <w:pgMar w:top="2160" w:right="1080" w:bottom="1080" w:left="1339" w:header="403" w:footer="720" w:gutter="0"/>
      <w:pgNumType w:start="2"/>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5C8B3A" w14:textId="77777777" w:rsidR="00A46463" w:rsidRDefault="00A46463" w:rsidP="00C36692">
      <w:pPr>
        <w:spacing w:after="0" w:line="240" w:lineRule="auto"/>
      </w:pPr>
      <w:r>
        <w:separator/>
      </w:r>
    </w:p>
  </w:endnote>
  <w:endnote w:type="continuationSeparator" w:id="0">
    <w:p w14:paraId="4890BACB" w14:textId="77777777" w:rsidR="00A46463" w:rsidRDefault="00A46463"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6B023A" w14:textId="77777777" w:rsidR="008E445A" w:rsidRDefault="008E44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15226" w14:textId="77777777" w:rsidR="00A7481C" w:rsidRPr="00A7481C" w:rsidRDefault="00A7481C" w:rsidP="00A7481C">
    <w:pPr>
      <w:pStyle w:val="Footer"/>
      <w:jc w:val="right"/>
      <w:rPr>
        <w:rFonts w:ascii="Angsana New" w:hAnsi="Angsana New"/>
        <w:sz w:val="32"/>
        <w:szCs w:val="3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7C1622" w14:textId="77777777" w:rsidR="008E445A" w:rsidRDefault="008E445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6746076"/>
      <w:docPartObj>
        <w:docPartGallery w:val="Page Numbers (Bottom of Page)"/>
        <w:docPartUnique/>
      </w:docPartObj>
    </w:sdtPr>
    <w:sdtEndPr>
      <w:rPr>
        <w:rFonts w:ascii="Arial" w:hAnsi="Arial" w:cs="Arial"/>
        <w:noProof/>
        <w:sz w:val="22"/>
        <w:szCs w:val="22"/>
      </w:rPr>
    </w:sdtEndPr>
    <w:sdtContent>
      <w:p w14:paraId="7B7D57DC" w14:textId="77777777" w:rsidR="00A7481C" w:rsidRPr="00A7481C" w:rsidRDefault="00A7481C" w:rsidP="00A7481C">
        <w:pPr>
          <w:pStyle w:val="Footer"/>
          <w:jc w:val="right"/>
          <w:rPr>
            <w:rFonts w:ascii="Arial" w:hAnsi="Arial" w:cs="Arial"/>
            <w:sz w:val="22"/>
            <w:szCs w:val="22"/>
          </w:rPr>
        </w:pPr>
        <w:r w:rsidRPr="00A7481C">
          <w:rPr>
            <w:rFonts w:ascii="Arial" w:hAnsi="Arial" w:cs="Arial"/>
            <w:sz w:val="22"/>
            <w:szCs w:val="22"/>
          </w:rPr>
          <w:fldChar w:fldCharType="begin"/>
        </w:r>
        <w:r w:rsidRPr="00A7481C">
          <w:rPr>
            <w:rFonts w:ascii="Arial" w:hAnsi="Arial" w:cs="Arial"/>
            <w:sz w:val="22"/>
            <w:szCs w:val="22"/>
          </w:rPr>
          <w:instrText xml:space="preserve"> PAGE   \* MERGEFORMAT </w:instrText>
        </w:r>
        <w:r w:rsidRPr="00A7481C">
          <w:rPr>
            <w:rFonts w:ascii="Arial" w:hAnsi="Arial" w:cs="Arial"/>
            <w:sz w:val="22"/>
            <w:szCs w:val="22"/>
          </w:rPr>
          <w:fldChar w:fldCharType="separate"/>
        </w:r>
        <w:r w:rsidR="00C3247E">
          <w:rPr>
            <w:rFonts w:ascii="Arial" w:hAnsi="Arial" w:cs="Arial"/>
            <w:noProof/>
            <w:sz w:val="22"/>
            <w:szCs w:val="22"/>
          </w:rPr>
          <w:t>3</w:t>
        </w:r>
        <w:r w:rsidRPr="00A7481C">
          <w:rPr>
            <w:rFonts w:ascii="Arial" w:hAnsi="Arial" w:cs="Arial"/>
            <w:noProof/>
            <w:sz w:val="22"/>
            <w:szCs w:val="22"/>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248E55" w14:textId="77777777" w:rsidR="00A7481C" w:rsidRPr="00A7481C" w:rsidRDefault="00A7481C" w:rsidP="00A7481C">
    <w:pPr>
      <w:pStyle w:val="Footer"/>
      <w:jc w:val="right"/>
      <w:rPr>
        <w:rFonts w:ascii="Arial" w:hAnsi="Arial" w:cs="Arial"/>
        <w:sz w:val="22"/>
        <w:szCs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253345"/>
      <w:docPartObj>
        <w:docPartGallery w:val="Page Numbers (Bottom of Page)"/>
        <w:docPartUnique/>
      </w:docPartObj>
    </w:sdtPr>
    <w:sdtEndPr>
      <w:rPr>
        <w:rFonts w:ascii="Arial" w:hAnsi="Arial" w:cs="Arial"/>
        <w:noProof/>
        <w:sz w:val="22"/>
        <w:szCs w:val="22"/>
      </w:rPr>
    </w:sdtEndPr>
    <w:sdtContent>
      <w:p w14:paraId="7A2781AD" w14:textId="375470EB" w:rsidR="007144B6" w:rsidRPr="00EE49AA" w:rsidRDefault="00EE49AA" w:rsidP="00EE49AA">
        <w:pPr>
          <w:pStyle w:val="Footer"/>
          <w:jc w:val="right"/>
          <w:rPr>
            <w:rFonts w:ascii="Arial" w:hAnsi="Arial" w:cs="Arial"/>
            <w:sz w:val="22"/>
            <w:szCs w:val="22"/>
          </w:rPr>
        </w:pPr>
        <w:r w:rsidRPr="00EE49AA">
          <w:rPr>
            <w:rFonts w:ascii="Arial" w:hAnsi="Arial" w:cs="Arial"/>
            <w:sz w:val="22"/>
            <w:szCs w:val="22"/>
          </w:rPr>
          <w:fldChar w:fldCharType="begin"/>
        </w:r>
        <w:r w:rsidRPr="00EE49AA">
          <w:rPr>
            <w:rFonts w:ascii="Arial" w:hAnsi="Arial" w:cs="Arial"/>
            <w:sz w:val="22"/>
            <w:szCs w:val="22"/>
          </w:rPr>
          <w:instrText xml:space="preserve"> PAGE   \* MERGEFORMAT </w:instrText>
        </w:r>
        <w:r w:rsidRPr="00EE49AA">
          <w:rPr>
            <w:rFonts w:ascii="Arial" w:hAnsi="Arial" w:cs="Arial"/>
            <w:sz w:val="22"/>
            <w:szCs w:val="22"/>
          </w:rPr>
          <w:fldChar w:fldCharType="separate"/>
        </w:r>
        <w:r w:rsidR="00C3247E">
          <w:rPr>
            <w:rFonts w:ascii="Arial" w:hAnsi="Arial" w:cs="Arial"/>
            <w:noProof/>
            <w:sz w:val="22"/>
            <w:szCs w:val="22"/>
          </w:rPr>
          <w:t>2</w:t>
        </w:r>
        <w:r w:rsidRPr="00EE49AA">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6CF72A" w14:textId="77777777" w:rsidR="00A46463" w:rsidRDefault="00A46463" w:rsidP="00C36692">
      <w:pPr>
        <w:spacing w:after="0" w:line="240" w:lineRule="auto"/>
      </w:pPr>
      <w:r>
        <w:separator/>
      </w:r>
    </w:p>
  </w:footnote>
  <w:footnote w:type="continuationSeparator" w:id="0">
    <w:p w14:paraId="733D1945" w14:textId="77777777" w:rsidR="00A46463" w:rsidRDefault="00A46463" w:rsidP="00C366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373859" w14:textId="77777777" w:rsidR="008E445A" w:rsidRDefault="008E44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F3597F" w14:textId="16E58B0B" w:rsidR="00DE700B" w:rsidRDefault="00DE700B" w:rsidP="00917C54">
    <w:pPr>
      <w:pStyle w:val="Header"/>
      <w:tabs>
        <w:tab w:val="clear" w:pos="4680"/>
        <w:tab w:val="clear" w:pos="9360"/>
      </w:tab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3F2C4" w14:textId="57042171" w:rsidR="0067013D" w:rsidRDefault="00A46463">
    <w:pPr>
      <w:pStyle w:val="Header"/>
    </w:pPr>
    <w:r>
      <w:rPr>
        <w:noProof/>
      </w:rPr>
      <w:pict w14:anchorId="195A3433">
        <v:shapetype id="_x0000_t202" coordsize="21600,21600" o:spt="202" path="m,l,21600r21600,l21600,xe">
          <v:stroke joinstyle="miter"/>
          <v:path gradientshapeok="t" o:connecttype="rect"/>
        </v:shapetype>
        <v:shape id="_x0000_s2050" type="#_x0000_t202" style="position:absolute;margin-left:122.05pt;margin-top:25.95pt;width:265.65pt;height:27.1pt;z-index:251659264" filled="f" stroked="f">
          <v:textbox style="mso-next-textbox:#_x0000_s2050">
            <w:txbxContent>
              <w:p w14:paraId="75D3E933" w14:textId="0F974C0D" w:rsidR="0067013D" w:rsidRPr="004F10CC" w:rsidRDefault="0067013D" w:rsidP="0067013D">
                <w:pPr>
                  <w:pStyle w:val="Header"/>
                  <w:jc w:val="center"/>
                  <w:rPr>
                    <w:b/>
                    <w:bCs/>
                  </w:rPr>
                </w:pP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nsid w:val="0F555E5B"/>
    <w:multiLevelType w:val="hybridMultilevel"/>
    <w:tmpl w:val="0A6660D8"/>
    <w:lvl w:ilvl="0" w:tplc="B694EBE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5">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6"/>
  </w:num>
  <w:num w:numId="4">
    <w:abstractNumId w:val="5"/>
  </w:num>
  <w:num w:numId="5">
    <w:abstractNumId w:val="8"/>
  </w:num>
  <w:num w:numId="6">
    <w:abstractNumId w:val="4"/>
  </w:num>
  <w:num w:numId="7">
    <w:abstractNumId w:val="1"/>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2"/>
  </w:compat>
  <w:rsids>
    <w:rsidRoot w:val="008D5F3C"/>
    <w:rsid w:val="0000710F"/>
    <w:rsid w:val="00014E49"/>
    <w:rsid w:val="00021C1F"/>
    <w:rsid w:val="000377A0"/>
    <w:rsid w:val="00047681"/>
    <w:rsid w:val="000500B9"/>
    <w:rsid w:val="00050884"/>
    <w:rsid w:val="000521A9"/>
    <w:rsid w:val="00063A49"/>
    <w:rsid w:val="00070471"/>
    <w:rsid w:val="000743F4"/>
    <w:rsid w:val="000A1887"/>
    <w:rsid w:val="000B108F"/>
    <w:rsid w:val="000B3181"/>
    <w:rsid w:val="000B7198"/>
    <w:rsid w:val="000F297B"/>
    <w:rsid w:val="000F30C3"/>
    <w:rsid w:val="000F327D"/>
    <w:rsid w:val="00113EBF"/>
    <w:rsid w:val="00120EE3"/>
    <w:rsid w:val="00122A15"/>
    <w:rsid w:val="001304A9"/>
    <w:rsid w:val="00137EBB"/>
    <w:rsid w:val="001402E6"/>
    <w:rsid w:val="001426AD"/>
    <w:rsid w:val="00147B51"/>
    <w:rsid w:val="00156A81"/>
    <w:rsid w:val="0016090F"/>
    <w:rsid w:val="00162AC5"/>
    <w:rsid w:val="001671A0"/>
    <w:rsid w:val="0017383B"/>
    <w:rsid w:val="0019160B"/>
    <w:rsid w:val="001A0721"/>
    <w:rsid w:val="001C4F62"/>
    <w:rsid w:val="001D7AA0"/>
    <w:rsid w:val="001E648D"/>
    <w:rsid w:val="001F6E58"/>
    <w:rsid w:val="001F77A8"/>
    <w:rsid w:val="002446A1"/>
    <w:rsid w:val="0025248D"/>
    <w:rsid w:val="00266488"/>
    <w:rsid w:val="00266A17"/>
    <w:rsid w:val="00266BFA"/>
    <w:rsid w:val="00267C56"/>
    <w:rsid w:val="00271FDB"/>
    <w:rsid w:val="002A111E"/>
    <w:rsid w:val="002B0DCF"/>
    <w:rsid w:val="002C7A7C"/>
    <w:rsid w:val="002E51E4"/>
    <w:rsid w:val="003001C5"/>
    <w:rsid w:val="00304AC4"/>
    <w:rsid w:val="0031035B"/>
    <w:rsid w:val="003134B3"/>
    <w:rsid w:val="003171BE"/>
    <w:rsid w:val="003179AE"/>
    <w:rsid w:val="00323F07"/>
    <w:rsid w:val="00326313"/>
    <w:rsid w:val="00333D76"/>
    <w:rsid w:val="00334537"/>
    <w:rsid w:val="00343974"/>
    <w:rsid w:val="00350241"/>
    <w:rsid w:val="00364A26"/>
    <w:rsid w:val="00376DFC"/>
    <w:rsid w:val="00390865"/>
    <w:rsid w:val="00391297"/>
    <w:rsid w:val="003A08C3"/>
    <w:rsid w:val="003A1912"/>
    <w:rsid w:val="003B305E"/>
    <w:rsid w:val="003C3573"/>
    <w:rsid w:val="003C504F"/>
    <w:rsid w:val="003D1763"/>
    <w:rsid w:val="003D2B3D"/>
    <w:rsid w:val="003E363F"/>
    <w:rsid w:val="003F58F4"/>
    <w:rsid w:val="004009B9"/>
    <w:rsid w:val="004054CD"/>
    <w:rsid w:val="00413407"/>
    <w:rsid w:val="0041700D"/>
    <w:rsid w:val="0041725D"/>
    <w:rsid w:val="0042023A"/>
    <w:rsid w:val="004228B3"/>
    <w:rsid w:val="004246E9"/>
    <w:rsid w:val="00431050"/>
    <w:rsid w:val="00433AF7"/>
    <w:rsid w:val="00454BED"/>
    <w:rsid w:val="00461DC4"/>
    <w:rsid w:val="00467115"/>
    <w:rsid w:val="004671E8"/>
    <w:rsid w:val="00476272"/>
    <w:rsid w:val="00481129"/>
    <w:rsid w:val="004825C1"/>
    <w:rsid w:val="00484A44"/>
    <w:rsid w:val="00486943"/>
    <w:rsid w:val="004C11D3"/>
    <w:rsid w:val="004D2657"/>
    <w:rsid w:val="004D2897"/>
    <w:rsid w:val="004F31D8"/>
    <w:rsid w:val="005151B5"/>
    <w:rsid w:val="0053195E"/>
    <w:rsid w:val="005409CE"/>
    <w:rsid w:val="005552DC"/>
    <w:rsid w:val="00556FB6"/>
    <w:rsid w:val="005608AE"/>
    <w:rsid w:val="00565845"/>
    <w:rsid w:val="00577EE8"/>
    <w:rsid w:val="005966C1"/>
    <w:rsid w:val="005C056A"/>
    <w:rsid w:val="005D4811"/>
    <w:rsid w:val="005E6106"/>
    <w:rsid w:val="00610FE4"/>
    <w:rsid w:val="00611A72"/>
    <w:rsid w:val="00613074"/>
    <w:rsid w:val="00615A6A"/>
    <w:rsid w:val="00616B3D"/>
    <w:rsid w:val="006355E3"/>
    <w:rsid w:val="00643E36"/>
    <w:rsid w:val="006464C3"/>
    <w:rsid w:val="0065312F"/>
    <w:rsid w:val="00660786"/>
    <w:rsid w:val="00662256"/>
    <w:rsid w:val="006650AB"/>
    <w:rsid w:val="00665967"/>
    <w:rsid w:val="0067013D"/>
    <w:rsid w:val="0068429F"/>
    <w:rsid w:val="00691430"/>
    <w:rsid w:val="006914C8"/>
    <w:rsid w:val="006A1297"/>
    <w:rsid w:val="006A2434"/>
    <w:rsid w:val="006B5975"/>
    <w:rsid w:val="006C179C"/>
    <w:rsid w:val="006D0011"/>
    <w:rsid w:val="006D0D7E"/>
    <w:rsid w:val="006D1878"/>
    <w:rsid w:val="006E4AAD"/>
    <w:rsid w:val="006E72F9"/>
    <w:rsid w:val="00701604"/>
    <w:rsid w:val="0071229E"/>
    <w:rsid w:val="007144B6"/>
    <w:rsid w:val="0071707D"/>
    <w:rsid w:val="0072205D"/>
    <w:rsid w:val="00723135"/>
    <w:rsid w:val="007235FD"/>
    <w:rsid w:val="0072642E"/>
    <w:rsid w:val="0073121F"/>
    <w:rsid w:val="00751750"/>
    <w:rsid w:val="007628F5"/>
    <w:rsid w:val="0077230F"/>
    <w:rsid w:val="00773B6D"/>
    <w:rsid w:val="007A0968"/>
    <w:rsid w:val="007A5FA2"/>
    <w:rsid w:val="007B2244"/>
    <w:rsid w:val="007C0EB9"/>
    <w:rsid w:val="007C48F8"/>
    <w:rsid w:val="007C4C72"/>
    <w:rsid w:val="007E0014"/>
    <w:rsid w:val="007E5268"/>
    <w:rsid w:val="007F0A90"/>
    <w:rsid w:val="0080639D"/>
    <w:rsid w:val="008071D9"/>
    <w:rsid w:val="00813D5D"/>
    <w:rsid w:val="008159C4"/>
    <w:rsid w:val="00827B97"/>
    <w:rsid w:val="00846BE4"/>
    <w:rsid w:val="00846D4B"/>
    <w:rsid w:val="00850B1C"/>
    <w:rsid w:val="00855540"/>
    <w:rsid w:val="00862C6B"/>
    <w:rsid w:val="00862ED9"/>
    <w:rsid w:val="00864579"/>
    <w:rsid w:val="00873460"/>
    <w:rsid w:val="00873BF1"/>
    <w:rsid w:val="00885CA8"/>
    <w:rsid w:val="00886618"/>
    <w:rsid w:val="00887E7C"/>
    <w:rsid w:val="008905CA"/>
    <w:rsid w:val="008937B7"/>
    <w:rsid w:val="008A00FA"/>
    <w:rsid w:val="008A716D"/>
    <w:rsid w:val="008B5FC9"/>
    <w:rsid w:val="008C4C01"/>
    <w:rsid w:val="008C5D05"/>
    <w:rsid w:val="008D4F78"/>
    <w:rsid w:val="008D4FB8"/>
    <w:rsid w:val="008D5F3C"/>
    <w:rsid w:val="008E445A"/>
    <w:rsid w:val="00903B2D"/>
    <w:rsid w:val="0091131A"/>
    <w:rsid w:val="00911331"/>
    <w:rsid w:val="00911AA8"/>
    <w:rsid w:val="00917C54"/>
    <w:rsid w:val="009315BE"/>
    <w:rsid w:val="00934D24"/>
    <w:rsid w:val="0093604A"/>
    <w:rsid w:val="00937370"/>
    <w:rsid w:val="00942F8C"/>
    <w:rsid w:val="009507F2"/>
    <w:rsid w:val="009522BE"/>
    <w:rsid w:val="00954FBD"/>
    <w:rsid w:val="00972538"/>
    <w:rsid w:val="00980DFF"/>
    <w:rsid w:val="00982222"/>
    <w:rsid w:val="00983306"/>
    <w:rsid w:val="009A1CF2"/>
    <w:rsid w:val="009A2B6A"/>
    <w:rsid w:val="009B2459"/>
    <w:rsid w:val="009C5065"/>
    <w:rsid w:val="009C5621"/>
    <w:rsid w:val="009C7635"/>
    <w:rsid w:val="009D0172"/>
    <w:rsid w:val="009D4910"/>
    <w:rsid w:val="009D69D4"/>
    <w:rsid w:val="009E03B5"/>
    <w:rsid w:val="009E61CE"/>
    <w:rsid w:val="00A10034"/>
    <w:rsid w:val="00A104D0"/>
    <w:rsid w:val="00A12BFD"/>
    <w:rsid w:val="00A46463"/>
    <w:rsid w:val="00A51A18"/>
    <w:rsid w:val="00A52DD4"/>
    <w:rsid w:val="00A60048"/>
    <w:rsid w:val="00A61BD4"/>
    <w:rsid w:val="00A647F6"/>
    <w:rsid w:val="00A6688F"/>
    <w:rsid w:val="00A710EA"/>
    <w:rsid w:val="00A73556"/>
    <w:rsid w:val="00A7481C"/>
    <w:rsid w:val="00AA4FA0"/>
    <w:rsid w:val="00AA5500"/>
    <w:rsid w:val="00AB0E77"/>
    <w:rsid w:val="00AB25E4"/>
    <w:rsid w:val="00AC2517"/>
    <w:rsid w:val="00AC37BE"/>
    <w:rsid w:val="00AC618C"/>
    <w:rsid w:val="00AE341C"/>
    <w:rsid w:val="00AE5CC2"/>
    <w:rsid w:val="00AF27AA"/>
    <w:rsid w:val="00AF3999"/>
    <w:rsid w:val="00B11C60"/>
    <w:rsid w:val="00B13C5B"/>
    <w:rsid w:val="00B15B9F"/>
    <w:rsid w:val="00B16953"/>
    <w:rsid w:val="00B36E44"/>
    <w:rsid w:val="00B4234D"/>
    <w:rsid w:val="00B45F94"/>
    <w:rsid w:val="00B47FDA"/>
    <w:rsid w:val="00B56D83"/>
    <w:rsid w:val="00B61DE2"/>
    <w:rsid w:val="00B661EA"/>
    <w:rsid w:val="00B669C1"/>
    <w:rsid w:val="00B77657"/>
    <w:rsid w:val="00B8030F"/>
    <w:rsid w:val="00B80DD0"/>
    <w:rsid w:val="00B837B9"/>
    <w:rsid w:val="00B83FA1"/>
    <w:rsid w:val="00B878F8"/>
    <w:rsid w:val="00B958FE"/>
    <w:rsid w:val="00B96C11"/>
    <w:rsid w:val="00B97F61"/>
    <w:rsid w:val="00BB4C09"/>
    <w:rsid w:val="00BB678A"/>
    <w:rsid w:val="00BC0E21"/>
    <w:rsid w:val="00BC76F2"/>
    <w:rsid w:val="00BD6B79"/>
    <w:rsid w:val="00BD7D18"/>
    <w:rsid w:val="00BE0608"/>
    <w:rsid w:val="00C04E93"/>
    <w:rsid w:val="00C10B97"/>
    <w:rsid w:val="00C13581"/>
    <w:rsid w:val="00C13CFB"/>
    <w:rsid w:val="00C24D51"/>
    <w:rsid w:val="00C25551"/>
    <w:rsid w:val="00C2606E"/>
    <w:rsid w:val="00C3247E"/>
    <w:rsid w:val="00C35749"/>
    <w:rsid w:val="00C36692"/>
    <w:rsid w:val="00C40043"/>
    <w:rsid w:val="00C43241"/>
    <w:rsid w:val="00C44145"/>
    <w:rsid w:val="00C8568B"/>
    <w:rsid w:val="00C932A9"/>
    <w:rsid w:val="00CA27EE"/>
    <w:rsid w:val="00CA729E"/>
    <w:rsid w:val="00CB1985"/>
    <w:rsid w:val="00CB7154"/>
    <w:rsid w:val="00CC44BC"/>
    <w:rsid w:val="00CD1278"/>
    <w:rsid w:val="00CD227E"/>
    <w:rsid w:val="00CD5A79"/>
    <w:rsid w:val="00CE3014"/>
    <w:rsid w:val="00CE6D47"/>
    <w:rsid w:val="00CF48E4"/>
    <w:rsid w:val="00D044E6"/>
    <w:rsid w:val="00D06029"/>
    <w:rsid w:val="00D11368"/>
    <w:rsid w:val="00D16D44"/>
    <w:rsid w:val="00D371C0"/>
    <w:rsid w:val="00D42308"/>
    <w:rsid w:val="00D44EFA"/>
    <w:rsid w:val="00D5434D"/>
    <w:rsid w:val="00D57FB3"/>
    <w:rsid w:val="00D64265"/>
    <w:rsid w:val="00D658EC"/>
    <w:rsid w:val="00D70EF9"/>
    <w:rsid w:val="00D8166E"/>
    <w:rsid w:val="00DA44A9"/>
    <w:rsid w:val="00DA4CEC"/>
    <w:rsid w:val="00DB48C7"/>
    <w:rsid w:val="00DB5C14"/>
    <w:rsid w:val="00DD0323"/>
    <w:rsid w:val="00DD5605"/>
    <w:rsid w:val="00DE0830"/>
    <w:rsid w:val="00DE3986"/>
    <w:rsid w:val="00DE700B"/>
    <w:rsid w:val="00E04DCC"/>
    <w:rsid w:val="00E239BE"/>
    <w:rsid w:val="00E27259"/>
    <w:rsid w:val="00E3036F"/>
    <w:rsid w:val="00E31D98"/>
    <w:rsid w:val="00E37677"/>
    <w:rsid w:val="00E37B6A"/>
    <w:rsid w:val="00E52A46"/>
    <w:rsid w:val="00E566DD"/>
    <w:rsid w:val="00E733F5"/>
    <w:rsid w:val="00E7514F"/>
    <w:rsid w:val="00E946CF"/>
    <w:rsid w:val="00EA7F0E"/>
    <w:rsid w:val="00EB3A0B"/>
    <w:rsid w:val="00EB6FE0"/>
    <w:rsid w:val="00EB737B"/>
    <w:rsid w:val="00EB79A1"/>
    <w:rsid w:val="00ED2119"/>
    <w:rsid w:val="00ED3F92"/>
    <w:rsid w:val="00ED4E7B"/>
    <w:rsid w:val="00ED5F21"/>
    <w:rsid w:val="00ED7773"/>
    <w:rsid w:val="00EE0875"/>
    <w:rsid w:val="00EE08DB"/>
    <w:rsid w:val="00EE1ACE"/>
    <w:rsid w:val="00EE22DC"/>
    <w:rsid w:val="00EE28B7"/>
    <w:rsid w:val="00EE49AA"/>
    <w:rsid w:val="00EF17B8"/>
    <w:rsid w:val="00EF483F"/>
    <w:rsid w:val="00EF7A26"/>
    <w:rsid w:val="00F22B34"/>
    <w:rsid w:val="00F23441"/>
    <w:rsid w:val="00F25079"/>
    <w:rsid w:val="00F26B48"/>
    <w:rsid w:val="00F33926"/>
    <w:rsid w:val="00F33D0B"/>
    <w:rsid w:val="00F36C06"/>
    <w:rsid w:val="00F370D8"/>
    <w:rsid w:val="00F37DD8"/>
    <w:rsid w:val="00F40B99"/>
    <w:rsid w:val="00F41234"/>
    <w:rsid w:val="00F45CEA"/>
    <w:rsid w:val="00F47D37"/>
    <w:rsid w:val="00F56D7B"/>
    <w:rsid w:val="00F605F8"/>
    <w:rsid w:val="00F62D6A"/>
    <w:rsid w:val="00F70F1C"/>
    <w:rsid w:val="00F80CC2"/>
    <w:rsid w:val="00F80D55"/>
    <w:rsid w:val="00F81EB5"/>
    <w:rsid w:val="00F90B9D"/>
    <w:rsid w:val="00F96357"/>
    <w:rsid w:val="00F97D63"/>
    <w:rsid w:val="00FA04DC"/>
    <w:rsid w:val="00FA311F"/>
    <w:rsid w:val="00FC62D1"/>
    <w:rsid w:val="00FC6DD5"/>
    <w:rsid w:val="00FD0802"/>
    <w:rsid w:val="00FD631C"/>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8252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tabs>
        <w:tab w:val="clear" w:pos="1492"/>
      </w:tabs>
      <w:overflowPunct w:val="0"/>
      <w:autoSpaceDE w:val="0"/>
      <w:autoSpaceDN w:val="0"/>
      <w:adjustRightInd w:val="0"/>
      <w:spacing w:after="120" w:line="240" w:lineRule="auto"/>
      <w:ind w:left="0" w:firstLine="0"/>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rsid w:val="00A7481C"/>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FooterChar">
    <w:name w:val="Footer Char"/>
    <w:basedOn w:val="DefaultParagraphFont"/>
    <w:link w:val="Footer"/>
    <w:uiPriority w:val="99"/>
    <w:rsid w:val="00A7481C"/>
    <w:rPr>
      <w:rFonts w:ascii="Times New Roman" w:eastAsia="Times New Roman" w:hAnsi="Tms Rmn" w:cs="Angsana New"/>
      <w:sz w:val="24"/>
      <w:szCs w:val="24"/>
    </w:rPr>
  </w:style>
  <w:style w:type="paragraph" w:customStyle="1" w:styleId="EYBusinessaddress">
    <w:name w:val="EY Business address"/>
    <w:basedOn w:val="Normal"/>
    <w:rsid w:val="00A7481C"/>
    <w:pPr>
      <w:suppressAutoHyphens/>
      <w:spacing w:after="0" w:line="170" w:lineRule="atLeast"/>
    </w:pPr>
    <w:rPr>
      <w:rFonts w:ascii="Arial" w:eastAsia="Times New Roman" w:hAnsi="Arial" w:cs="Angsana New"/>
      <w:color w:val="666666"/>
      <w:kern w:val="12"/>
      <w:sz w:val="15"/>
      <w:szCs w:val="24"/>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324743912">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597057949">
      <w:bodyDiv w:val="1"/>
      <w:marLeft w:val="0"/>
      <w:marRight w:val="0"/>
      <w:marTop w:val="0"/>
      <w:marBottom w:val="0"/>
      <w:divBdr>
        <w:top w:val="none" w:sz="0" w:space="0" w:color="auto"/>
        <w:left w:val="none" w:sz="0" w:space="0" w:color="auto"/>
        <w:bottom w:val="none" w:sz="0" w:space="0" w:color="auto"/>
        <w:right w:val="none" w:sz="0" w:space="0" w:color="auto"/>
      </w:divBdr>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517034354">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0E66E-FA21-43A1-BC86-2F26AA994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4</Pages>
  <Words>1059</Words>
  <Characters>6042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user1</cp:lastModifiedBy>
  <cp:revision>243</cp:revision>
  <cp:lastPrinted>2020-05-12T13:38:00Z</cp:lastPrinted>
  <dcterms:created xsi:type="dcterms:W3CDTF">2012-12-12T06:30:00Z</dcterms:created>
  <dcterms:modified xsi:type="dcterms:W3CDTF">2020-08-13T07:01:00Z</dcterms:modified>
</cp:coreProperties>
</file>