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tblLook w:val="01E0" w:firstRow="1" w:lastRow="1" w:firstColumn="1" w:lastColumn="1" w:noHBand="0" w:noVBand="0"/>
      </w:tblPr>
      <w:tblGrid>
        <w:gridCol w:w="2268"/>
        <w:gridCol w:w="7200"/>
      </w:tblGrid>
      <w:tr w:rsidR="003D3421" w:rsidTr="009A1FA8">
        <w:trPr>
          <w:trHeight w:val="2865"/>
        </w:trPr>
        <w:tc>
          <w:tcPr>
            <w:tcW w:w="2268" w:type="dxa"/>
          </w:tcPr>
          <w:p w:rsidR="003D3421" w:rsidRPr="00952A8F" w:rsidRDefault="003D3421" w:rsidP="000B55D4">
            <w:pPr>
              <w:rPr>
                <w:rFonts w:ascii="Angsana New" w:hAnsi="Angsana New"/>
                <w:sz w:val="36"/>
                <w:szCs w:val="36"/>
                <w:cs/>
              </w:rPr>
            </w:pPr>
            <w:bookmarkStart w:id="0" w:name="_GoBack"/>
            <w:bookmarkEnd w:id="0"/>
          </w:p>
        </w:tc>
        <w:tc>
          <w:tcPr>
            <w:tcW w:w="7200" w:type="dxa"/>
            <w:vAlign w:val="center"/>
          </w:tcPr>
          <w:p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00D40D87">
              <w:rPr>
                <w:color w:val="7E7F82"/>
                <w:sz w:val="28"/>
              </w:rPr>
              <w:t xml:space="preserve">consolidated </w:t>
            </w:r>
            <w:r w:rsidRPr="00952A8F">
              <w:rPr>
                <w:color w:val="7E7F82"/>
                <w:sz w:val="28"/>
              </w:rPr>
              <w:t xml:space="preserve">financial </w:t>
            </w:r>
            <w:r w:rsidR="00CA34D4">
              <w:rPr>
                <w:color w:val="7E7F82"/>
                <w:sz w:val="28"/>
              </w:rPr>
              <w:t>information</w:t>
            </w:r>
          </w:p>
          <w:p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 xml:space="preserve">three-month </w:t>
            </w:r>
            <w:r w:rsidR="001E4776">
              <w:rPr>
                <w:color w:val="7E7F82"/>
                <w:sz w:val="28"/>
              </w:rPr>
              <w:t xml:space="preserve">and </w:t>
            </w:r>
            <w:r w:rsidR="00AF6C9D">
              <w:rPr>
                <w:color w:val="7E7F82"/>
                <w:sz w:val="28"/>
              </w:rPr>
              <w:t>nine</w:t>
            </w:r>
            <w:r w:rsidR="001E4776">
              <w:rPr>
                <w:color w:val="7E7F82"/>
                <w:sz w:val="28"/>
              </w:rPr>
              <w:t xml:space="preserve">-month </w:t>
            </w:r>
            <w:r>
              <w:rPr>
                <w:color w:val="7E7F82"/>
                <w:sz w:val="28"/>
              </w:rPr>
              <w:t>period</w:t>
            </w:r>
            <w:r w:rsidRPr="00952A8F">
              <w:rPr>
                <w:color w:val="7E7F82"/>
                <w:sz w:val="28"/>
                <w:cs/>
              </w:rPr>
              <w:t xml:space="preserve"> </w:t>
            </w:r>
            <w:r w:rsidRPr="00952A8F">
              <w:rPr>
                <w:color w:val="7E7F82"/>
                <w:sz w:val="28"/>
              </w:rPr>
              <w:t>ended</w:t>
            </w:r>
            <w:r w:rsidR="00A74473">
              <w:rPr>
                <w:color w:val="7E7F82"/>
                <w:sz w:val="28"/>
              </w:rPr>
              <w:t xml:space="preserve"> </w:t>
            </w:r>
            <w:r w:rsidR="001E4776">
              <w:rPr>
                <w:color w:val="7E7F82"/>
                <w:sz w:val="28"/>
              </w:rPr>
              <w:t xml:space="preserve">                            30 </w:t>
            </w:r>
            <w:r w:rsidR="00AF6C9D">
              <w:rPr>
                <w:color w:val="7E7F82"/>
                <w:sz w:val="28"/>
              </w:rPr>
              <w:t>September</w:t>
            </w:r>
            <w:r w:rsidR="00A74473">
              <w:rPr>
                <w:color w:val="7E7F82"/>
                <w:sz w:val="28"/>
              </w:rPr>
              <w:t xml:space="preserve"> 2020</w:t>
            </w:r>
          </w:p>
        </w:tc>
      </w:tr>
    </w:tbl>
    <w:p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rsidR="003F5F24" w:rsidRDefault="003F5F24" w:rsidP="00A05A90">
      <w:pPr>
        <w:spacing w:before="120"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r w:rsidRPr="009D4336">
        <w:rPr>
          <w:rFonts w:ascii="Arial" w:hAnsi="Arial"/>
          <w:sz w:val="22"/>
          <w:szCs w:val="22"/>
          <w:lang w:val="en-GB"/>
        </w:rPr>
        <w:t>Chumporn Palm Oil Industry Public Company Limited</w:t>
      </w:r>
    </w:p>
    <w:p w:rsidR="003F5F24" w:rsidRPr="003F5F24" w:rsidRDefault="00DF079B" w:rsidP="00ED774B">
      <w:pPr>
        <w:spacing w:before="240" w:after="6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and its subsidiaries as at </w:t>
      </w:r>
      <w:r w:rsidR="001E4776">
        <w:rPr>
          <w:rFonts w:ascii="Arial" w:hAnsi="Arial" w:cs="Arial"/>
          <w:sz w:val="22"/>
          <w:szCs w:val="22"/>
        </w:rPr>
        <w:t xml:space="preserve">30 </w:t>
      </w:r>
      <w:r w:rsidR="00AF6C9D">
        <w:rPr>
          <w:rFonts w:ascii="Arial" w:hAnsi="Arial" w:cs="Arial"/>
          <w:sz w:val="22"/>
          <w:szCs w:val="22"/>
        </w:rPr>
        <w:t>September</w:t>
      </w:r>
      <w:r w:rsidR="00A74473">
        <w:rPr>
          <w:rFonts w:ascii="Arial" w:hAnsi="Arial" w:cs="Arial"/>
          <w:sz w:val="22"/>
          <w:szCs w:val="22"/>
        </w:rPr>
        <w:t xml:space="preserve"> 2020</w:t>
      </w:r>
      <w:r w:rsidRPr="003F5F24">
        <w:rPr>
          <w:rFonts w:ascii="Arial" w:hAnsi="Arial" w:cs="Arial"/>
          <w:sz w:val="22"/>
          <w:szCs w:val="22"/>
        </w:rPr>
        <w:t>, the related consolidated statements of comprehensive income</w:t>
      </w:r>
      <w:r w:rsidR="001E4776" w:rsidRPr="001E4776">
        <w:rPr>
          <w:rFonts w:ascii="Arial" w:hAnsi="Arial" w:cs="Arial"/>
          <w:sz w:val="22"/>
          <w:szCs w:val="22"/>
        </w:rPr>
        <w:t xml:space="preserve"> </w:t>
      </w:r>
      <w:r w:rsidR="001E4776" w:rsidRPr="003F5F24">
        <w:rPr>
          <w:rFonts w:ascii="Arial" w:hAnsi="Arial" w:cs="Arial"/>
          <w:sz w:val="22"/>
          <w:szCs w:val="22"/>
        </w:rPr>
        <w:t>for the</w:t>
      </w:r>
      <w:r w:rsidR="001E4776">
        <w:rPr>
          <w:rFonts w:ascii="Arial" w:hAnsi="Arial" w:cs="Arial"/>
          <w:sz w:val="22"/>
          <w:szCs w:val="22"/>
        </w:rPr>
        <w:t xml:space="preserve"> three</w:t>
      </w:r>
      <w:r w:rsidR="001E4776" w:rsidRPr="003F5F24">
        <w:rPr>
          <w:rFonts w:ascii="Arial" w:hAnsi="Arial" w:cs="Arial"/>
          <w:sz w:val="22"/>
          <w:szCs w:val="22"/>
        </w:rPr>
        <w:t xml:space="preserve">-month </w:t>
      </w:r>
      <w:r w:rsidR="001E4776">
        <w:rPr>
          <w:rFonts w:ascii="Arial" w:hAnsi="Arial" w:cs="Arial"/>
          <w:sz w:val="22"/>
          <w:szCs w:val="22"/>
        </w:rPr>
        <w:t xml:space="preserve">and </w:t>
      </w:r>
      <w:r w:rsidR="00AF6C9D">
        <w:rPr>
          <w:rFonts w:ascii="Arial" w:hAnsi="Arial" w:cs="Arial"/>
          <w:sz w:val="22"/>
          <w:szCs w:val="22"/>
        </w:rPr>
        <w:t>nine</w:t>
      </w:r>
      <w:r w:rsidR="001E4776">
        <w:rPr>
          <w:rFonts w:ascii="Arial" w:hAnsi="Arial" w:cs="Arial"/>
          <w:sz w:val="22"/>
          <w:szCs w:val="22"/>
        </w:rPr>
        <w:t xml:space="preserve">-month </w:t>
      </w:r>
      <w:r w:rsidR="001E4776" w:rsidRPr="003F5F24">
        <w:rPr>
          <w:rFonts w:ascii="Arial" w:hAnsi="Arial" w:cs="Arial"/>
          <w:sz w:val="22"/>
          <w:szCs w:val="22"/>
        </w:rPr>
        <w:t>period then ended</w:t>
      </w:r>
      <w:r w:rsidR="000800CA">
        <w:rPr>
          <w:rFonts w:ascii="Arial" w:hAnsi="Arial" w:cs="Arial"/>
          <w:sz w:val="22"/>
          <w:szCs w:val="22"/>
        </w:rPr>
        <w:t xml:space="preserve">, </w:t>
      </w:r>
      <w:r w:rsidRPr="003F5F24">
        <w:rPr>
          <w:rFonts w:ascii="Arial" w:hAnsi="Arial" w:cs="Arial"/>
          <w:sz w:val="22"/>
          <w:szCs w:val="22"/>
        </w:rPr>
        <w:t>changes in shareholders’ equity, and</w:t>
      </w:r>
      <w:r>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w:t>
      </w:r>
      <w:r w:rsidR="00AF6C9D">
        <w:rPr>
          <w:rFonts w:ascii="Arial" w:hAnsi="Arial" w:cs="Arial"/>
          <w:sz w:val="22"/>
          <w:szCs w:val="22"/>
        </w:rPr>
        <w:t>nine</w:t>
      </w:r>
      <w:r w:rsidRPr="003F5F24">
        <w:rPr>
          <w:rFonts w:ascii="Arial" w:hAnsi="Arial" w:cs="Arial"/>
          <w:sz w:val="22"/>
          <w:szCs w:val="22"/>
        </w:rPr>
        <w:t xml:space="preserve">-month 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w:t>
      </w:r>
      <w:r w:rsidR="00CA34D4">
        <w:rPr>
          <w:rFonts w:ascii="Arial" w:hAnsi="Arial" w:cs="Arial"/>
          <w:sz w:val="22"/>
          <w:szCs w:val="22"/>
        </w:rPr>
        <w:t xml:space="preserve">interim </w:t>
      </w:r>
      <w:r w:rsidRPr="003F5F24">
        <w:rPr>
          <w:rFonts w:ascii="Arial" w:hAnsi="Arial" w:cs="Arial"/>
          <w:sz w:val="22"/>
          <w:szCs w:val="22"/>
        </w:rPr>
        <w:t xml:space="preserve">consolidated financial </w:t>
      </w:r>
      <w:r w:rsidR="006C1246">
        <w:rPr>
          <w:rFonts w:ascii="Arial" w:hAnsi="Arial" w:cs="Arial"/>
          <w:sz w:val="22"/>
          <w:szCs w:val="22"/>
        </w:rPr>
        <w:t>information</w:t>
      </w:r>
      <w:r w:rsidRPr="003F5F24">
        <w:rPr>
          <w:rFonts w:ascii="Arial" w:hAnsi="Arial" w:cs="Arial"/>
          <w:sz w:val="22"/>
          <w:szCs w:val="22"/>
        </w:rPr>
        <w:t xml:space="preserve">. I have also reviewed the separate </w:t>
      </w:r>
      <w:r w:rsidR="00D66043">
        <w:rPr>
          <w:rFonts w:ascii="Arial" w:hAnsi="Arial" w:cs="Arial"/>
          <w:sz w:val="22"/>
          <w:szCs w:val="22"/>
        </w:rPr>
        <w:t xml:space="preserve">interim </w:t>
      </w:r>
      <w:r w:rsidRPr="003F5F24">
        <w:rPr>
          <w:rFonts w:ascii="Arial" w:hAnsi="Arial" w:cs="Arial"/>
          <w:sz w:val="22"/>
          <w:szCs w:val="22"/>
        </w:rPr>
        <w:t xml:space="preserve">financial information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for the same period</w:t>
      </w:r>
      <w:r w:rsidR="00CA34D4">
        <w:rPr>
          <w:rFonts w:ascii="Arial" w:hAnsi="Arial" w:cs="Arial"/>
          <w:sz w:val="22"/>
          <w:szCs w:val="22"/>
        </w:rPr>
        <w:t xml:space="preserve"> (collectively “interim financial information”)</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rsidR="003F5F24" w:rsidRPr="003F5F24" w:rsidRDefault="003F5F24" w:rsidP="003F5F24">
      <w:pPr>
        <w:spacing w:after="120" w:line="380" w:lineRule="exact"/>
        <w:rPr>
          <w:rFonts w:ascii="Arial" w:hAnsi="Arial" w:cs="Arial"/>
          <w:b/>
          <w:bCs/>
          <w:sz w:val="22"/>
          <w:szCs w:val="22"/>
        </w:rPr>
      </w:pPr>
      <w:r w:rsidRPr="003F5F24">
        <w:rPr>
          <w:rFonts w:ascii="Arial" w:hAnsi="Arial" w:cs="Arial"/>
          <w:b/>
          <w:bCs/>
          <w:sz w:val="22"/>
          <w:szCs w:val="22"/>
        </w:rPr>
        <w:t>Scope of Review</w:t>
      </w:r>
    </w:p>
    <w:p w:rsidR="003F5F24" w:rsidRPr="003F5F24" w:rsidRDefault="003F5F24" w:rsidP="003F5F24">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5F24" w:rsidRPr="003F5F24" w:rsidRDefault="003F5F24" w:rsidP="003F5F24">
      <w:pPr>
        <w:spacing w:before="240" w:after="120" w:line="380" w:lineRule="exact"/>
        <w:rPr>
          <w:rFonts w:ascii="Arial" w:hAnsi="Arial" w:cs="Arial"/>
          <w:b/>
          <w:bCs/>
          <w:sz w:val="22"/>
          <w:szCs w:val="22"/>
        </w:rPr>
      </w:pPr>
      <w:r w:rsidRPr="003F5F24">
        <w:rPr>
          <w:rFonts w:ascii="Arial" w:hAnsi="Arial" w:cs="Arial"/>
          <w:b/>
          <w:bCs/>
          <w:sz w:val="22"/>
          <w:szCs w:val="22"/>
        </w:rPr>
        <w:t>Conclusion</w:t>
      </w:r>
    </w:p>
    <w:p w:rsidR="00ED774B" w:rsidRDefault="003F5F24" w:rsidP="00ED774B">
      <w:pPr>
        <w:spacing w:before="120" w:after="120" w:line="380" w:lineRule="exact"/>
        <w:rPr>
          <w:rFonts w:ascii="Arial" w:hAnsi="Arial" w:cstheme="minorBidi"/>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rsidR="00CE6E80" w:rsidRDefault="00CE6E80" w:rsidP="008C00D7">
      <w:pPr>
        <w:spacing w:before="360" w:after="120" w:line="380" w:lineRule="exact"/>
        <w:rPr>
          <w:rFonts w:ascii="Arial" w:hAnsi="Arial" w:cs="Arial"/>
          <w:b/>
          <w:bCs/>
          <w:sz w:val="22"/>
          <w:szCs w:val="22"/>
        </w:rPr>
        <w:sectPr w:rsidR="00CE6E80" w:rsidSect="00CE6E80">
          <w:footerReference w:type="default" r:id="rId10"/>
          <w:pgSz w:w="11907" w:h="16840" w:code="9"/>
          <w:pgMar w:top="2880" w:right="1080" w:bottom="1080" w:left="1296" w:header="720" w:footer="720" w:gutter="0"/>
          <w:pgNumType w:start="2"/>
          <w:cols w:space="720"/>
          <w:docGrid w:linePitch="360"/>
        </w:sectPr>
      </w:pPr>
    </w:p>
    <w:p w:rsidR="008C00D7" w:rsidRDefault="008C00D7" w:rsidP="008C00D7">
      <w:pPr>
        <w:spacing w:before="360" w:after="120" w:line="380" w:lineRule="exact"/>
        <w:rPr>
          <w:rFonts w:ascii="Arial" w:hAnsi="Arial" w:cs="Arial"/>
          <w:b/>
          <w:bCs/>
          <w:sz w:val="22"/>
          <w:szCs w:val="22"/>
        </w:rPr>
      </w:pPr>
      <w:r w:rsidRPr="008C00D7">
        <w:rPr>
          <w:rFonts w:ascii="Arial" w:hAnsi="Arial" w:cs="Arial"/>
          <w:b/>
          <w:bCs/>
          <w:sz w:val="22"/>
          <w:szCs w:val="22"/>
        </w:rPr>
        <w:lastRenderedPageBreak/>
        <w:t>Emphasis of Matter</w:t>
      </w:r>
    </w:p>
    <w:p w:rsidR="000800CA" w:rsidRPr="000800CA" w:rsidRDefault="000800CA" w:rsidP="000800CA">
      <w:pPr>
        <w:pStyle w:val="ps-000-normal"/>
        <w:spacing w:line="380" w:lineRule="exact"/>
        <w:rPr>
          <w:rFonts w:ascii="Arial" w:hAnsi="Arial" w:cs="Arial"/>
          <w:color w:val="auto"/>
          <w:sz w:val="22"/>
          <w:szCs w:val="22"/>
        </w:rPr>
      </w:pPr>
      <w:r w:rsidRPr="000800CA">
        <w:rPr>
          <w:rFonts w:ascii="Arial" w:hAnsi="Arial" w:cs="Arial"/>
          <w:color w:val="auto"/>
          <w:sz w:val="22"/>
          <w:szCs w:val="22"/>
        </w:rPr>
        <w:t>I draw attention to Note</w:t>
      </w:r>
      <w:r w:rsidRPr="000800CA">
        <w:rPr>
          <w:rFonts w:ascii="Arial" w:hAnsi="Arial" w:cs="Arial"/>
          <w:color w:val="auto"/>
          <w:sz w:val="22"/>
          <w:szCs w:val="22"/>
          <w:cs/>
        </w:rPr>
        <w:t xml:space="preserve"> </w:t>
      </w:r>
      <w:r w:rsidRPr="000800CA">
        <w:rPr>
          <w:rFonts w:ascii="Arial" w:hAnsi="Arial" w:cs="Arial"/>
          <w:color w:val="auto"/>
          <w:sz w:val="22"/>
          <w:szCs w:val="22"/>
        </w:rPr>
        <w:t>1.5</w:t>
      </w:r>
      <w:r w:rsidRPr="000800CA">
        <w:rPr>
          <w:rFonts w:ascii="Arial" w:hAnsi="Arial" w:cs="Arial"/>
          <w:color w:val="auto"/>
          <w:sz w:val="22"/>
          <w:szCs w:val="22"/>
          <w:cs/>
        </w:rPr>
        <w:t xml:space="preserve"> </w:t>
      </w:r>
      <w:r w:rsidRPr="000800CA">
        <w:rPr>
          <w:rFonts w:ascii="Arial" w:hAnsi="Arial" w:cs="Arial"/>
          <w:color w:val="auto"/>
          <w:sz w:val="22"/>
          <w:szCs w:val="22"/>
        </w:rPr>
        <w:t xml:space="preserve">to the interim consolidated financial </w:t>
      </w:r>
      <w:r w:rsidR="006C1246">
        <w:rPr>
          <w:rFonts w:ascii="Arial" w:hAnsi="Arial" w:cs="Arial"/>
          <w:sz w:val="22"/>
          <w:szCs w:val="22"/>
        </w:rPr>
        <w:t>information</w:t>
      </w:r>
      <w:r w:rsidR="0087297F">
        <w:rPr>
          <w:rFonts w:ascii="Arial" w:hAnsi="Arial" w:cs="Arial"/>
          <w:color w:val="auto"/>
          <w:sz w:val="22"/>
          <w:szCs w:val="22"/>
        </w:rPr>
        <w:t xml:space="preserve">. Due to the impact of the Covid-19 </w:t>
      </w:r>
      <w:r w:rsidR="00E9784E">
        <w:rPr>
          <w:rFonts w:ascii="Arial" w:hAnsi="Arial" w:cs="Arial"/>
          <w:color w:val="auto"/>
          <w:sz w:val="22"/>
          <w:szCs w:val="22"/>
        </w:rPr>
        <w:t>Pandemic</w:t>
      </w:r>
      <w:r w:rsidR="0087297F">
        <w:rPr>
          <w:rFonts w:ascii="Arial" w:hAnsi="Arial" w:cs="Arial"/>
          <w:color w:val="auto"/>
          <w:sz w:val="22"/>
          <w:szCs w:val="22"/>
        </w:rPr>
        <w:t>,</w:t>
      </w:r>
      <w:r w:rsidRPr="000800CA">
        <w:rPr>
          <w:rFonts w:ascii="Arial" w:hAnsi="Arial" w:cs="Arial"/>
          <w:color w:val="auto"/>
          <w:sz w:val="22"/>
          <w:szCs w:val="22"/>
        </w:rPr>
        <w:t xml:space="preserve"> in preparing the</w:t>
      </w:r>
      <w:r w:rsidRPr="000800CA">
        <w:rPr>
          <w:rFonts w:ascii="Arial" w:hAnsi="Arial" w:cs="Arial"/>
          <w:color w:val="auto"/>
          <w:sz w:val="22"/>
          <w:szCs w:val="22"/>
          <w:cs/>
        </w:rPr>
        <w:t xml:space="preserve"> </w:t>
      </w:r>
      <w:r w:rsidRPr="000800CA">
        <w:rPr>
          <w:rFonts w:ascii="Arial" w:hAnsi="Arial" w:cs="Arial"/>
          <w:color w:val="auto"/>
          <w:sz w:val="22"/>
          <w:szCs w:val="22"/>
        </w:rPr>
        <w:t xml:space="preserve">interim consolidated financial information for the </w:t>
      </w:r>
      <w:r w:rsidR="0087297F">
        <w:rPr>
          <w:rFonts w:ascii="Arial" w:hAnsi="Arial" w:cs="Arial"/>
          <w:color w:val="auto"/>
          <w:sz w:val="22"/>
          <w:szCs w:val="22"/>
        </w:rPr>
        <w:t xml:space="preserve">                </w:t>
      </w:r>
      <w:r w:rsidRPr="000800CA">
        <w:rPr>
          <w:rFonts w:ascii="Arial" w:hAnsi="Arial" w:cs="Arial"/>
          <w:color w:val="auto"/>
          <w:sz w:val="22"/>
          <w:szCs w:val="22"/>
        </w:rPr>
        <w:t xml:space="preserve">three-month </w:t>
      </w:r>
      <w:r w:rsidR="001E4776">
        <w:rPr>
          <w:rFonts w:ascii="Arial" w:hAnsi="Arial" w:cs="Arial"/>
          <w:color w:val="auto"/>
          <w:sz w:val="22"/>
          <w:szCs w:val="22"/>
        </w:rPr>
        <w:t xml:space="preserve">and </w:t>
      </w:r>
      <w:r w:rsidR="00AF6C9D">
        <w:rPr>
          <w:rFonts w:ascii="Arial" w:hAnsi="Arial" w:cs="Arial"/>
          <w:color w:val="auto"/>
          <w:sz w:val="22"/>
          <w:szCs w:val="22"/>
        </w:rPr>
        <w:t>nine</w:t>
      </w:r>
      <w:r w:rsidR="001E4776">
        <w:rPr>
          <w:rFonts w:ascii="Arial" w:hAnsi="Arial" w:cs="Arial"/>
          <w:color w:val="auto"/>
          <w:sz w:val="22"/>
          <w:szCs w:val="22"/>
        </w:rPr>
        <w:t xml:space="preserve">-month </w:t>
      </w:r>
      <w:r w:rsidRPr="000800CA">
        <w:rPr>
          <w:rFonts w:ascii="Arial" w:hAnsi="Arial" w:cs="Arial"/>
          <w:color w:val="auto"/>
          <w:sz w:val="22"/>
          <w:szCs w:val="22"/>
        </w:rPr>
        <w:t xml:space="preserve">period ended </w:t>
      </w:r>
      <w:r w:rsidR="001E4776">
        <w:rPr>
          <w:rFonts w:ascii="Arial" w:hAnsi="Arial" w:cs="Arial"/>
          <w:color w:val="auto"/>
          <w:sz w:val="22"/>
          <w:szCs w:val="22"/>
        </w:rPr>
        <w:t xml:space="preserve">30 </w:t>
      </w:r>
      <w:r w:rsidR="00AF6C9D">
        <w:rPr>
          <w:rFonts w:ascii="Arial" w:hAnsi="Arial" w:cs="Arial"/>
          <w:color w:val="auto"/>
          <w:sz w:val="22"/>
          <w:szCs w:val="22"/>
        </w:rPr>
        <w:t>September</w:t>
      </w:r>
      <w:r w:rsidRPr="000800CA">
        <w:rPr>
          <w:rFonts w:ascii="Arial" w:hAnsi="Arial" w:cs="Arial"/>
          <w:color w:val="auto"/>
          <w:sz w:val="22"/>
          <w:szCs w:val="22"/>
        </w:rPr>
        <w:t xml:space="preserve"> 2020, the Group has adopted the Accounting Guidance on Temporary Relief Measures for Accounting Alternatives </w:t>
      </w:r>
      <w:r w:rsidR="0087297F">
        <w:rPr>
          <w:rFonts w:ascii="Arial" w:hAnsi="Arial" w:cs="Arial"/>
          <w:color w:val="auto"/>
          <w:sz w:val="22"/>
          <w:szCs w:val="22"/>
        </w:rPr>
        <w:t>in Response to t</w:t>
      </w:r>
      <w:r w:rsidRPr="000800CA">
        <w:rPr>
          <w:rFonts w:ascii="Arial" w:hAnsi="Arial" w:cs="Arial"/>
          <w:color w:val="auto"/>
          <w:sz w:val="22"/>
          <w:szCs w:val="22"/>
        </w:rPr>
        <w:t xml:space="preserve">he Impact of </w:t>
      </w:r>
      <w:r w:rsidR="0087297F">
        <w:rPr>
          <w:rFonts w:ascii="Arial" w:hAnsi="Arial" w:cs="Arial"/>
          <w:color w:val="auto"/>
          <w:sz w:val="22"/>
          <w:szCs w:val="22"/>
        </w:rPr>
        <w:t>the</w:t>
      </w:r>
      <w:r w:rsidR="001E4776">
        <w:rPr>
          <w:rFonts w:ascii="Arial" w:hAnsi="Arial" w:cs="Arial"/>
          <w:color w:val="auto"/>
          <w:sz w:val="22"/>
          <w:szCs w:val="22"/>
        </w:rPr>
        <w:t xml:space="preserve"> </w:t>
      </w:r>
      <w:r w:rsidRPr="000800CA">
        <w:rPr>
          <w:rFonts w:ascii="Arial" w:hAnsi="Arial" w:cs="Arial"/>
          <w:color w:val="auto"/>
          <w:sz w:val="22"/>
          <w:szCs w:val="22"/>
        </w:rPr>
        <w:t>Covid-19 Pandemic issued by the Federation of Accounting Professions. My conclusion is not modified in respect of these matters.</w:t>
      </w:r>
    </w:p>
    <w:p w:rsidR="00611B71" w:rsidRPr="008418FE" w:rsidRDefault="002A623F" w:rsidP="006C1246">
      <w:pPr>
        <w:spacing w:before="1400" w:line="380" w:lineRule="exact"/>
        <w:rPr>
          <w:rFonts w:ascii="Arial" w:hAnsi="Arial"/>
          <w:sz w:val="22"/>
          <w:szCs w:val="22"/>
        </w:rPr>
      </w:pPr>
      <w:r>
        <w:rPr>
          <w:rFonts w:ascii="Arial" w:hAnsi="Arial"/>
          <w:sz w:val="22"/>
          <w:szCs w:val="22"/>
        </w:rPr>
        <w:t>Orawan</w:t>
      </w:r>
      <w:r w:rsidR="002C0398">
        <w:rPr>
          <w:rFonts w:ascii="Arial" w:hAnsi="Arial"/>
          <w:sz w:val="22"/>
          <w:szCs w:val="22"/>
        </w:rPr>
        <w:t xml:space="preserve"> </w:t>
      </w:r>
      <w:r>
        <w:rPr>
          <w:rFonts w:ascii="Arial" w:hAnsi="Arial"/>
          <w:sz w:val="22"/>
          <w:szCs w:val="22"/>
        </w:rPr>
        <w:t>Techawatanasirikul</w:t>
      </w:r>
    </w:p>
    <w:p w:rsidR="002274D3" w:rsidRPr="009D4336" w:rsidRDefault="002274D3" w:rsidP="00ED774B">
      <w:pPr>
        <w:tabs>
          <w:tab w:val="center" w:pos="5490"/>
        </w:tabs>
        <w:spacing w:line="380" w:lineRule="exact"/>
        <w:jc w:val="both"/>
        <w:rPr>
          <w:rFonts w:ascii="Arial" w:hAnsi="Arial"/>
          <w:sz w:val="22"/>
          <w:szCs w:val="22"/>
        </w:rPr>
      </w:pPr>
      <w:r>
        <w:rPr>
          <w:rFonts w:ascii="Arial" w:hAnsi="Arial"/>
          <w:sz w:val="22"/>
          <w:szCs w:val="22"/>
        </w:rPr>
        <w:t xml:space="preserve">Certified Public Accountant (Thailand) No. </w:t>
      </w:r>
      <w:r w:rsidR="002A623F">
        <w:rPr>
          <w:rFonts w:ascii="Arial" w:hAnsi="Arial"/>
          <w:sz w:val="22"/>
          <w:szCs w:val="22"/>
        </w:rPr>
        <w:t>4807</w:t>
      </w:r>
    </w:p>
    <w:p w:rsidR="002274D3" w:rsidRPr="00DE36E5" w:rsidRDefault="002274D3" w:rsidP="00ED774B">
      <w:pPr>
        <w:pStyle w:val="Heading9"/>
        <w:tabs>
          <w:tab w:val="left" w:pos="720"/>
        </w:tabs>
        <w:spacing w:after="0" w:line="380" w:lineRule="exact"/>
      </w:pPr>
      <w:r>
        <w:t>EY</w:t>
      </w:r>
      <w:r w:rsidRPr="00DE36E5">
        <w:t xml:space="preserve"> Office Limited</w:t>
      </w:r>
    </w:p>
    <w:p w:rsidR="00BA1F86" w:rsidRPr="000816CD" w:rsidRDefault="002274D3" w:rsidP="00ED774B">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sidR="00E1775D">
        <w:rPr>
          <w:rFonts w:ascii="Arial" w:hAnsi="Arial"/>
          <w:sz w:val="22"/>
          <w:szCs w:val="22"/>
        </w:rPr>
        <w:t>12 November</w:t>
      </w:r>
      <w:r w:rsidR="001F3233">
        <w:rPr>
          <w:rFonts w:ascii="Arial" w:hAnsi="Arial"/>
          <w:sz w:val="22"/>
          <w:szCs w:val="22"/>
        </w:rPr>
        <w:t xml:space="preserve"> 2020</w:t>
      </w:r>
    </w:p>
    <w:sectPr w:rsidR="00BA1F86" w:rsidRPr="000816CD" w:rsidSect="00CE6E80">
      <w:footerReference w:type="default" r:id="rId11"/>
      <w:pgSz w:w="11907" w:h="16840"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22C" w:rsidRDefault="00E8122C" w:rsidP="004A16D7">
      <w:r>
        <w:separator/>
      </w:r>
    </w:p>
  </w:endnote>
  <w:endnote w:type="continuationSeparator" w:id="0">
    <w:p w:rsidR="00E8122C" w:rsidRDefault="00E8122C"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rsidR="00250214" w:rsidRDefault="00250214"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214" w:rsidRDefault="00250214" w:rsidP="000B55D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CA3" w:rsidRDefault="00D02CA3" w:rsidP="00D02CA3">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8609038"/>
      <w:docPartObj>
        <w:docPartGallery w:val="Page Numbers (Bottom of Page)"/>
        <w:docPartUnique/>
      </w:docPartObj>
    </w:sdtPr>
    <w:sdtEndPr>
      <w:rPr>
        <w:rFonts w:ascii="Arial" w:hAnsi="Arial" w:cs="Arial"/>
        <w:noProof/>
        <w:sz w:val="22"/>
        <w:szCs w:val="24"/>
      </w:rPr>
    </w:sdtEndPr>
    <w:sdtContent>
      <w:p w:rsidR="00CE6E80" w:rsidRPr="00CE6E80" w:rsidRDefault="00CE6E80" w:rsidP="00D02CA3">
        <w:pPr>
          <w:pStyle w:val="Footer"/>
          <w:jc w:val="right"/>
          <w:rPr>
            <w:rFonts w:ascii="Arial" w:hAnsi="Arial" w:cs="Arial"/>
            <w:sz w:val="22"/>
            <w:szCs w:val="24"/>
          </w:rPr>
        </w:pPr>
        <w:r w:rsidRPr="00CE6E80">
          <w:rPr>
            <w:rFonts w:ascii="Arial" w:hAnsi="Arial" w:cs="Arial"/>
            <w:sz w:val="22"/>
            <w:szCs w:val="24"/>
          </w:rPr>
          <w:fldChar w:fldCharType="begin"/>
        </w:r>
        <w:r w:rsidRPr="00CE6E80">
          <w:rPr>
            <w:rFonts w:ascii="Arial" w:hAnsi="Arial" w:cs="Arial"/>
            <w:sz w:val="22"/>
            <w:szCs w:val="24"/>
          </w:rPr>
          <w:instrText xml:space="preserve"> PAGE   \* MERGEFORMAT </w:instrText>
        </w:r>
        <w:r w:rsidRPr="00CE6E80">
          <w:rPr>
            <w:rFonts w:ascii="Arial" w:hAnsi="Arial" w:cs="Arial"/>
            <w:sz w:val="22"/>
            <w:szCs w:val="24"/>
          </w:rPr>
          <w:fldChar w:fldCharType="separate"/>
        </w:r>
        <w:r w:rsidR="00AC5398">
          <w:rPr>
            <w:rFonts w:ascii="Arial" w:hAnsi="Arial" w:cs="Arial"/>
            <w:noProof/>
            <w:sz w:val="22"/>
            <w:szCs w:val="24"/>
          </w:rPr>
          <w:t>2</w:t>
        </w:r>
        <w:r w:rsidRPr="00CE6E80">
          <w:rPr>
            <w:rFonts w:ascii="Arial" w:hAnsi="Arial" w:cs="Arial"/>
            <w:noProof/>
            <w:sz w:val="22"/>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22C" w:rsidRDefault="00E8122C" w:rsidP="004A16D7">
      <w:r>
        <w:separator/>
      </w:r>
    </w:p>
  </w:footnote>
  <w:footnote w:type="continuationSeparator" w:id="0">
    <w:p w:rsidR="00E8122C" w:rsidRDefault="00E8122C" w:rsidP="004A1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435F9"/>
    <w:rsid w:val="00075DA4"/>
    <w:rsid w:val="000800CA"/>
    <w:rsid w:val="000816CD"/>
    <w:rsid w:val="000B55D4"/>
    <w:rsid w:val="000E655F"/>
    <w:rsid w:val="001804BD"/>
    <w:rsid w:val="001D2DFB"/>
    <w:rsid w:val="001E4776"/>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A108C"/>
    <w:rsid w:val="003A2FD0"/>
    <w:rsid w:val="003D3421"/>
    <w:rsid w:val="003F57D5"/>
    <w:rsid w:val="003F5F24"/>
    <w:rsid w:val="003F7D69"/>
    <w:rsid w:val="004960E7"/>
    <w:rsid w:val="004A16D7"/>
    <w:rsid w:val="00507236"/>
    <w:rsid w:val="00517365"/>
    <w:rsid w:val="0055343C"/>
    <w:rsid w:val="005A0275"/>
    <w:rsid w:val="005C2827"/>
    <w:rsid w:val="005F32C1"/>
    <w:rsid w:val="0060116E"/>
    <w:rsid w:val="00611B71"/>
    <w:rsid w:val="00613099"/>
    <w:rsid w:val="0062656A"/>
    <w:rsid w:val="00636C47"/>
    <w:rsid w:val="00636EF4"/>
    <w:rsid w:val="00647DB9"/>
    <w:rsid w:val="006C1246"/>
    <w:rsid w:val="00711148"/>
    <w:rsid w:val="0072273E"/>
    <w:rsid w:val="007324B7"/>
    <w:rsid w:val="00746059"/>
    <w:rsid w:val="0078004B"/>
    <w:rsid w:val="007808EB"/>
    <w:rsid w:val="007911CA"/>
    <w:rsid w:val="007B76BA"/>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A05A90"/>
    <w:rsid w:val="00A74473"/>
    <w:rsid w:val="00AC5398"/>
    <w:rsid w:val="00AF6C9D"/>
    <w:rsid w:val="00B01B6D"/>
    <w:rsid w:val="00B50FC2"/>
    <w:rsid w:val="00BA1F86"/>
    <w:rsid w:val="00BC68D8"/>
    <w:rsid w:val="00BD549C"/>
    <w:rsid w:val="00BD69D3"/>
    <w:rsid w:val="00BF467F"/>
    <w:rsid w:val="00C10227"/>
    <w:rsid w:val="00C21E4F"/>
    <w:rsid w:val="00C469A0"/>
    <w:rsid w:val="00C72962"/>
    <w:rsid w:val="00CA34D4"/>
    <w:rsid w:val="00CE6E80"/>
    <w:rsid w:val="00CF6B9E"/>
    <w:rsid w:val="00D02CA3"/>
    <w:rsid w:val="00D04758"/>
    <w:rsid w:val="00D1341E"/>
    <w:rsid w:val="00D40D87"/>
    <w:rsid w:val="00D505FF"/>
    <w:rsid w:val="00D66043"/>
    <w:rsid w:val="00D76560"/>
    <w:rsid w:val="00D80B8B"/>
    <w:rsid w:val="00DB4AFD"/>
    <w:rsid w:val="00DC36CC"/>
    <w:rsid w:val="00DD123C"/>
    <w:rsid w:val="00DF079B"/>
    <w:rsid w:val="00DF2F6B"/>
    <w:rsid w:val="00E1775D"/>
    <w:rsid w:val="00E20CC3"/>
    <w:rsid w:val="00E25B8B"/>
    <w:rsid w:val="00E63B27"/>
    <w:rsid w:val="00E80AD7"/>
    <w:rsid w:val="00E8122C"/>
    <w:rsid w:val="00E9784E"/>
    <w:rsid w:val="00EB08F5"/>
    <w:rsid w:val="00ED774B"/>
    <w:rsid w:val="00ED7F14"/>
    <w:rsid w:val="00EE2D93"/>
    <w:rsid w:val="00F2156B"/>
    <w:rsid w:val="00F654C2"/>
    <w:rsid w:val="00F72D3E"/>
    <w:rsid w:val="00F94AC6"/>
    <w:rsid w:val="00F9547A"/>
    <w:rsid w:val="00FA6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DD3FA-FF21-4E49-8BB0-98D7E928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2486</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K.Somsri Fonganantarat</cp:lastModifiedBy>
  <cp:revision>2</cp:revision>
  <cp:lastPrinted>2020-10-20T09:10:00Z</cp:lastPrinted>
  <dcterms:created xsi:type="dcterms:W3CDTF">2020-11-12T01:26:00Z</dcterms:created>
  <dcterms:modified xsi:type="dcterms:W3CDTF">2020-11-12T01:26:00Z</dcterms:modified>
</cp:coreProperties>
</file>