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777" w:rsidRPr="005D15AB" w:rsidRDefault="00F10777" w:rsidP="00F10777">
      <w:pPr>
        <w:pStyle w:val="Caption"/>
        <w:spacing w:line="240" w:lineRule="auto"/>
        <w:ind w:left="540"/>
        <w:rPr>
          <w:rFonts w:ascii="Arial" w:hAnsi="Arial" w:cs="Arial"/>
          <w:sz w:val="18"/>
          <w:szCs w:val="18"/>
          <w:lang w:val="en-GB"/>
        </w:rPr>
      </w:pPr>
      <w:bookmarkStart w:id="0" w:name="_GoBack"/>
      <w:bookmarkEnd w:id="0"/>
      <w:r w:rsidRPr="005D15AB">
        <w:rPr>
          <w:rFonts w:ascii="Arial" w:hAnsi="Arial" w:cs="Arial"/>
          <w:sz w:val="18"/>
          <w:szCs w:val="18"/>
          <w:lang w:val="en-GB"/>
        </w:rPr>
        <w:t xml:space="preserve">THAI UNION GROUP PUBLIC COMPANY LIMITED </w:t>
      </w:r>
    </w:p>
    <w:p w:rsidR="00F10777" w:rsidRPr="005D15AB" w:rsidRDefault="00F10777" w:rsidP="00F10777">
      <w:pPr>
        <w:suppressAutoHyphens/>
        <w:spacing w:after="0" w:line="240" w:lineRule="auto"/>
        <w:ind w:left="540"/>
        <w:rPr>
          <w:rFonts w:ascii="Arial" w:hAnsi="Arial" w:cs="Arial"/>
          <w:b/>
          <w:bCs/>
          <w:sz w:val="18"/>
          <w:szCs w:val="18"/>
          <w:lang w:val="en-US"/>
        </w:rPr>
      </w:pPr>
    </w:p>
    <w:p w:rsidR="00F10777" w:rsidRPr="005D15AB" w:rsidRDefault="00F10777" w:rsidP="00F10777">
      <w:pPr>
        <w:suppressAutoHyphens/>
        <w:spacing w:after="0" w:line="240" w:lineRule="auto"/>
        <w:ind w:left="540"/>
        <w:rPr>
          <w:rFonts w:ascii="Arial" w:hAnsi="Arial" w:cs="Arial"/>
          <w:b/>
          <w:bCs/>
          <w:sz w:val="18"/>
          <w:szCs w:val="18"/>
        </w:rPr>
      </w:pPr>
    </w:p>
    <w:p w:rsidR="00F10777" w:rsidRPr="005D15AB" w:rsidRDefault="00F10777" w:rsidP="00F10777">
      <w:pPr>
        <w:keepNext/>
        <w:spacing w:after="0" w:line="240" w:lineRule="auto"/>
        <w:ind w:left="540"/>
        <w:rPr>
          <w:rFonts w:ascii="Arial" w:hAnsi="Arial" w:cs="Arial"/>
          <w:b/>
          <w:bCs/>
          <w:sz w:val="18"/>
          <w:szCs w:val="18"/>
        </w:rPr>
      </w:pPr>
      <w:r w:rsidRPr="005D15AB">
        <w:rPr>
          <w:rFonts w:ascii="Arial" w:hAnsi="Arial" w:cs="Arial"/>
          <w:b/>
          <w:bCs/>
          <w:sz w:val="18"/>
          <w:szCs w:val="18"/>
        </w:rPr>
        <w:t>CONSOLIDATED AND SEPARATE FINANCIAL STATEMENTS</w:t>
      </w:r>
    </w:p>
    <w:p w:rsidR="00F10777" w:rsidRPr="005D15AB" w:rsidRDefault="00F10777" w:rsidP="00F10777">
      <w:pPr>
        <w:suppressAutoHyphens/>
        <w:spacing w:after="0" w:line="240" w:lineRule="auto"/>
        <w:ind w:left="540"/>
        <w:rPr>
          <w:rFonts w:ascii="Arial" w:hAnsi="Arial" w:cs="Arial"/>
          <w:b/>
          <w:bCs/>
          <w:sz w:val="18"/>
          <w:szCs w:val="18"/>
        </w:rPr>
      </w:pPr>
    </w:p>
    <w:p w:rsidR="00F10777" w:rsidRPr="005D15AB" w:rsidRDefault="00F10777" w:rsidP="00F10777">
      <w:pPr>
        <w:suppressAutoHyphens/>
        <w:spacing w:after="0" w:line="240" w:lineRule="auto"/>
        <w:ind w:left="540"/>
        <w:rPr>
          <w:rFonts w:ascii="Arial" w:hAnsi="Arial" w:cs="Arial"/>
          <w:b/>
          <w:bCs/>
          <w:sz w:val="18"/>
          <w:szCs w:val="18"/>
        </w:rPr>
      </w:pPr>
      <w:r w:rsidRPr="005D15AB">
        <w:rPr>
          <w:rFonts w:ascii="Arial" w:hAnsi="Arial" w:cs="Arial"/>
          <w:b/>
          <w:bCs/>
          <w:sz w:val="18"/>
          <w:szCs w:val="18"/>
        </w:rPr>
        <w:t>31 DECEMBER 20</w:t>
      </w:r>
      <w:r w:rsidR="00A77A4D" w:rsidRPr="005D15AB">
        <w:rPr>
          <w:rFonts w:ascii="Arial" w:hAnsi="Arial" w:cs="Arial"/>
          <w:b/>
          <w:bCs/>
          <w:sz w:val="18"/>
          <w:szCs w:val="18"/>
        </w:rPr>
        <w:t>20</w:t>
      </w:r>
    </w:p>
    <w:p w:rsidR="00F10777" w:rsidRPr="005D15AB" w:rsidRDefault="00F10777" w:rsidP="00F10777">
      <w:pPr>
        <w:suppressAutoHyphens/>
        <w:spacing w:after="0" w:line="240" w:lineRule="auto"/>
        <w:ind w:left="540"/>
        <w:rPr>
          <w:rFonts w:ascii="Arial" w:hAnsi="Arial" w:cs="Arial"/>
          <w:b/>
          <w:bCs/>
          <w:sz w:val="18"/>
          <w:szCs w:val="18"/>
        </w:rPr>
      </w:pPr>
    </w:p>
    <w:p w:rsidR="00F10777" w:rsidRPr="005D15AB" w:rsidRDefault="00F10777" w:rsidP="000D55B0">
      <w:pPr>
        <w:pStyle w:val="Default"/>
        <w:rPr>
          <w:b/>
          <w:bCs/>
          <w:color w:val="C00000"/>
          <w:sz w:val="18"/>
          <w:szCs w:val="18"/>
        </w:rPr>
        <w:sectPr w:rsidR="00F10777" w:rsidRPr="005D15AB" w:rsidSect="00F10777">
          <w:headerReference w:type="default" r:id="rId8"/>
          <w:pgSz w:w="11909" w:h="16834" w:code="9"/>
          <w:pgMar w:top="4179" w:right="2880" w:bottom="7201" w:left="1797" w:header="709" w:footer="709" w:gutter="0"/>
          <w:cols w:space="708"/>
          <w:docGrid w:linePitch="360"/>
        </w:sectPr>
      </w:pPr>
    </w:p>
    <w:p w:rsidR="00790517" w:rsidRPr="005D15AB" w:rsidRDefault="00790517" w:rsidP="000D55B0">
      <w:pPr>
        <w:pStyle w:val="Default"/>
        <w:rPr>
          <w:b/>
          <w:bCs/>
          <w:color w:val="CF4A02"/>
          <w:sz w:val="20"/>
          <w:szCs w:val="20"/>
        </w:rPr>
      </w:pPr>
      <w:r w:rsidRPr="005D15AB">
        <w:rPr>
          <w:b/>
          <w:bCs/>
          <w:color w:val="CF4A02"/>
          <w:sz w:val="20"/>
          <w:szCs w:val="20"/>
        </w:rPr>
        <w:lastRenderedPageBreak/>
        <w:t>I</w:t>
      </w:r>
      <w:r w:rsidR="00886FDA" w:rsidRPr="005D15AB">
        <w:rPr>
          <w:b/>
          <w:bCs/>
          <w:color w:val="CF4A02"/>
          <w:sz w:val="20"/>
          <w:szCs w:val="20"/>
        </w:rPr>
        <w:t>ndependent</w:t>
      </w:r>
      <w:r w:rsidRPr="005D15AB">
        <w:rPr>
          <w:b/>
          <w:bCs/>
          <w:color w:val="CF4A02"/>
          <w:sz w:val="20"/>
          <w:szCs w:val="20"/>
        </w:rPr>
        <w:t xml:space="preserve"> </w:t>
      </w:r>
      <w:r w:rsidR="008E0FC2" w:rsidRPr="005D15AB">
        <w:rPr>
          <w:b/>
          <w:bCs/>
          <w:color w:val="CF4A02"/>
          <w:sz w:val="20"/>
          <w:szCs w:val="20"/>
        </w:rPr>
        <w:t>A</w:t>
      </w:r>
      <w:r w:rsidR="00886FDA" w:rsidRPr="005D15AB">
        <w:rPr>
          <w:b/>
          <w:bCs/>
          <w:color w:val="CF4A02"/>
          <w:sz w:val="20"/>
          <w:szCs w:val="20"/>
        </w:rPr>
        <w:t>uditor</w:t>
      </w:r>
      <w:r w:rsidRPr="005D15AB">
        <w:rPr>
          <w:b/>
          <w:bCs/>
          <w:color w:val="CF4A02"/>
          <w:sz w:val="20"/>
          <w:szCs w:val="20"/>
        </w:rPr>
        <w:t>’</w:t>
      </w:r>
      <w:r w:rsidR="00886FDA" w:rsidRPr="005D15AB">
        <w:rPr>
          <w:b/>
          <w:bCs/>
          <w:color w:val="CF4A02"/>
          <w:sz w:val="20"/>
          <w:szCs w:val="20"/>
        </w:rPr>
        <w:t xml:space="preserve">s </w:t>
      </w:r>
      <w:r w:rsidR="008E0FC2" w:rsidRPr="005D15AB">
        <w:rPr>
          <w:b/>
          <w:bCs/>
          <w:color w:val="CF4A02"/>
          <w:sz w:val="20"/>
          <w:szCs w:val="20"/>
        </w:rPr>
        <w:t>R</w:t>
      </w:r>
      <w:r w:rsidR="00886FDA" w:rsidRPr="005D15AB">
        <w:rPr>
          <w:b/>
          <w:bCs/>
          <w:color w:val="CF4A02"/>
          <w:sz w:val="20"/>
          <w:szCs w:val="20"/>
        </w:rPr>
        <w:t>eport</w:t>
      </w:r>
      <w:r w:rsidRPr="005D15AB">
        <w:rPr>
          <w:b/>
          <w:bCs/>
          <w:color w:val="CF4A02"/>
          <w:sz w:val="20"/>
          <w:szCs w:val="20"/>
        </w:rPr>
        <w:t xml:space="preserve"> </w:t>
      </w:r>
    </w:p>
    <w:p w:rsidR="000D55B0" w:rsidRPr="005D15AB" w:rsidRDefault="000D55B0" w:rsidP="000D55B0">
      <w:pPr>
        <w:pStyle w:val="Default"/>
        <w:rPr>
          <w:b/>
          <w:bCs/>
          <w:color w:val="CF4A02"/>
          <w:sz w:val="18"/>
          <w:szCs w:val="18"/>
        </w:rPr>
      </w:pPr>
    </w:p>
    <w:p w:rsidR="000D55B0" w:rsidRPr="005D15AB" w:rsidRDefault="000D55B0" w:rsidP="000D55B0">
      <w:pPr>
        <w:pStyle w:val="Default"/>
        <w:rPr>
          <w:color w:val="CF4A02"/>
          <w:sz w:val="18"/>
          <w:szCs w:val="18"/>
        </w:rPr>
      </w:pPr>
    </w:p>
    <w:p w:rsidR="00790517" w:rsidRPr="005D15AB" w:rsidRDefault="00E07F94" w:rsidP="000D55B0">
      <w:pPr>
        <w:pStyle w:val="Default"/>
        <w:rPr>
          <w:color w:val="CF4A02"/>
          <w:sz w:val="18"/>
          <w:szCs w:val="18"/>
        </w:rPr>
      </w:pPr>
      <w:r w:rsidRPr="005D15AB">
        <w:rPr>
          <w:color w:val="CF4A02"/>
          <w:sz w:val="18"/>
          <w:szCs w:val="18"/>
        </w:rPr>
        <w:t>To the s</w:t>
      </w:r>
      <w:r w:rsidR="00790517" w:rsidRPr="005D15AB">
        <w:rPr>
          <w:color w:val="CF4A02"/>
          <w:sz w:val="18"/>
          <w:szCs w:val="18"/>
        </w:rPr>
        <w:t xml:space="preserve">hareholders </w:t>
      </w:r>
      <w:r w:rsidR="00D11F81" w:rsidRPr="005D15AB">
        <w:rPr>
          <w:color w:val="CF4A02"/>
          <w:sz w:val="18"/>
          <w:szCs w:val="18"/>
          <w:lang w:val="en-US"/>
        </w:rPr>
        <w:t>and the Board of Directors</w:t>
      </w:r>
      <w:r w:rsidR="00AE7B7B" w:rsidRPr="005D15AB">
        <w:rPr>
          <w:color w:val="CF4A02"/>
          <w:sz w:val="18"/>
          <w:szCs w:val="18"/>
          <w:lang w:val="en-US"/>
        </w:rPr>
        <w:t xml:space="preserve"> </w:t>
      </w:r>
      <w:r w:rsidR="005F1C97" w:rsidRPr="005D15AB">
        <w:rPr>
          <w:color w:val="CF4A02"/>
          <w:sz w:val="18"/>
          <w:szCs w:val="18"/>
          <w:lang w:val="en-US"/>
        </w:rPr>
        <w:t xml:space="preserve">of </w:t>
      </w:r>
      <w:r w:rsidR="00AE7B7B" w:rsidRPr="005D15AB">
        <w:rPr>
          <w:color w:val="CF4A02"/>
          <w:sz w:val="18"/>
          <w:szCs w:val="18"/>
          <w:lang w:val="en-US"/>
        </w:rPr>
        <w:t>Thai Union Group Public Company Limited</w:t>
      </w:r>
      <w:r w:rsidR="00790517" w:rsidRPr="005D15AB">
        <w:rPr>
          <w:color w:val="CF4A02"/>
          <w:sz w:val="18"/>
          <w:szCs w:val="18"/>
        </w:rPr>
        <w:t xml:space="preserve"> </w:t>
      </w:r>
    </w:p>
    <w:p w:rsidR="00790517" w:rsidRPr="005D15AB" w:rsidRDefault="00790517" w:rsidP="000D55B0">
      <w:pPr>
        <w:pStyle w:val="Default"/>
        <w:rPr>
          <w:b/>
          <w:bCs/>
          <w:color w:val="CF4A02"/>
          <w:sz w:val="18"/>
          <w:szCs w:val="18"/>
        </w:rPr>
      </w:pPr>
    </w:p>
    <w:p w:rsidR="00790517" w:rsidRPr="005D15AB" w:rsidRDefault="00790517" w:rsidP="000D55B0">
      <w:pPr>
        <w:pStyle w:val="Default"/>
        <w:rPr>
          <w:b/>
          <w:bCs/>
          <w:color w:val="CF4A02"/>
          <w:sz w:val="18"/>
          <w:szCs w:val="18"/>
        </w:rPr>
      </w:pPr>
    </w:p>
    <w:p w:rsidR="00790517" w:rsidRPr="005D15AB" w:rsidRDefault="009D6C4B" w:rsidP="00C46DA4">
      <w:pPr>
        <w:pStyle w:val="Default"/>
        <w:spacing w:line="360" w:lineRule="auto"/>
        <w:jc w:val="thaiDistribute"/>
        <w:rPr>
          <w:b/>
          <w:bCs/>
          <w:color w:val="CF4A02"/>
          <w:sz w:val="18"/>
          <w:szCs w:val="18"/>
        </w:rPr>
      </w:pPr>
      <w:r w:rsidRPr="005D15AB">
        <w:rPr>
          <w:b/>
          <w:bCs/>
          <w:color w:val="CF4A02"/>
          <w:sz w:val="18"/>
          <w:szCs w:val="18"/>
        </w:rPr>
        <w:t>My o</w:t>
      </w:r>
      <w:r w:rsidR="00790517" w:rsidRPr="005D15AB">
        <w:rPr>
          <w:b/>
          <w:bCs/>
          <w:color w:val="CF4A02"/>
          <w:sz w:val="18"/>
          <w:szCs w:val="18"/>
        </w:rPr>
        <w:t xml:space="preserve">pinion </w:t>
      </w:r>
    </w:p>
    <w:p w:rsidR="009D6C4B" w:rsidRPr="005D15AB" w:rsidRDefault="009D6C4B" w:rsidP="000D55B0">
      <w:pPr>
        <w:spacing w:after="0" w:line="240" w:lineRule="auto"/>
        <w:jc w:val="thaiDistribute"/>
        <w:rPr>
          <w:rFonts w:ascii="Arial" w:hAnsi="Arial" w:cs="Arial"/>
          <w:color w:val="000000"/>
          <w:sz w:val="18"/>
          <w:szCs w:val="18"/>
        </w:rPr>
      </w:pPr>
      <w:r w:rsidRPr="005D15AB">
        <w:rPr>
          <w:rFonts w:ascii="Arial" w:hAnsi="Arial" w:cs="Arial"/>
          <w:color w:val="000000"/>
          <w:sz w:val="18"/>
          <w:szCs w:val="18"/>
        </w:rPr>
        <w:t xml:space="preserve">In my opinion, the consolidated </w:t>
      </w:r>
      <w:r w:rsidR="00AF7479" w:rsidRPr="005D15AB">
        <w:rPr>
          <w:rFonts w:ascii="Arial" w:hAnsi="Arial" w:cs="Arial"/>
          <w:color w:val="000000"/>
          <w:sz w:val="18"/>
          <w:szCs w:val="18"/>
        </w:rPr>
        <w:t xml:space="preserve">financial statements </w:t>
      </w:r>
      <w:r w:rsidR="00AF7479" w:rsidRPr="005D15AB">
        <w:rPr>
          <w:rFonts w:ascii="Arial" w:hAnsi="Arial" w:cs="Arial"/>
          <w:sz w:val="18"/>
          <w:szCs w:val="18"/>
          <w:lang w:val="en-US"/>
        </w:rPr>
        <w:t xml:space="preserve">and the </w:t>
      </w:r>
      <w:r w:rsidR="00AF7479" w:rsidRPr="005D15AB">
        <w:rPr>
          <w:rFonts w:ascii="Arial" w:hAnsi="Arial" w:cs="Arial"/>
          <w:color w:val="000000"/>
          <w:sz w:val="18"/>
          <w:szCs w:val="18"/>
        </w:rPr>
        <w:t xml:space="preserve">separate financial statements </w:t>
      </w:r>
      <w:r w:rsidRPr="005D15AB">
        <w:rPr>
          <w:rFonts w:ascii="Arial" w:hAnsi="Arial" w:cs="Arial"/>
          <w:color w:val="000000"/>
          <w:sz w:val="18"/>
          <w:szCs w:val="18"/>
        </w:rPr>
        <w:t xml:space="preserve">present fairly, in all material respects, the consolidated financial position of </w:t>
      </w:r>
      <w:r w:rsidR="00207CA2" w:rsidRPr="005D15AB">
        <w:rPr>
          <w:rFonts w:ascii="Arial" w:hAnsi="Arial" w:cs="Arial"/>
          <w:color w:val="000000"/>
          <w:sz w:val="18"/>
          <w:szCs w:val="18"/>
        </w:rPr>
        <w:t xml:space="preserve">Thai Union Group Public Company Limited (the Company) </w:t>
      </w:r>
      <w:r w:rsidR="00207CA2" w:rsidRPr="005D15AB">
        <w:rPr>
          <w:rFonts w:ascii="Arial" w:hAnsi="Arial" w:cs="Arial"/>
          <w:sz w:val="18"/>
          <w:szCs w:val="18"/>
          <w:lang w:val="en-US"/>
        </w:rPr>
        <w:t xml:space="preserve">and its subsidiaries (the Group) and the separate financial position of the Company as at </w:t>
      </w:r>
      <w:r w:rsidR="00071CDD" w:rsidRPr="005D15AB">
        <w:rPr>
          <w:rFonts w:ascii="Arial" w:hAnsi="Arial" w:cs="Arial"/>
          <w:color w:val="000000"/>
          <w:sz w:val="18"/>
          <w:szCs w:val="18"/>
        </w:rPr>
        <w:t>31</w:t>
      </w:r>
      <w:r w:rsidR="00AE7B7B" w:rsidRPr="005D15AB">
        <w:rPr>
          <w:rFonts w:ascii="Arial" w:hAnsi="Arial" w:cs="Arial"/>
          <w:color w:val="000000"/>
          <w:sz w:val="18"/>
          <w:szCs w:val="18"/>
        </w:rPr>
        <w:t xml:space="preserve"> December </w:t>
      </w:r>
      <w:r w:rsidR="00F10777" w:rsidRPr="005D15AB">
        <w:rPr>
          <w:rFonts w:ascii="Arial" w:hAnsi="Arial" w:cs="Arial"/>
          <w:color w:val="000000"/>
          <w:spacing w:val="-4"/>
          <w:sz w:val="18"/>
          <w:szCs w:val="18"/>
        </w:rPr>
        <w:t>20</w:t>
      </w:r>
      <w:r w:rsidR="00A77A4D" w:rsidRPr="005D15AB">
        <w:rPr>
          <w:rFonts w:ascii="Arial" w:hAnsi="Arial" w:cs="Arial"/>
          <w:color w:val="000000"/>
          <w:spacing w:val="-4"/>
          <w:sz w:val="18"/>
          <w:szCs w:val="18"/>
        </w:rPr>
        <w:t>20</w:t>
      </w:r>
      <w:r w:rsidRPr="005D15AB">
        <w:rPr>
          <w:rFonts w:ascii="Arial" w:hAnsi="Arial" w:cs="Arial"/>
          <w:spacing w:val="-4"/>
          <w:sz w:val="18"/>
          <w:szCs w:val="18"/>
          <w:lang w:val="en-US"/>
        </w:rPr>
        <w:t>,</w:t>
      </w:r>
      <w:r w:rsidRPr="005D15AB">
        <w:rPr>
          <w:rFonts w:ascii="Arial" w:hAnsi="Arial" w:cs="Arial"/>
          <w:color w:val="000000"/>
          <w:spacing w:val="-4"/>
          <w:sz w:val="18"/>
          <w:szCs w:val="18"/>
        </w:rPr>
        <w:t xml:space="preserve"> and its consolidated and separate financial </w:t>
      </w:r>
      <w:r w:rsidR="00E64A9C" w:rsidRPr="005D15AB">
        <w:rPr>
          <w:rFonts w:ascii="Arial" w:hAnsi="Arial" w:cs="Arial"/>
          <w:color w:val="000000"/>
          <w:spacing w:val="-4"/>
          <w:sz w:val="18"/>
          <w:szCs w:val="18"/>
        </w:rPr>
        <w:t>performance</w:t>
      </w:r>
      <w:r w:rsidRPr="005D15AB">
        <w:rPr>
          <w:rFonts w:ascii="Arial" w:hAnsi="Arial" w:cs="Arial"/>
          <w:color w:val="000000"/>
          <w:spacing w:val="-4"/>
          <w:sz w:val="18"/>
          <w:szCs w:val="18"/>
        </w:rPr>
        <w:t xml:space="preserve"> and its consolidated and separate cash flows for the year</w:t>
      </w:r>
      <w:r w:rsidRPr="005D15AB">
        <w:rPr>
          <w:rFonts w:ascii="Arial" w:hAnsi="Arial" w:cs="Arial"/>
          <w:color w:val="000000"/>
          <w:sz w:val="18"/>
          <w:szCs w:val="18"/>
        </w:rPr>
        <w:t xml:space="preserve"> then ended in accordance with Thai Financial Reporting Standards</w:t>
      </w:r>
      <w:r w:rsidRPr="005D15AB">
        <w:rPr>
          <w:rFonts w:ascii="Arial" w:hAnsi="Arial" w:cs="Arial"/>
          <w:sz w:val="18"/>
          <w:szCs w:val="18"/>
        </w:rPr>
        <w:t xml:space="preserve"> </w:t>
      </w:r>
      <w:r w:rsidRPr="005D15AB">
        <w:rPr>
          <w:rFonts w:ascii="Arial" w:hAnsi="Arial" w:cs="Arial"/>
          <w:color w:val="000000"/>
          <w:sz w:val="18"/>
          <w:szCs w:val="18"/>
        </w:rPr>
        <w:t xml:space="preserve">(TFRSs). </w:t>
      </w:r>
    </w:p>
    <w:p w:rsidR="00AC35FF" w:rsidRPr="005D15AB" w:rsidRDefault="00AC35FF" w:rsidP="000D55B0">
      <w:pPr>
        <w:spacing w:after="0" w:line="240" w:lineRule="auto"/>
        <w:jc w:val="thaiDistribute"/>
        <w:rPr>
          <w:rFonts w:ascii="Arial" w:hAnsi="Arial" w:cs="Arial"/>
          <w:color w:val="000000"/>
          <w:sz w:val="18"/>
          <w:szCs w:val="18"/>
        </w:rPr>
      </w:pPr>
    </w:p>
    <w:p w:rsidR="009D6C4B" w:rsidRPr="005D15AB" w:rsidRDefault="009D6C4B" w:rsidP="000D55B0">
      <w:pPr>
        <w:pStyle w:val="Default"/>
        <w:jc w:val="thaiDistribute"/>
        <w:rPr>
          <w:b/>
          <w:bCs/>
          <w:sz w:val="18"/>
          <w:szCs w:val="18"/>
        </w:rPr>
      </w:pPr>
    </w:p>
    <w:p w:rsidR="009D6C4B" w:rsidRPr="005D15AB" w:rsidRDefault="009D6C4B" w:rsidP="00C46DA4">
      <w:pPr>
        <w:pStyle w:val="Default"/>
        <w:spacing w:line="360" w:lineRule="auto"/>
        <w:jc w:val="thaiDistribute"/>
        <w:rPr>
          <w:b/>
          <w:bCs/>
          <w:color w:val="CF4A02"/>
          <w:sz w:val="18"/>
          <w:szCs w:val="18"/>
        </w:rPr>
      </w:pPr>
      <w:r w:rsidRPr="005D15AB">
        <w:rPr>
          <w:b/>
          <w:bCs/>
          <w:color w:val="CF4A02"/>
          <w:sz w:val="18"/>
          <w:szCs w:val="18"/>
        </w:rPr>
        <w:t>What I have audited</w:t>
      </w:r>
    </w:p>
    <w:p w:rsidR="00BE407E" w:rsidRPr="005D15AB" w:rsidRDefault="00BE407E" w:rsidP="00BE407E">
      <w:pPr>
        <w:pStyle w:val="Default"/>
        <w:jc w:val="thaiDistribute"/>
        <w:rPr>
          <w:sz w:val="18"/>
          <w:szCs w:val="18"/>
        </w:rPr>
      </w:pPr>
      <w:r w:rsidRPr="005D15AB">
        <w:rPr>
          <w:sz w:val="18"/>
          <w:szCs w:val="18"/>
        </w:rPr>
        <w:t>The consolidated financial statements and the separate financial statements comprise:</w:t>
      </w:r>
    </w:p>
    <w:p w:rsidR="00B82BF0" w:rsidRPr="005D15AB" w:rsidRDefault="00B82BF0" w:rsidP="00BE407E">
      <w:pPr>
        <w:pStyle w:val="Default"/>
        <w:jc w:val="thaiDistribute"/>
        <w:rPr>
          <w:sz w:val="18"/>
          <w:szCs w:val="18"/>
        </w:rPr>
      </w:pPr>
    </w:p>
    <w:p w:rsidR="00FB32B9"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financial</w:t>
      </w:r>
      <w:r w:rsidR="00B82BF0" w:rsidRPr="005D15AB">
        <w:rPr>
          <w:sz w:val="18"/>
          <w:szCs w:val="18"/>
        </w:rPr>
        <w:t xml:space="preserve"> position as at 31 December </w:t>
      </w:r>
      <w:r w:rsidR="00F10777" w:rsidRPr="005D15AB">
        <w:rPr>
          <w:sz w:val="18"/>
          <w:szCs w:val="18"/>
        </w:rPr>
        <w:t>20</w:t>
      </w:r>
      <w:r w:rsidR="00A77A4D" w:rsidRPr="005D15AB">
        <w:rPr>
          <w:sz w:val="18"/>
          <w:szCs w:val="18"/>
        </w:rPr>
        <w:t>20</w:t>
      </w:r>
      <w:r w:rsidR="00FB32B9" w:rsidRPr="005D15AB">
        <w:rPr>
          <w:sz w:val="18"/>
          <w:szCs w:val="18"/>
        </w:rPr>
        <w:t>;</w:t>
      </w:r>
    </w:p>
    <w:p w:rsidR="00FB32B9" w:rsidRPr="005D15AB" w:rsidRDefault="00FB32B9"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income for the year then ended;</w:t>
      </w:r>
    </w:p>
    <w:p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comprehensive income for the year then ended;</w:t>
      </w:r>
    </w:p>
    <w:p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changes in equity for the year then ended;</w:t>
      </w:r>
    </w:p>
    <w:p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the consolidated and separate statements of cash flows for the year then end</w:t>
      </w:r>
      <w:r w:rsidR="007561C4" w:rsidRPr="005D15AB">
        <w:rPr>
          <w:sz w:val="18"/>
          <w:szCs w:val="18"/>
        </w:rPr>
        <w:t>ed</w:t>
      </w:r>
      <w:r w:rsidRPr="005D15AB">
        <w:rPr>
          <w:sz w:val="18"/>
          <w:szCs w:val="18"/>
        </w:rPr>
        <w:t>; and</w:t>
      </w:r>
    </w:p>
    <w:p w:rsidR="00BE407E" w:rsidRPr="005D15AB" w:rsidRDefault="00BE407E" w:rsidP="0083362E">
      <w:pPr>
        <w:pStyle w:val="Default"/>
        <w:numPr>
          <w:ilvl w:val="0"/>
          <w:numId w:val="1"/>
        </w:numPr>
        <w:tabs>
          <w:tab w:val="clear" w:pos="720"/>
          <w:tab w:val="num" w:pos="540"/>
        </w:tabs>
        <w:ind w:left="540"/>
        <w:jc w:val="thaiDistribute"/>
        <w:rPr>
          <w:sz w:val="18"/>
          <w:szCs w:val="18"/>
        </w:rPr>
      </w:pPr>
      <w:r w:rsidRPr="005D15AB">
        <w:rPr>
          <w:sz w:val="18"/>
          <w:szCs w:val="18"/>
        </w:rPr>
        <w:t xml:space="preserve">the notes to the consolidated and separate financial statements, </w:t>
      </w:r>
      <w:r w:rsidR="00207CA2" w:rsidRPr="005D15AB">
        <w:rPr>
          <w:sz w:val="18"/>
          <w:szCs w:val="18"/>
        </w:rPr>
        <w:t>which include significant accounting policies and other explanatory information</w:t>
      </w:r>
      <w:r w:rsidRPr="005D15AB">
        <w:rPr>
          <w:sz w:val="18"/>
          <w:szCs w:val="18"/>
        </w:rPr>
        <w:t>.</w:t>
      </w:r>
    </w:p>
    <w:p w:rsidR="00AC35FF" w:rsidRPr="005D15AB" w:rsidRDefault="00AC35FF" w:rsidP="000D55B0">
      <w:pPr>
        <w:pStyle w:val="Default"/>
        <w:jc w:val="thaiDistribute"/>
        <w:rPr>
          <w:sz w:val="18"/>
          <w:szCs w:val="18"/>
        </w:rPr>
      </w:pPr>
    </w:p>
    <w:p w:rsidR="00790517" w:rsidRPr="005D15AB" w:rsidRDefault="00790517" w:rsidP="000D55B0">
      <w:pPr>
        <w:pStyle w:val="Default"/>
        <w:jc w:val="thaiDistribute"/>
        <w:rPr>
          <w:b/>
          <w:bCs/>
          <w:sz w:val="18"/>
          <w:szCs w:val="18"/>
        </w:rPr>
      </w:pPr>
    </w:p>
    <w:p w:rsidR="00790517" w:rsidRPr="005D15AB" w:rsidRDefault="00790517" w:rsidP="00C46DA4">
      <w:pPr>
        <w:pStyle w:val="Default"/>
        <w:spacing w:line="360" w:lineRule="auto"/>
        <w:jc w:val="thaiDistribute"/>
        <w:rPr>
          <w:b/>
          <w:bCs/>
          <w:color w:val="CF4A02"/>
          <w:sz w:val="18"/>
          <w:szCs w:val="18"/>
        </w:rPr>
      </w:pPr>
      <w:r w:rsidRPr="005D15AB">
        <w:rPr>
          <w:b/>
          <w:bCs/>
          <w:color w:val="CF4A02"/>
          <w:sz w:val="18"/>
          <w:szCs w:val="18"/>
        </w:rPr>
        <w:t xml:space="preserve">Basis for </w:t>
      </w:r>
      <w:r w:rsidR="00E07F94" w:rsidRPr="005D15AB">
        <w:rPr>
          <w:b/>
          <w:bCs/>
          <w:color w:val="CF4A02"/>
          <w:sz w:val="18"/>
          <w:szCs w:val="18"/>
        </w:rPr>
        <w:t>o</w:t>
      </w:r>
      <w:r w:rsidRPr="005D15AB">
        <w:rPr>
          <w:b/>
          <w:bCs/>
          <w:color w:val="CF4A02"/>
          <w:sz w:val="18"/>
          <w:szCs w:val="18"/>
        </w:rPr>
        <w:t xml:space="preserve">pinion </w:t>
      </w:r>
    </w:p>
    <w:p w:rsidR="00790517" w:rsidRPr="005D15AB" w:rsidRDefault="00BC5269" w:rsidP="00BC5269">
      <w:pPr>
        <w:pStyle w:val="Default"/>
        <w:jc w:val="thaiDistribute"/>
        <w:rPr>
          <w:b/>
          <w:bCs/>
          <w:sz w:val="18"/>
          <w:szCs w:val="18"/>
        </w:rPr>
      </w:pPr>
      <w:r w:rsidRPr="005D15AB">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5D15AB">
        <w:rPr>
          <w:sz w:val="18"/>
          <w:szCs w:val="18"/>
        </w:rPr>
        <w:t>sufficient</w:t>
      </w:r>
      <w:proofErr w:type="gramEnd"/>
      <w:r w:rsidRPr="005D15AB">
        <w:rPr>
          <w:sz w:val="18"/>
          <w:szCs w:val="18"/>
        </w:rPr>
        <w:t xml:space="preserve"> and appropriate to provide a basis for my opinion.</w:t>
      </w:r>
    </w:p>
    <w:p w:rsidR="005D072C" w:rsidRPr="005D15AB" w:rsidRDefault="005D072C">
      <w:pPr>
        <w:rPr>
          <w:rFonts w:ascii="Arial" w:hAnsi="Arial" w:cs="Arial"/>
          <w:b/>
          <w:bCs/>
          <w:color w:val="C00000"/>
          <w:sz w:val="18"/>
          <w:szCs w:val="18"/>
        </w:rPr>
      </w:pPr>
    </w:p>
    <w:p w:rsidR="005D072C" w:rsidRPr="005D15AB" w:rsidRDefault="005D072C">
      <w:pPr>
        <w:rPr>
          <w:rFonts w:ascii="Arial" w:hAnsi="Arial" w:cs="Arial"/>
          <w:b/>
          <w:bCs/>
          <w:color w:val="C00000"/>
          <w:sz w:val="18"/>
          <w:szCs w:val="18"/>
        </w:rPr>
        <w:sectPr w:rsidR="005D072C" w:rsidRPr="005D15AB" w:rsidSect="00914AFB">
          <w:pgSz w:w="11909" w:h="16834" w:code="9"/>
          <w:pgMar w:top="3139" w:right="720" w:bottom="1584" w:left="1987" w:header="706" w:footer="706" w:gutter="0"/>
          <w:cols w:space="708"/>
          <w:docGrid w:linePitch="360"/>
        </w:sectPr>
      </w:pPr>
    </w:p>
    <w:p w:rsidR="00790517" w:rsidRPr="005D15AB" w:rsidRDefault="004E0135" w:rsidP="00C46DA4">
      <w:pPr>
        <w:pStyle w:val="Default"/>
        <w:spacing w:line="360" w:lineRule="auto"/>
        <w:jc w:val="thaiDistribute"/>
        <w:rPr>
          <w:b/>
          <w:bCs/>
          <w:color w:val="CF4A02"/>
          <w:sz w:val="18"/>
          <w:szCs w:val="18"/>
        </w:rPr>
      </w:pPr>
      <w:r w:rsidRPr="005D15AB">
        <w:rPr>
          <w:b/>
          <w:bCs/>
          <w:color w:val="CF4A02"/>
          <w:sz w:val="18"/>
          <w:szCs w:val="18"/>
        </w:rPr>
        <w:lastRenderedPageBreak/>
        <w:t xml:space="preserve">Key </w:t>
      </w:r>
      <w:r w:rsidR="00E07F94" w:rsidRPr="005D15AB">
        <w:rPr>
          <w:b/>
          <w:bCs/>
          <w:color w:val="CF4A02"/>
          <w:sz w:val="18"/>
          <w:szCs w:val="18"/>
        </w:rPr>
        <w:t>a</w:t>
      </w:r>
      <w:r w:rsidRPr="005D15AB">
        <w:rPr>
          <w:b/>
          <w:bCs/>
          <w:color w:val="CF4A02"/>
          <w:sz w:val="18"/>
          <w:szCs w:val="18"/>
        </w:rPr>
        <w:t xml:space="preserve">udit </w:t>
      </w:r>
      <w:r w:rsidR="00E07F94" w:rsidRPr="005D15AB">
        <w:rPr>
          <w:b/>
          <w:bCs/>
          <w:color w:val="CF4A02"/>
          <w:sz w:val="18"/>
          <w:szCs w:val="18"/>
        </w:rPr>
        <w:t>m</w:t>
      </w:r>
      <w:r w:rsidRPr="005D15AB">
        <w:rPr>
          <w:b/>
          <w:bCs/>
          <w:color w:val="CF4A02"/>
          <w:sz w:val="18"/>
          <w:szCs w:val="18"/>
        </w:rPr>
        <w:t>atters</w:t>
      </w:r>
    </w:p>
    <w:p w:rsidR="00747C86" w:rsidRPr="005D15AB" w:rsidRDefault="00747C86" w:rsidP="000D55B0">
      <w:pPr>
        <w:pStyle w:val="Default"/>
        <w:jc w:val="thaiDistribute"/>
        <w:rPr>
          <w:sz w:val="18"/>
          <w:szCs w:val="18"/>
        </w:rPr>
      </w:pPr>
      <w:r w:rsidRPr="005D15AB">
        <w:rPr>
          <w:sz w:val="18"/>
          <w:szCs w:val="18"/>
        </w:rPr>
        <w:t>Key audit matters are those matters that, in my professional judg</w:t>
      </w:r>
      <w:r w:rsidR="00207CA2" w:rsidRPr="005D15AB">
        <w:rPr>
          <w:sz w:val="18"/>
          <w:szCs w:val="18"/>
        </w:rPr>
        <w:t>e</w:t>
      </w:r>
      <w:r w:rsidRPr="005D15AB">
        <w:rPr>
          <w:sz w:val="18"/>
          <w:szCs w:val="18"/>
        </w:rPr>
        <w:t xml:space="preserve">ment, were of most significance in my audit of the </w:t>
      </w:r>
      <w:r w:rsidR="005237A1" w:rsidRPr="005D15AB">
        <w:rPr>
          <w:sz w:val="18"/>
          <w:szCs w:val="18"/>
        </w:rPr>
        <w:t xml:space="preserve">consolidated and </w:t>
      </w:r>
      <w:r w:rsidR="009D6C4B" w:rsidRPr="005D15AB">
        <w:rPr>
          <w:sz w:val="18"/>
          <w:szCs w:val="18"/>
        </w:rPr>
        <w:t xml:space="preserve">separate </w:t>
      </w:r>
      <w:r w:rsidRPr="005D15AB">
        <w:rPr>
          <w:sz w:val="18"/>
          <w:szCs w:val="18"/>
        </w:rPr>
        <w:t xml:space="preserve">financial statements of the current period. These matters were addressed in the context of my audit of the </w:t>
      </w:r>
      <w:r w:rsidR="005237A1" w:rsidRPr="005D15AB">
        <w:rPr>
          <w:sz w:val="18"/>
          <w:szCs w:val="18"/>
        </w:rPr>
        <w:t xml:space="preserve">consolidated and </w:t>
      </w:r>
      <w:r w:rsidR="009D6C4B" w:rsidRPr="005D15AB">
        <w:rPr>
          <w:sz w:val="18"/>
          <w:szCs w:val="18"/>
        </w:rPr>
        <w:t>s</w:t>
      </w:r>
      <w:r w:rsidR="00BF4028" w:rsidRPr="005D15AB">
        <w:rPr>
          <w:sz w:val="18"/>
          <w:szCs w:val="18"/>
        </w:rPr>
        <w:t>e</w:t>
      </w:r>
      <w:r w:rsidR="009D6C4B" w:rsidRPr="005D15AB">
        <w:rPr>
          <w:sz w:val="18"/>
          <w:szCs w:val="18"/>
        </w:rPr>
        <w:t>parate</w:t>
      </w:r>
      <w:r w:rsidR="005237A1" w:rsidRPr="005D15AB">
        <w:rPr>
          <w:sz w:val="18"/>
          <w:szCs w:val="18"/>
        </w:rPr>
        <w:t xml:space="preserve"> </w:t>
      </w:r>
      <w:r w:rsidRPr="005D15AB">
        <w:rPr>
          <w:sz w:val="18"/>
          <w:szCs w:val="18"/>
        </w:rPr>
        <w:t xml:space="preserve">financial </w:t>
      </w:r>
      <w:proofErr w:type="gramStart"/>
      <w:r w:rsidRPr="005D15AB">
        <w:rPr>
          <w:sz w:val="18"/>
          <w:szCs w:val="18"/>
        </w:rPr>
        <w:t>statements as a whole, and</w:t>
      </w:r>
      <w:proofErr w:type="gramEnd"/>
      <w:r w:rsidRPr="005D15AB">
        <w:rPr>
          <w:sz w:val="18"/>
          <w:szCs w:val="18"/>
        </w:rPr>
        <w:t xml:space="preserve"> in forming my opinion thereon, and I do not provide a sep</w:t>
      </w:r>
      <w:r w:rsidR="000D6649" w:rsidRPr="005D15AB">
        <w:rPr>
          <w:sz w:val="18"/>
          <w:szCs w:val="18"/>
        </w:rPr>
        <w:t>arate opinion on these matters.</w:t>
      </w:r>
    </w:p>
    <w:p w:rsidR="00620568" w:rsidRPr="005D15AB" w:rsidRDefault="00620568" w:rsidP="000D55B0">
      <w:pPr>
        <w:pStyle w:val="Default"/>
        <w:jc w:val="thaiDistribute"/>
        <w:rPr>
          <w:sz w:val="18"/>
          <w:szCs w:val="18"/>
        </w:rPr>
      </w:pPr>
    </w:p>
    <w:tbl>
      <w:tblPr>
        <w:tblW w:w="9180" w:type="dxa"/>
        <w:tblInd w:w="108" w:type="dxa"/>
        <w:tblLayout w:type="fixed"/>
        <w:tblLook w:val="04A0" w:firstRow="1" w:lastRow="0" w:firstColumn="1" w:lastColumn="0" w:noHBand="0" w:noVBand="1"/>
      </w:tblPr>
      <w:tblGrid>
        <w:gridCol w:w="4392"/>
        <w:gridCol w:w="4788"/>
      </w:tblGrid>
      <w:tr w:rsidR="00FA4F62" w:rsidRPr="005D15AB" w:rsidTr="00207CA2">
        <w:trPr>
          <w:trHeight w:val="346"/>
        </w:trPr>
        <w:tc>
          <w:tcPr>
            <w:tcW w:w="4392" w:type="dxa"/>
            <w:shd w:val="clear" w:color="auto" w:fill="FFA543"/>
            <w:vAlign w:val="center"/>
          </w:tcPr>
          <w:p w:rsidR="00747C86" w:rsidRPr="005D15AB" w:rsidRDefault="00A019FF" w:rsidP="00807EB5">
            <w:pPr>
              <w:pStyle w:val="Default"/>
              <w:jc w:val="center"/>
              <w:rPr>
                <w:b/>
                <w:bCs/>
                <w:color w:val="FFFFFF"/>
                <w:sz w:val="18"/>
                <w:szCs w:val="18"/>
              </w:rPr>
            </w:pPr>
            <w:r w:rsidRPr="005D15AB">
              <w:rPr>
                <w:b/>
                <w:bCs/>
                <w:color w:val="FFFFFF"/>
                <w:sz w:val="18"/>
                <w:szCs w:val="18"/>
              </w:rPr>
              <w:t>Key audit m</w:t>
            </w:r>
            <w:r w:rsidR="00747C86" w:rsidRPr="005D15AB">
              <w:rPr>
                <w:b/>
                <w:bCs/>
                <w:color w:val="FFFFFF"/>
                <w:sz w:val="18"/>
                <w:szCs w:val="18"/>
              </w:rPr>
              <w:t>atter</w:t>
            </w:r>
          </w:p>
        </w:tc>
        <w:tc>
          <w:tcPr>
            <w:tcW w:w="4788" w:type="dxa"/>
            <w:shd w:val="clear" w:color="auto" w:fill="FFA543"/>
            <w:vAlign w:val="center"/>
          </w:tcPr>
          <w:p w:rsidR="00747C86" w:rsidRPr="005D15AB" w:rsidRDefault="00747C86" w:rsidP="00907C12">
            <w:pPr>
              <w:pStyle w:val="Default"/>
              <w:jc w:val="center"/>
              <w:rPr>
                <w:b/>
                <w:bCs/>
                <w:color w:val="FFFFFF"/>
                <w:sz w:val="18"/>
                <w:szCs w:val="18"/>
              </w:rPr>
            </w:pPr>
            <w:r w:rsidRPr="005D15AB">
              <w:rPr>
                <w:b/>
                <w:bCs/>
                <w:color w:val="FFFFFF"/>
                <w:sz w:val="18"/>
                <w:szCs w:val="18"/>
              </w:rPr>
              <w:t xml:space="preserve">How my audit addressed the </w:t>
            </w:r>
            <w:r w:rsidR="00A019FF" w:rsidRPr="005D15AB">
              <w:rPr>
                <w:b/>
                <w:bCs/>
                <w:color w:val="FFFFFF"/>
                <w:sz w:val="18"/>
                <w:szCs w:val="18"/>
              </w:rPr>
              <w:t>k</w:t>
            </w:r>
            <w:r w:rsidRPr="005D15AB">
              <w:rPr>
                <w:b/>
                <w:bCs/>
                <w:color w:val="FFFFFF"/>
                <w:sz w:val="18"/>
                <w:szCs w:val="18"/>
              </w:rPr>
              <w:t xml:space="preserve">ey </w:t>
            </w:r>
            <w:r w:rsidR="00A019FF" w:rsidRPr="005D15AB">
              <w:rPr>
                <w:b/>
                <w:bCs/>
                <w:color w:val="FFFFFF"/>
                <w:sz w:val="18"/>
                <w:szCs w:val="18"/>
              </w:rPr>
              <w:t>a</w:t>
            </w:r>
            <w:r w:rsidRPr="005D15AB">
              <w:rPr>
                <w:b/>
                <w:bCs/>
                <w:color w:val="FFFFFF"/>
                <w:sz w:val="18"/>
                <w:szCs w:val="18"/>
              </w:rPr>
              <w:t xml:space="preserve">udit </w:t>
            </w:r>
            <w:r w:rsidR="00A019FF" w:rsidRPr="005D15AB">
              <w:rPr>
                <w:b/>
                <w:bCs/>
                <w:color w:val="FFFFFF"/>
                <w:sz w:val="18"/>
                <w:szCs w:val="18"/>
              </w:rPr>
              <w:t>m</w:t>
            </w:r>
            <w:r w:rsidRPr="005D15AB">
              <w:rPr>
                <w:b/>
                <w:bCs/>
                <w:color w:val="FFFFFF"/>
                <w:sz w:val="18"/>
                <w:szCs w:val="18"/>
              </w:rPr>
              <w:t>atter</w:t>
            </w:r>
          </w:p>
        </w:tc>
      </w:tr>
      <w:tr w:rsidR="00FA4F62" w:rsidRPr="005D15AB" w:rsidTr="00207CA2">
        <w:tc>
          <w:tcPr>
            <w:tcW w:w="4392" w:type="dxa"/>
            <w:shd w:val="clear" w:color="auto" w:fill="auto"/>
          </w:tcPr>
          <w:p w:rsidR="00071CDD" w:rsidRPr="005D15AB" w:rsidRDefault="00071CDD" w:rsidP="00807EB5">
            <w:pPr>
              <w:pStyle w:val="Default"/>
              <w:jc w:val="both"/>
              <w:rPr>
                <w:b/>
                <w:bCs/>
                <w:i/>
                <w:iCs/>
                <w:color w:val="auto"/>
                <w:sz w:val="18"/>
                <w:szCs w:val="18"/>
              </w:rPr>
            </w:pPr>
          </w:p>
          <w:p w:rsidR="00E416D7" w:rsidRPr="005D15AB" w:rsidRDefault="00E416D7" w:rsidP="00E416D7">
            <w:pPr>
              <w:pStyle w:val="Default"/>
              <w:jc w:val="both"/>
              <w:rPr>
                <w:b/>
                <w:bCs/>
                <w:i/>
                <w:iCs/>
                <w:color w:val="auto"/>
                <w:sz w:val="18"/>
                <w:szCs w:val="18"/>
                <w:lang w:val="en-US"/>
              </w:rPr>
            </w:pPr>
            <w:r w:rsidRPr="005D15AB">
              <w:rPr>
                <w:b/>
                <w:bCs/>
                <w:i/>
                <w:iCs/>
                <w:color w:val="auto"/>
                <w:sz w:val="18"/>
                <w:szCs w:val="18"/>
              </w:rPr>
              <w:t>Assessment of the impairment of goodwill and intangible assets</w:t>
            </w:r>
            <w:r w:rsidRPr="005D15AB">
              <w:rPr>
                <w:b/>
                <w:bCs/>
                <w:i/>
                <w:iCs/>
                <w:color w:val="auto"/>
                <w:sz w:val="18"/>
                <w:szCs w:val="18"/>
                <w:lang w:val="en-US"/>
              </w:rPr>
              <w:t xml:space="preserve"> with an indefinite useful life</w:t>
            </w:r>
          </w:p>
          <w:p w:rsidR="00B5586A" w:rsidRPr="005D15AB" w:rsidRDefault="00B5586A" w:rsidP="00807EB5">
            <w:pPr>
              <w:pStyle w:val="Default"/>
              <w:jc w:val="both"/>
              <w:rPr>
                <w:b/>
                <w:bCs/>
                <w:i/>
                <w:iCs/>
                <w:color w:val="auto"/>
                <w:sz w:val="18"/>
                <w:szCs w:val="18"/>
                <w:lang w:val="en-US"/>
              </w:rPr>
            </w:pPr>
          </w:p>
        </w:tc>
        <w:tc>
          <w:tcPr>
            <w:tcW w:w="4788" w:type="dxa"/>
            <w:shd w:val="clear" w:color="auto" w:fill="FAFAFA"/>
          </w:tcPr>
          <w:p w:rsidR="00747C86" w:rsidRPr="005D15AB" w:rsidRDefault="00747C86" w:rsidP="00907C12">
            <w:pPr>
              <w:pStyle w:val="Default"/>
              <w:jc w:val="both"/>
              <w:rPr>
                <w:color w:val="auto"/>
                <w:sz w:val="18"/>
                <w:szCs w:val="18"/>
                <w:lang w:val="en-US"/>
              </w:rPr>
            </w:pPr>
          </w:p>
        </w:tc>
      </w:tr>
      <w:tr w:rsidR="00410AA5" w:rsidRPr="005D15AB" w:rsidTr="00207CA2">
        <w:tc>
          <w:tcPr>
            <w:tcW w:w="4392" w:type="dxa"/>
            <w:shd w:val="clear" w:color="auto" w:fill="auto"/>
          </w:tcPr>
          <w:p w:rsidR="00410AA5" w:rsidRPr="005D15AB" w:rsidRDefault="00410AA5" w:rsidP="00410AA5">
            <w:pPr>
              <w:pStyle w:val="Default"/>
              <w:jc w:val="thaiDistribute"/>
              <w:rPr>
                <w:color w:val="auto"/>
                <w:sz w:val="18"/>
                <w:szCs w:val="18"/>
              </w:rPr>
            </w:pPr>
            <w:r w:rsidRPr="005D15AB">
              <w:rPr>
                <w:color w:val="auto"/>
                <w:sz w:val="18"/>
                <w:szCs w:val="18"/>
              </w:rPr>
              <w:t xml:space="preserve">As at 31 December 2020, the Group had goodwill of Baht 13,414 million and intangible assets with an indefinite useful life of Baht 13,480 million in the </w:t>
            </w:r>
            <w:r w:rsidRPr="005D15AB">
              <w:rPr>
                <w:color w:val="auto"/>
                <w:spacing w:val="-8"/>
                <w:sz w:val="18"/>
                <w:szCs w:val="18"/>
              </w:rPr>
              <w:t>consolidated statement of financial position, representing approximately 9.28% and 9.3</w:t>
            </w:r>
            <w:r w:rsidR="00B330CD" w:rsidRPr="005D15AB">
              <w:rPr>
                <w:color w:val="auto"/>
                <w:spacing w:val="-8"/>
                <w:sz w:val="18"/>
                <w:szCs w:val="18"/>
              </w:rPr>
              <w:t>2</w:t>
            </w:r>
            <w:r w:rsidRPr="005D15AB">
              <w:rPr>
                <w:color w:val="auto"/>
                <w:spacing w:val="-8"/>
                <w:sz w:val="18"/>
                <w:szCs w:val="18"/>
              </w:rPr>
              <w:t>% of total assets, as detailed in Note 21 and Note 20, respectively.</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r w:rsidRPr="005D15AB">
              <w:rPr>
                <w:color w:val="auto"/>
                <w:sz w:val="18"/>
                <w:szCs w:val="18"/>
              </w:rPr>
              <w:t>Under Thai Financial Reporting Standards, the Group is required to test the amount of goodwill and these intangible assets with an indefinite useful life for impairment annually. This testing includes identifying the Group’s cash generating units (CGUs) that relate to goodwill and these intangible assets with an indefinite useful life to assess the recoverable amount. Following impairment testing by the management, the Group didn’t recognise any impairment loss on these assets.</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r w:rsidRPr="005D15AB">
              <w:rPr>
                <w:color w:val="auto"/>
                <w:sz w:val="18"/>
                <w:szCs w:val="18"/>
              </w:rPr>
              <w:t>I focussed on this area because of the significant balance of goodwill and intangible assets with an indefinite useful life to the consolidated financial statements and the complexity of the assessment process of the recoverable amount. In addition, it is because the significant judg</w:t>
            </w:r>
            <w:r w:rsidR="00B330CD" w:rsidRPr="005D15AB">
              <w:rPr>
                <w:color w:val="auto"/>
                <w:sz w:val="18"/>
                <w:szCs w:val="18"/>
              </w:rPr>
              <w:t>e</w:t>
            </w:r>
            <w:r w:rsidRPr="005D15AB">
              <w:rPr>
                <w:color w:val="auto"/>
                <w:sz w:val="18"/>
                <w:szCs w:val="18"/>
              </w:rPr>
              <w:t>ments and assumptions involved are affected by unexpected future market or economic conditions. The Group assessed its recoverable amount based on the value-in-use of goodwill and these intangible assets with an indefinite useful life by using the discounted cash flow model. This requires management to make assumptions or judgments such as revenue growth rates and discount rates applied to cash flow projections.</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p>
        </w:tc>
        <w:tc>
          <w:tcPr>
            <w:tcW w:w="4788" w:type="dxa"/>
            <w:shd w:val="clear" w:color="auto" w:fill="FAFAFA"/>
          </w:tcPr>
          <w:p w:rsidR="00410AA5" w:rsidRPr="005D15AB" w:rsidRDefault="00410AA5" w:rsidP="00410AA5">
            <w:pPr>
              <w:pStyle w:val="Default"/>
              <w:jc w:val="thaiDistribute"/>
              <w:rPr>
                <w:color w:val="auto"/>
                <w:sz w:val="18"/>
                <w:szCs w:val="18"/>
              </w:rPr>
            </w:pPr>
            <w:r w:rsidRPr="005D15AB">
              <w:rPr>
                <w:color w:val="auto"/>
                <w:sz w:val="18"/>
                <w:szCs w:val="18"/>
              </w:rPr>
              <w:t>My audit procedures included:</w:t>
            </w:r>
          </w:p>
          <w:p w:rsidR="00410AA5" w:rsidRPr="005D15AB" w:rsidRDefault="00410AA5" w:rsidP="00410AA5">
            <w:pPr>
              <w:pStyle w:val="Default"/>
              <w:numPr>
                <w:ilvl w:val="0"/>
                <w:numId w:val="10"/>
              </w:numPr>
              <w:ind w:left="462"/>
              <w:jc w:val="thaiDistribute"/>
              <w:rPr>
                <w:color w:val="auto"/>
                <w:sz w:val="18"/>
                <w:szCs w:val="18"/>
              </w:rPr>
            </w:pPr>
            <w:r w:rsidRPr="005D15AB">
              <w:rPr>
                <w:color w:val="auto"/>
                <w:sz w:val="18"/>
                <w:szCs w:val="18"/>
              </w:rPr>
              <w:t xml:space="preserve">assessing if the management’s identification of the Group’s CGUs relating to goodwill and intangible </w:t>
            </w:r>
            <w:r w:rsidRPr="005D15AB">
              <w:rPr>
                <w:color w:val="auto"/>
                <w:spacing w:val="-8"/>
                <w:sz w:val="18"/>
                <w:szCs w:val="18"/>
              </w:rPr>
              <w:t>assets with an indefinite useful life were appropriate</w:t>
            </w:r>
          </w:p>
          <w:p w:rsidR="00410AA5" w:rsidRPr="005D15AB" w:rsidRDefault="00410AA5" w:rsidP="00410AA5">
            <w:pPr>
              <w:pStyle w:val="Default"/>
              <w:numPr>
                <w:ilvl w:val="0"/>
                <w:numId w:val="10"/>
              </w:numPr>
              <w:ind w:left="462"/>
              <w:jc w:val="thaiDistribute"/>
              <w:rPr>
                <w:color w:val="auto"/>
                <w:sz w:val="18"/>
                <w:szCs w:val="18"/>
              </w:rPr>
            </w:pPr>
            <w:r w:rsidRPr="005D15AB">
              <w:rPr>
                <w:color w:val="auto"/>
                <w:sz w:val="18"/>
                <w:szCs w:val="18"/>
              </w:rPr>
              <w:t xml:space="preserve">challenging management on the reliability of key estimations and evaluating if the assumptions and methodologies used by the Group in assessing the value-in-use were appropriate. </w:t>
            </w:r>
            <w:proofErr w:type="gramStart"/>
            <w:r w:rsidRPr="005D15AB">
              <w:rPr>
                <w:color w:val="auto"/>
                <w:sz w:val="18"/>
                <w:szCs w:val="18"/>
              </w:rPr>
              <w:t>In particular, I</w:t>
            </w:r>
            <w:proofErr w:type="gramEnd"/>
            <w:r w:rsidRPr="005D15AB">
              <w:rPr>
                <w:color w:val="auto"/>
                <w:sz w:val="18"/>
                <w:szCs w:val="18"/>
              </w:rPr>
              <w:t xml:space="preserve"> focussed on testing the assumptions related to the forecasted revenue growth, the applicable pre-tax discount rate using the weighted average cost of capital and other data used in management’s impairment analysis. I did these by comparing them to external and historical data such as external market growth expectations</w:t>
            </w:r>
          </w:p>
          <w:p w:rsidR="00410AA5" w:rsidRPr="005D15AB" w:rsidRDefault="00410AA5" w:rsidP="00410AA5">
            <w:pPr>
              <w:pStyle w:val="Default"/>
              <w:numPr>
                <w:ilvl w:val="0"/>
                <w:numId w:val="10"/>
              </w:numPr>
              <w:ind w:left="462"/>
              <w:jc w:val="thaiDistribute"/>
              <w:rPr>
                <w:color w:val="auto"/>
                <w:spacing w:val="-8"/>
                <w:sz w:val="18"/>
                <w:szCs w:val="18"/>
              </w:rPr>
            </w:pPr>
            <w:r w:rsidRPr="005D15AB">
              <w:rPr>
                <w:color w:val="auto"/>
                <w:spacing w:val="-8"/>
                <w:sz w:val="18"/>
                <w:szCs w:val="18"/>
              </w:rPr>
              <w:t>assessing the cash flow projections, mainly for key CGUs. This included assessing the reasonableness of management’s estimates by comparing them with actual results to see whether the variances would affect the current year estimation and evaluating future business plans by assessing the current and future markets if they’re consistent with the current business plan, and</w:t>
            </w:r>
          </w:p>
          <w:p w:rsidR="00410AA5" w:rsidRPr="005D15AB" w:rsidRDefault="00410AA5" w:rsidP="00410AA5">
            <w:pPr>
              <w:pStyle w:val="Default"/>
              <w:numPr>
                <w:ilvl w:val="0"/>
                <w:numId w:val="10"/>
              </w:numPr>
              <w:ind w:left="462"/>
              <w:jc w:val="thaiDistribute"/>
              <w:rPr>
                <w:color w:val="auto"/>
                <w:spacing w:val="-8"/>
                <w:sz w:val="18"/>
                <w:szCs w:val="18"/>
              </w:rPr>
            </w:pPr>
            <w:r w:rsidRPr="005D15AB">
              <w:rPr>
                <w:color w:val="auto"/>
                <w:spacing w:val="-8"/>
                <w:sz w:val="18"/>
                <w:szCs w:val="18"/>
              </w:rPr>
              <w:t xml:space="preserve">analysing CGU value assumption sensitivity and evaluating whether a possible change in assumptions could cause the recoverable amount to be less than </w:t>
            </w:r>
            <w:proofErr w:type="gramStart"/>
            <w:r w:rsidRPr="005D15AB">
              <w:rPr>
                <w:color w:val="auto"/>
                <w:spacing w:val="-8"/>
                <w:sz w:val="18"/>
                <w:szCs w:val="18"/>
              </w:rPr>
              <w:t>its</w:t>
            </w:r>
            <w:proofErr w:type="gramEnd"/>
            <w:r w:rsidRPr="005D15AB">
              <w:rPr>
                <w:color w:val="auto"/>
                <w:spacing w:val="-8"/>
                <w:sz w:val="18"/>
                <w:szCs w:val="18"/>
              </w:rPr>
              <w:t xml:space="preserve"> carrying amount.</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r w:rsidRPr="005D15AB">
              <w:rPr>
                <w:color w:val="auto"/>
                <w:spacing w:val="-2"/>
                <w:sz w:val="18"/>
                <w:szCs w:val="18"/>
              </w:rPr>
              <w:t xml:space="preserve">Based on my procedures, I considered that the </w:t>
            </w:r>
            <w:r w:rsidRPr="005D15AB">
              <w:rPr>
                <w:color w:val="auto"/>
                <w:sz w:val="18"/>
                <w:szCs w:val="18"/>
              </w:rPr>
              <w:t xml:space="preserve">key assumptions used in impairment testing were within </w:t>
            </w:r>
            <w:r w:rsidRPr="005D15AB">
              <w:rPr>
                <w:color w:val="auto"/>
                <w:sz w:val="18"/>
                <w:szCs w:val="18"/>
              </w:rPr>
              <w:br/>
              <w:t xml:space="preserve">a reasonable range based on the supporting evidence. </w:t>
            </w:r>
          </w:p>
          <w:p w:rsidR="00410AA5" w:rsidRPr="005D15AB" w:rsidRDefault="00410AA5" w:rsidP="00410AA5">
            <w:pPr>
              <w:pStyle w:val="Default"/>
              <w:jc w:val="thaiDistribute"/>
              <w:rPr>
                <w:color w:val="auto"/>
                <w:sz w:val="18"/>
                <w:szCs w:val="18"/>
                <w:lang w:val="en-US"/>
              </w:rPr>
            </w:pPr>
          </w:p>
        </w:tc>
      </w:tr>
      <w:tr w:rsidR="00410AA5" w:rsidRPr="005D15AB" w:rsidTr="00207CA2">
        <w:tc>
          <w:tcPr>
            <w:tcW w:w="4392" w:type="dxa"/>
            <w:tcBorders>
              <w:bottom w:val="dotted" w:sz="4" w:space="0" w:color="FFA543"/>
            </w:tcBorders>
            <w:shd w:val="clear" w:color="auto" w:fill="auto"/>
          </w:tcPr>
          <w:p w:rsidR="00410AA5" w:rsidRPr="005D15AB" w:rsidRDefault="00410AA5" w:rsidP="00410AA5">
            <w:pPr>
              <w:pStyle w:val="Default"/>
              <w:jc w:val="thaiDistribute"/>
              <w:rPr>
                <w:color w:val="auto"/>
                <w:sz w:val="18"/>
                <w:szCs w:val="18"/>
              </w:rPr>
            </w:pPr>
          </w:p>
        </w:tc>
        <w:tc>
          <w:tcPr>
            <w:tcW w:w="4788" w:type="dxa"/>
            <w:tcBorders>
              <w:bottom w:val="dotted" w:sz="4" w:space="0" w:color="FFA543"/>
            </w:tcBorders>
            <w:shd w:val="clear" w:color="auto" w:fill="FAFAFA"/>
          </w:tcPr>
          <w:p w:rsidR="00410AA5" w:rsidRPr="005D15AB" w:rsidRDefault="00410AA5" w:rsidP="00410AA5">
            <w:pPr>
              <w:pStyle w:val="Default"/>
              <w:jc w:val="thaiDistribute"/>
              <w:rPr>
                <w:color w:val="auto"/>
                <w:sz w:val="18"/>
                <w:szCs w:val="18"/>
              </w:rPr>
            </w:pPr>
          </w:p>
        </w:tc>
      </w:tr>
    </w:tbl>
    <w:p w:rsidR="00EA0AD0" w:rsidRPr="005D15AB" w:rsidRDefault="00EA0AD0">
      <w:pPr>
        <w:rPr>
          <w:rFonts w:ascii="Arial" w:hAnsi="Arial" w:cs="Arial"/>
          <w:sz w:val="18"/>
          <w:szCs w:val="18"/>
        </w:rPr>
      </w:pPr>
    </w:p>
    <w:p w:rsidR="00EA0AD0" w:rsidRPr="005D15AB" w:rsidRDefault="00EA0AD0">
      <w:pPr>
        <w:rPr>
          <w:rFonts w:ascii="Arial" w:hAnsi="Arial" w:cs="Arial"/>
          <w:sz w:val="18"/>
          <w:szCs w:val="18"/>
        </w:rPr>
        <w:sectPr w:rsidR="00EA0AD0" w:rsidRPr="005D15AB" w:rsidSect="00914AFB">
          <w:headerReference w:type="default" r:id="rId9"/>
          <w:pgSz w:w="11909" w:h="16834" w:code="9"/>
          <w:pgMar w:top="2880" w:right="720" w:bottom="720"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392"/>
        <w:gridCol w:w="4788"/>
      </w:tblGrid>
      <w:tr w:rsidR="00141DC9" w:rsidRPr="005D15AB" w:rsidTr="00207CA2">
        <w:trPr>
          <w:trHeight w:val="346"/>
        </w:trPr>
        <w:tc>
          <w:tcPr>
            <w:tcW w:w="4392" w:type="dxa"/>
            <w:shd w:val="clear" w:color="auto" w:fill="FFA543"/>
            <w:vAlign w:val="center"/>
          </w:tcPr>
          <w:p w:rsidR="00141DC9" w:rsidRPr="005D15AB" w:rsidRDefault="00141DC9" w:rsidP="0042146F">
            <w:pPr>
              <w:pStyle w:val="Default"/>
              <w:jc w:val="center"/>
              <w:rPr>
                <w:b/>
                <w:bCs/>
                <w:color w:val="FFFFFF"/>
                <w:sz w:val="18"/>
                <w:szCs w:val="18"/>
              </w:rPr>
            </w:pPr>
            <w:r w:rsidRPr="005D15AB">
              <w:rPr>
                <w:b/>
                <w:bCs/>
                <w:color w:val="FFFFFF"/>
                <w:sz w:val="18"/>
                <w:szCs w:val="18"/>
              </w:rPr>
              <w:lastRenderedPageBreak/>
              <w:t>Key audit matter</w:t>
            </w:r>
          </w:p>
        </w:tc>
        <w:tc>
          <w:tcPr>
            <w:tcW w:w="4788" w:type="dxa"/>
            <w:shd w:val="clear" w:color="auto" w:fill="FFA543"/>
            <w:vAlign w:val="center"/>
          </w:tcPr>
          <w:p w:rsidR="00141DC9" w:rsidRPr="005D15AB" w:rsidRDefault="00141DC9" w:rsidP="0042146F">
            <w:pPr>
              <w:pStyle w:val="Default"/>
              <w:jc w:val="center"/>
              <w:rPr>
                <w:b/>
                <w:bCs/>
                <w:color w:val="FFFFFF"/>
                <w:sz w:val="18"/>
                <w:szCs w:val="18"/>
              </w:rPr>
            </w:pPr>
            <w:r w:rsidRPr="005D15AB">
              <w:rPr>
                <w:b/>
                <w:bCs/>
                <w:color w:val="FFFFFF"/>
                <w:sz w:val="18"/>
                <w:szCs w:val="18"/>
              </w:rPr>
              <w:t>How my audit addressed the key audit matter</w:t>
            </w:r>
          </w:p>
        </w:tc>
      </w:tr>
      <w:tr w:rsidR="00D54A11" w:rsidRPr="005D15AB" w:rsidTr="00207CA2">
        <w:tc>
          <w:tcPr>
            <w:tcW w:w="4392" w:type="dxa"/>
            <w:shd w:val="clear" w:color="auto" w:fill="auto"/>
          </w:tcPr>
          <w:p w:rsidR="00D54A11" w:rsidRPr="005D15AB" w:rsidRDefault="00D54A11" w:rsidP="00D54A11">
            <w:pPr>
              <w:pStyle w:val="Default"/>
              <w:jc w:val="both"/>
              <w:rPr>
                <w:b/>
                <w:bCs/>
                <w:i/>
                <w:iCs/>
                <w:color w:val="auto"/>
                <w:sz w:val="18"/>
                <w:szCs w:val="18"/>
              </w:rPr>
            </w:pPr>
          </w:p>
          <w:p w:rsidR="00D54A11" w:rsidRPr="005D15AB" w:rsidRDefault="00D54A11" w:rsidP="00D54A11">
            <w:pPr>
              <w:pStyle w:val="Default"/>
              <w:jc w:val="thaiDistribute"/>
              <w:rPr>
                <w:b/>
                <w:bCs/>
                <w:i/>
                <w:iCs/>
                <w:color w:val="auto"/>
                <w:sz w:val="18"/>
                <w:szCs w:val="18"/>
              </w:rPr>
            </w:pPr>
            <w:r w:rsidRPr="005D15AB">
              <w:rPr>
                <w:b/>
                <w:bCs/>
                <w:i/>
                <w:iCs/>
                <w:color w:val="auto"/>
                <w:sz w:val="18"/>
                <w:szCs w:val="18"/>
              </w:rPr>
              <w:t>Fair valuation of</w:t>
            </w:r>
            <w:r w:rsidR="00410AA5" w:rsidRPr="005D15AB">
              <w:rPr>
                <w:b/>
                <w:bCs/>
                <w:i/>
                <w:iCs/>
                <w:color w:val="auto"/>
                <w:sz w:val="18"/>
                <w:szCs w:val="18"/>
              </w:rPr>
              <w:t xml:space="preserve"> long-term investment</w:t>
            </w:r>
            <w:r w:rsidRPr="005D15AB">
              <w:rPr>
                <w:b/>
                <w:bCs/>
                <w:i/>
                <w:iCs/>
                <w:color w:val="auto"/>
                <w:sz w:val="18"/>
                <w:szCs w:val="18"/>
              </w:rPr>
              <w:t xml:space="preserve"> measured at fair value through profit or loss and derivatives</w:t>
            </w:r>
          </w:p>
          <w:p w:rsidR="00D54A11" w:rsidRPr="005D15AB" w:rsidRDefault="00D54A11" w:rsidP="00D54A11">
            <w:pPr>
              <w:pStyle w:val="Default"/>
              <w:jc w:val="both"/>
              <w:rPr>
                <w:b/>
                <w:bCs/>
                <w:i/>
                <w:iCs/>
                <w:color w:val="auto"/>
                <w:sz w:val="18"/>
                <w:szCs w:val="18"/>
              </w:rPr>
            </w:pPr>
          </w:p>
        </w:tc>
        <w:tc>
          <w:tcPr>
            <w:tcW w:w="4788" w:type="dxa"/>
            <w:shd w:val="clear" w:color="auto" w:fill="FAFAFA"/>
          </w:tcPr>
          <w:p w:rsidR="00D54A11" w:rsidRPr="005D15AB" w:rsidRDefault="00D54A11" w:rsidP="00D54A11">
            <w:pPr>
              <w:pStyle w:val="Default"/>
              <w:jc w:val="thaiDistribute"/>
              <w:rPr>
                <w:color w:val="auto"/>
                <w:sz w:val="18"/>
                <w:szCs w:val="18"/>
              </w:rPr>
            </w:pPr>
          </w:p>
        </w:tc>
      </w:tr>
      <w:tr w:rsidR="00410AA5" w:rsidRPr="005D15AB" w:rsidTr="00207CA2">
        <w:tc>
          <w:tcPr>
            <w:tcW w:w="4392" w:type="dxa"/>
            <w:shd w:val="clear" w:color="auto" w:fill="auto"/>
          </w:tcPr>
          <w:p w:rsidR="00410AA5" w:rsidRPr="005D15AB" w:rsidRDefault="00410AA5" w:rsidP="00410AA5">
            <w:pPr>
              <w:pStyle w:val="Default"/>
              <w:jc w:val="thaiDistribute"/>
              <w:rPr>
                <w:color w:val="auto"/>
                <w:sz w:val="18"/>
                <w:szCs w:val="18"/>
              </w:rPr>
            </w:pPr>
            <w:r w:rsidRPr="005D15AB">
              <w:rPr>
                <w:color w:val="auto"/>
                <w:sz w:val="18"/>
                <w:szCs w:val="18"/>
              </w:rPr>
              <w:t>As at 31 December 2020, the Group had a long-term investment measured at fair value through profit or loss (FVPL) of Baht 12,369 million and derivative assets of Baht 3,057 million in the consolidated statement of financial position, representing approximately 10.67% of total assets. There are also derivative liabilities of Baht 999 million in the consolidated statement of financial position, representing approximately 1.12% of total liabilities. This is as detailed in Note 7.</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r w:rsidRPr="005D15AB">
              <w:rPr>
                <w:color w:val="auto"/>
                <w:sz w:val="18"/>
                <w:szCs w:val="18"/>
              </w:rPr>
              <w:t xml:space="preserve">The long-term investment measured at FVPL is a debt instrument and was measured using significant input from unobservable market data (a level 3 input). The management also adjusted the discount rate to reflect the risk and nature of the debt instrument. The derivatives are mostly forward contracts, which were measured using observable market data (a level 2 input). </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rPr>
            </w:pPr>
            <w:r w:rsidRPr="005D15AB">
              <w:rPr>
                <w:color w:val="auto"/>
                <w:sz w:val="18"/>
                <w:szCs w:val="18"/>
              </w:rPr>
              <w:t>I focussed on the long-term investment measured at FVPL and derivatives measured at fair value because of the significant balances in the consolidated financial statements and the complexity of their fair value assessment. Using unobservable market data (Level 3) to measure fair value, management’s judgement is required to adjust the data to reflect the risk and nature of the debt instrument, which affects the Group’s financial performance.</w:t>
            </w:r>
          </w:p>
          <w:p w:rsidR="00410AA5" w:rsidRPr="005D15AB" w:rsidRDefault="00410AA5" w:rsidP="00410AA5">
            <w:pPr>
              <w:pStyle w:val="Default"/>
              <w:jc w:val="thaiDistribute"/>
              <w:rPr>
                <w:color w:val="auto"/>
                <w:sz w:val="18"/>
                <w:szCs w:val="18"/>
              </w:rPr>
            </w:pPr>
          </w:p>
        </w:tc>
        <w:tc>
          <w:tcPr>
            <w:tcW w:w="4788" w:type="dxa"/>
            <w:shd w:val="clear" w:color="auto" w:fill="FAFAFA"/>
          </w:tcPr>
          <w:p w:rsidR="00410AA5" w:rsidRPr="005D15AB" w:rsidRDefault="00410AA5" w:rsidP="00410AA5">
            <w:pPr>
              <w:pStyle w:val="Default"/>
              <w:jc w:val="thaiDistribute"/>
              <w:rPr>
                <w:color w:val="auto"/>
                <w:sz w:val="18"/>
                <w:szCs w:val="18"/>
              </w:rPr>
            </w:pPr>
            <w:r w:rsidRPr="005D15AB">
              <w:rPr>
                <w:color w:val="auto"/>
                <w:sz w:val="18"/>
                <w:szCs w:val="18"/>
              </w:rPr>
              <w:t>My audit procedures included:</w:t>
            </w:r>
          </w:p>
          <w:p w:rsidR="00410AA5" w:rsidRPr="005D15AB" w:rsidRDefault="00410AA5" w:rsidP="00410AA5">
            <w:pPr>
              <w:pStyle w:val="Default"/>
              <w:numPr>
                <w:ilvl w:val="0"/>
                <w:numId w:val="11"/>
              </w:numPr>
              <w:ind w:left="462"/>
              <w:jc w:val="thaiDistribute"/>
              <w:rPr>
                <w:color w:val="auto"/>
                <w:sz w:val="18"/>
                <w:szCs w:val="18"/>
              </w:rPr>
            </w:pPr>
            <w:r w:rsidRPr="005D15AB">
              <w:rPr>
                <w:color w:val="auto"/>
                <w:spacing w:val="-8"/>
                <w:sz w:val="18"/>
                <w:szCs w:val="18"/>
              </w:rPr>
              <w:t>assessing the reasonableness of the methodologies</w:t>
            </w:r>
            <w:r w:rsidRPr="005D15AB">
              <w:rPr>
                <w:color w:val="auto"/>
                <w:sz w:val="18"/>
                <w:szCs w:val="18"/>
              </w:rPr>
              <w:t xml:space="preserve"> used, the assumptions and the management’s judgement made for the long-term investment measured at FVPL which applied unobservable market data (Level 3), i.e. yield to maturity by comparing with the marketable debt instruments with the comparable risk from reliable source; and</w:t>
            </w:r>
          </w:p>
          <w:p w:rsidR="00410AA5" w:rsidRPr="005D15AB" w:rsidRDefault="00410AA5" w:rsidP="00410AA5">
            <w:pPr>
              <w:pStyle w:val="Default"/>
              <w:numPr>
                <w:ilvl w:val="0"/>
                <w:numId w:val="11"/>
              </w:numPr>
              <w:ind w:left="462"/>
              <w:jc w:val="thaiDistribute"/>
              <w:rPr>
                <w:color w:val="auto"/>
                <w:sz w:val="18"/>
                <w:szCs w:val="18"/>
              </w:rPr>
            </w:pPr>
            <w:r w:rsidRPr="005D15AB">
              <w:rPr>
                <w:color w:val="auto"/>
                <w:sz w:val="18"/>
                <w:szCs w:val="18"/>
              </w:rPr>
              <w:t>assessing the reasonableness of the fair value of derivative which derived from observable market data (Level 2) by comparing them with the data calculated from the market price of these derivatives from reliable source, such as foreign exchange rates and interest rates of financial liabilities.</w:t>
            </w:r>
          </w:p>
          <w:p w:rsidR="00410AA5" w:rsidRPr="005D15AB" w:rsidRDefault="00410AA5" w:rsidP="00410AA5">
            <w:pPr>
              <w:pStyle w:val="Default"/>
              <w:jc w:val="thaiDistribute"/>
              <w:rPr>
                <w:color w:val="auto"/>
                <w:sz w:val="18"/>
                <w:szCs w:val="18"/>
              </w:rPr>
            </w:pPr>
            <w:r w:rsidRPr="005D15AB">
              <w:rPr>
                <w:color w:val="auto"/>
                <w:sz w:val="18"/>
                <w:szCs w:val="18"/>
              </w:rPr>
              <w:t xml:space="preserve"> </w:t>
            </w:r>
          </w:p>
          <w:p w:rsidR="00410AA5" w:rsidRPr="005D15AB" w:rsidRDefault="00410AA5" w:rsidP="00410AA5">
            <w:pPr>
              <w:pStyle w:val="Default"/>
              <w:jc w:val="thaiDistribute"/>
              <w:rPr>
                <w:color w:val="auto"/>
                <w:sz w:val="18"/>
                <w:szCs w:val="18"/>
              </w:rPr>
            </w:pPr>
            <w:r w:rsidRPr="005D15AB">
              <w:rPr>
                <w:color w:val="auto"/>
                <w:sz w:val="18"/>
                <w:szCs w:val="18"/>
              </w:rPr>
              <w:t>Based on my procedures, I considered the assumptions used in the fair valuation of the long-term investment measured at FVPL and derivative to be within a reasonable range based on the supporting evidence.</w:t>
            </w:r>
          </w:p>
          <w:p w:rsidR="00410AA5" w:rsidRPr="005D15AB" w:rsidRDefault="00410AA5" w:rsidP="00410AA5">
            <w:pPr>
              <w:pStyle w:val="Default"/>
              <w:jc w:val="thaiDistribute"/>
              <w:rPr>
                <w:color w:val="auto"/>
                <w:sz w:val="18"/>
                <w:szCs w:val="18"/>
              </w:rPr>
            </w:pPr>
          </w:p>
          <w:p w:rsidR="00410AA5" w:rsidRPr="005D15AB" w:rsidRDefault="00410AA5" w:rsidP="00410AA5">
            <w:pPr>
              <w:pStyle w:val="Default"/>
              <w:jc w:val="thaiDistribute"/>
              <w:rPr>
                <w:color w:val="auto"/>
                <w:sz w:val="18"/>
                <w:szCs w:val="18"/>
                <w:lang w:val="en"/>
              </w:rPr>
            </w:pPr>
          </w:p>
        </w:tc>
      </w:tr>
      <w:tr w:rsidR="00410AA5" w:rsidRPr="005D15AB" w:rsidTr="00207CA2">
        <w:tc>
          <w:tcPr>
            <w:tcW w:w="4392" w:type="dxa"/>
            <w:tcBorders>
              <w:bottom w:val="single" w:sz="4" w:space="0" w:color="FFA543"/>
            </w:tcBorders>
            <w:shd w:val="clear" w:color="auto" w:fill="auto"/>
          </w:tcPr>
          <w:p w:rsidR="00410AA5" w:rsidRPr="005D15AB" w:rsidRDefault="00410AA5" w:rsidP="00410AA5">
            <w:pPr>
              <w:pStyle w:val="Default"/>
              <w:jc w:val="thaiDistribute"/>
              <w:rPr>
                <w:color w:val="auto"/>
                <w:sz w:val="18"/>
                <w:szCs w:val="18"/>
              </w:rPr>
            </w:pPr>
          </w:p>
        </w:tc>
        <w:tc>
          <w:tcPr>
            <w:tcW w:w="4788" w:type="dxa"/>
            <w:tcBorders>
              <w:bottom w:val="single" w:sz="4" w:space="0" w:color="FFA543"/>
            </w:tcBorders>
            <w:shd w:val="clear" w:color="auto" w:fill="FAFAFA"/>
          </w:tcPr>
          <w:p w:rsidR="00410AA5" w:rsidRPr="005D15AB" w:rsidRDefault="00410AA5" w:rsidP="00410AA5">
            <w:pPr>
              <w:pStyle w:val="Default"/>
              <w:jc w:val="thaiDistribute"/>
              <w:rPr>
                <w:color w:val="auto"/>
                <w:sz w:val="18"/>
                <w:szCs w:val="18"/>
              </w:rPr>
            </w:pPr>
          </w:p>
        </w:tc>
      </w:tr>
    </w:tbl>
    <w:p w:rsidR="00EA0AD0" w:rsidRPr="005D15AB" w:rsidRDefault="00EA0AD0" w:rsidP="000D55B0">
      <w:pPr>
        <w:pStyle w:val="Header"/>
        <w:jc w:val="both"/>
        <w:rPr>
          <w:rFonts w:ascii="Arial" w:hAnsi="Arial" w:cs="Arial"/>
          <w:b/>
          <w:bCs/>
          <w:sz w:val="18"/>
          <w:szCs w:val="18"/>
        </w:rPr>
      </w:pPr>
    </w:p>
    <w:p w:rsidR="005B49D6" w:rsidRPr="005D15AB" w:rsidRDefault="00E07F94" w:rsidP="00207CA2">
      <w:pPr>
        <w:pStyle w:val="Header"/>
        <w:autoSpaceDE w:val="0"/>
        <w:autoSpaceDN w:val="0"/>
        <w:adjustRightInd w:val="0"/>
        <w:jc w:val="thaiDistribute"/>
        <w:rPr>
          <w:rFonts w:ascii="Arial" w:hAnsi="Arial" w:cs="Arial"/>
          <w:b/>
          <w:bCs/>
          <w:color w:val="CF4A02"/>
          <w:sz w:val="18"/>
          <w:szCs w:val="18"/>
        </w:rPr>
      </w:pPr>
      <w:r w:rsidRPr="005D15AB">
        <w:rPr>
          <w:rFonts w:ascii="Arial" w:hAnsi="Arial" w:cs="Arial"/>
          <w:b/>
          <w:bCs/>
          <w:color w:val="CF4A02"/>
          <w:sz w:val="18"/>
          <w:szCs w:val="18"/>
        </w:rPr>
        <w:t>Other i</w:t>
      </w:r>
      <w:r w:rsidR="00790517" w:rsidRPr="005D15AB">
        <w:rPr>
          <w:rFonts w:ascii="Arial" w:hAnsi="Arial" w:cs="Arial"/>
          <w:b/>
          <w:bCs/>
          <w:color w:val="CF4A02"/>
          <w:sz w:val="18"/>
          <w:szCs w:val="18"/>
        </w:rPr>
        <w:t>nformation</w:t>
      </w:r>
    </w:p>
    <w:p w:rsidR="00207CA2" w:rsidRPr="005D15AB" w:rsidRDefault="00207CA2" w:rsidP="00207CA2">
      <w:pPr>
        <w:pStyle w:val="Header"/>
        <w:autoSpaceDE w:val="0"/>
        <w:autoSpaceDN w:val="0"/>
        <w:adjustRightInd w:val="0"/>
        <w:jc w:val="thaiDistribute"/>
        <w:rPr>
          <w:rFonts w:ascii="Arial" w:hAnsi="Arial" w:cs="Arial"/>
          <w:b/>
          <w:bCs/>
          <w:color w:val="CF4A02"/>
          <w:sz w:val="12"/>
          <w:szCs w:val="12"/>
        </w:rPr>
      </w:pPr>
    </w:p>
    <w:p w:rsidR="00747C86" w:rsidRPr="005D15AB" w:rsidRDefault="00922275" w:rsidP="000D55B0">
      <w:pPr>
        <w:pStyle w:val="Default"/>
        <w:jc w:val="thaiDistribute"/>
        <w:rPr>
          <w:sz w:val="18"/>
          <w:szCs w:val="18"/>
        </w:rPr>
      </w:pPr>
      <w:r w:rsidRPr="005D15AB">
        <w:rPr>
          <w:sz w:val="18"/>
          <w:szCs w:val="18"/>
        </w:rPr>
        <w:t xml:space="preserve">The directors are </w:t>
      </w:r>
      <w:r w:rsidR="00747C86" w:rsidRPr="005D15AB">
        <w:rPr>
          <w:sz w:val="18"/>
          <w:szCs w:val="18"/>
        </w:rPr>
        <w:t xml:space="preserve">responsible for the other information. The other information comprises the information included in the annual </w:t>
      </w:r>
      <w:r w:rsidR="0000610D" w:rsidRPr="005D15AB">
        <w:rPr>
          <w:sz w:val="18"/>
          <w:szCs w:val="18"/>
        </w:rPr>
        <w:t>report but</w:t>
      </w:r>
      <w:r w:rsidR="00747C86" w:rsidRPr="005D15AB">
        <w:rPr>
          <w:sz w:val="18"/>
          <w:szCs w:val="18"/>
        </w:rPr>
        <w:t xml:space="preserve"> does not include the </w:t>
      </w:r>
      <w:r w:rsidR="005237A1" w:rsidRPr="005D15AB">
        <w:rPr>
          <w:sz w:val="18"/>
          <w:szCs w:val="18"/>
        </w:rPr>
        <w:t>consolidated and</w:t>
      </w:r>
      <w:r w:rsidR="00E507A3" w:rsidRPr="005D15AB">
        <w:rPr>
          <w:sz w:val="18"/>
          <w:szCs w:val="18"/>
        </w:rPr>
        <w:t xml:space="preserve"> separate</w:t>
      </w:r>
      <w:r w:rsidR="005237A1" w:rsidRPr="005D15AB">
        <w:rPr>
          <w:sz w:val="18"/>
          <w:szCs w:val="18"/>
        </w:rPr>
        <w:t xml:space="preserve"> </w:t>
      </w:r>
      <w:r w:rsidR="00747C86" w:rsidRPr="005D15AB">
        <w:rPr>
          <w:sz w:val="18"/>
          <w:szCs w:val="18"/>
        </w:rPr>
        <w:t>financial statements and my auditor’s report thereon</w:t>
      </w:r>
      <w:r w:rsidR="00B91979" w:rsidRPr="005D15AB">
        <w:rPr>
          <w:sz w:val="18"/>
          <w:szCs w:val="18"/>
        </w:rPr>
        <w:t>.</w:t>
      </w:r>
      <w:r w:rsidR="005237A1" w:rsidRPr="005D15AB">
        <w:rPr>
          <w:rFonts w:eastAsia="Times New Roman"/>
          <w:kern w:val="24"/>
          <w:sz w:val="18"/>
          <w:szCs w:val="18"/>
        </w:rPr>
        <w:t xml:space="preserve"> </w:t>
      </w:r>
      <w:r w:rsidR="005237A1" w:rsidRPr="005D15AB">
        <w:rPr>
          <w:sz w:val="18"/>
          <w:szCs w:val="18"/>
        </w:rPr>
        <w:t>The annual report is expected to be made available to me after the date of this auditor's report.</w:t>
      </w:r>
    </w:p>
    <w:p w:rsidR="00B91979" w:rsidRPr="005D15AB" w:rsidRDefault="00B91979" w:rsidP="000D55B0">
      <w:pPr>
        <w:pStyle w:val="Default"/>
        <w:jc w:val="thaiDistribute"/>
        <w:rPr>
          <w:sz w:val="18"/>
          <w:szCs w:val="18"/>
        </w:rPr>
      </w:pPr>
    </w:p>
    <w:p w:rsidR="00747C86" w:rsidRPr="005D15AB" w:rsidRDefault="00747C86" w:rsidP="000D55B0">
      <w:pPr>
        <w:pStyle w:val="Default"/>
        <w:jc w:val="thaiDistribute"/>
        <w:rPr>
          <w:sz w:val="18"/>
          <w:szCs w:val="18"/>
        </w:rPr>
      </w:pPr>
      <w:r w:rsidRPr="005D15AB">
        <w:rPr>
          <w:sz w:val="18"/>
          <w:szCs w:val="18"/>
        </w:rPr>
        <w:t xml:space="preserve">My opinion on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does not cover the other information and I will not express any form of assurance conclusion thereon. </w:t>
      </w:r>
    </w:p>
    <w:p w:rsidR="005237A1" w:rsidRPr="005D15AB" w:rsidRDefault="005237A1" w:rsidP="000D55B0">
      <w:pPr>
        <w:pStyle w:val="Default"/>
        <w:jc w:val="thaiDistribute"/>
        <w:rPr>
          <w:sz w:val="18"/>
          <w:szCs w:val="18"/>
        </w:rPr>
      </w:pPr>
    </w:p>
    <w:p w:rsidR="005237A1" w:rsidRPr="005D15AB" w:rsidRDefault="00747C86" w:rsidP="000D55B0">
      <w:pPr>
        <w:pStyle w:val="Default"/>
        <w:jc w:val="thaiDistribute"/>
        <w:rPr>
          <w:sz w:val="18"/>
          <w:szCs w:val="18"/>
        </w:rPr>
      </w:pPr>
      <w:r w:rsidRPr="005D15AB">
        <w:rPr>
          <w:sz w:val="18"/>
          <w:szCs w:val="18"/>
        </w:rPr>
        <w:t xml:space="preserve">In connection with my audit of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D15AB">
        <w:rPr>
          <w:sz w:val="18"/>
          <w:szCs w:val="18"/>
        </w:rPr>
        <w:t xml:space="preserve">consolidated and </w:t>
      </w:r>
      <w:r w:rsidR="00E507A3" w:rsidRPr="005D15AB">
        <w:rPr>
          <w:sz w:val="18"/>
          <w:szCs w:val="18"/>
        </w:rPr>
        <w:t xml:space="preserve">separate </w:t>
      </w:r>
      <w:r w:rsidRPr="005D15AB">
        <w:rPr>
          <w:sz w:val="18"/>
          <w:szCs w:val="18"/>
        </w:rPr>
        <w:t xml:space="preserve">financial statements or my knowledge obtained in the audit, or otherwise appears to be materially misstated. </w:t>
      </w:r>
    </w:p>
    <w:p w:rsidR="00BD5FF4" w:rsidRPr="005D15AB" w:rsidRDefault="00BD5FF4" w:rsidP="000D55B0">
      <w:pPr>
        <w:pStyle w:val="Default"/>
        <w:jc w:val="thaiDistribute"/>
        <w:rPr>
          <w:sz w:val="18"/>
          <w:szCs w:val="18"/>
        </w:rPr>
      </w:pPr>
    </w:p>
    <w:p w:rsidR="00BD5FF4" w:rsidRPr="005D15AB" w:rsidRDefault="00BD5FF4" w:rsidP="000D55B0">
      <w:pPr>
        <w:pStyle w:val="Default"/>
        <w:jc w:val="thaiDistribute"/>
        <w:rPr>
          <w:sz w:val="18"/>
          <w:szCs w:val="18"/>
        </w:rPr>
      </w:pPr>
      <w:r w:rsidRPr="005D15AB">
        <w:rPr>
          <w:sz w:val="18"/>
          <w:szCs w:val="18"/>
        </w:rPr>
        <w:t>When I read the annual report, if I conclude that there is a</w:t>
      </w:r>
      <w:r w:rsidR="0034029B" w:rsidRPr="005D15AB">
        <w:rPr>
          <w:sz w:val="18"/>
          <w:szCs w:val="18"/>
        </w:rPr>
        <w:t xml:space="preserve"> material misstatement therein,</w:t>
      </w:r>
      <w:r w:rsidR="0034029B" w:rsidRPr="005D15AB">
        <w:rPr>
          <w:sz w:val="18"/>
          <w:szCs w:val="18"/>
          <w:cs/>
        </w:rPr>
        <w:t xml:space="preserve"> </w:t>
      </w:r>
      <w:r w:rsidRPr="005D15AB">
        <w:rPr>
          <w:sz w:val="18"/>
          <w:szCs w:val="18"/>
        </w:rPr>
        <w:t xml:space="preserve">I am required to communicate the matter to </w:t>
      </w:r>
      <w:r w:rsidR="00E507A3" w:rsidRPr="005D15AB">
        <w:rPr>
          <w:sz w:val="18"/>
          <w:szCs w:val="18"/>
        </w:rPr>
        <w:t xml:space="preserve">the </w:t>
      </w:r>
      <w:r w:rsidR="008E0FC2" w:rsidRPr="005D15AB">
        <w:rPr>
          <w:sz w:val="18"/>
          <w:szCs w:val="18"/>
        </w:rPr>
        <w:t>audit committee</w:t>
      </w:r>
      <w:r w:rsidR="00AE7B7B" w:rsidRPr="005D15AB">
        <w:rPr>
          <w:sz w:val="18"/>
          <w:szCs w:val="18"/>
        </w:rPr>
        <w:t>.</w:t>
      </w:r>
    </w:p>
    <w:p w:rsidR="000D6649" w:rsidRPr="005D15AB" w:rsidRDefault="000D6649" w:rsidP="000D55B0">
      <w:pPr>
        <w:pStyle w:val="Default"/>
        <w:jc w:val="thaiDistribute"/>
        <w:rPr>
          <w:sz w:val="18"/>
          <w:szCs w:val="18"/>
        </w:rPr>
      </w:pPr>
    </w:p>
    <w:p w:rsidR="00790517" w:rsidRPr="005D15AB" w:rsidRDefault="007C04AD" w:rsidP="00207CA2">
      <w:pPr>
        <w:pStyle w:val="Default"/>
        <w:spacing w:line="360" w:lineRule="auto"/>
        <w:jc w:val="thaiDistribute"/>
        <w:rPr>
          <w:b/>
          <w:bCs/>
          <w:color w:val="CF4A02"/>
          <w:sz w:val="18"/>
          <w:szCs w:val="18"/>
        </w:rPr>
      </w:pPr>
      <w:r w:rsidRPr="005D15AB">
        <w:rPr>
          <w:b/>
          <w:bCs/>
          <w:color w:val="C00000"/>
          <w:sz w:val="18"/>
          <w:szCs w:val="18"/>
        </w:rPr>
        <w:br w:type="page"/>
      </w:r>
      <w:r w:rsidR="00790517" w:rsidRPr="005D15AB">
        <w:rPr>
          <w:b/>
          <w:bCs/>
          <w:color w:val="CF4A02"/>
          <w:sz w:val="18"/>
          <w:szCs w:val="18"/>
        </w:rPr>
        <w:lastRenderedPageBreak/>
        <w:t xml:space="preserve">Responsibilities of </w:t>
      </w:r>
      <w:r w:rsidR="00E507A3" w:rsidRPr="005D15AB">
        <w:rPr>
          <w:b/>
          <w:bCs/>
          <w:color w:val="CF4A02"/>
          <w:sz w:val="18"/>
          <w:szCs w:val="18"/>
        </w:rPr>
        <w:t xml:space="preserve">the directors </w:t>
      </w:r>
      <w:r w:rsidR="00790517" w:rsidRPr="005D15AB">
        <w:rPr>
          <w:b/>
          <w:bCs/>
          <w:color w:val="CF4A02"/>
          <w:sz w:val="18"/>
          <w:szCs w:val="18"/>
        </w:rPr>
        <w:t xml:space="preserve">for the </w:t>
      </w:r>
      <w:r w:rsidR="00E07F94" w:rsidRPr="005D15AB">
        <w:rPr>
          <w:b/>
          <w:bCs/>
          <w:color w:val="CF4A02"/>
          <w:sz w:val="18"/>
          <w:szCs w:val="18"/>
        </w:rPr>
        <w:t>c</w:t>
      </w:r>
      <w:r w:rsidR="00BD5FF4" w:rsidRPr="005D15AB">
        <w:rPr>
          <w:b/>
          <w:bCs/>
          <w:color w:val="CF4A02"/>
          <w:sz w:val="18"/>
          <w:szCs w:val="18"/>
        </w:rPr>
        <w:t xml:space="preserve">onsolidated and </w:t>
      </w:r>
      <w:r w:rsidR="00E07F94" w:rsidRPr="005D15AB">
        <w:rPr>
          <w:b/>
          <w:bCs/>
          <w:color w:val="CF4A02"/>
          <w:sz w:val="18"/>
          <w:szCs w:val="18"/>
        </w:rPr>
        <w:t>s</w:t>
      </w:r>
      <w:r w:rsidR="00E507A3" w:rsidRPr="005D15AB">
        <w:rPr>
          <w:b/>
          <w:bCs/>
          <w:color w:val="CF4A02"/>
          <w:sz w:val="18"/>
          <w:szCs w:val="18"/>
        </w:rPr>
        <w:t xml:space="preserve">eparate </w:t>
      </w:r>
      <w:r w:rsidR="00E07F94" w:rsidRPr="005D15AB">
        <w:rPr>
          <w:b/>
          <w:bCs/>
          <w:color w:val="CF4A02"/>
          <w:sz w:val="18"/>
          <w:szCs w:val="18"/>
        </w:rPr>
        <w:t>f</w:t>
      </w:r>
      <w:r w:rsidR="00790517" w:rsidRPr="005D15AB">
        <w:rPr>
          <w:b/>
          <w:bCs/>
          <w:color w:val="CF4A02"/>
          <w:sz w:val="18"/>
          <w:szCs w:val="18"/>
        </w:rPr>
        <w:t>inancial</w:t>
      </w:r>
      <w:r w:rsidR="00D86EDF" w:rsidRPr="005D15AB">
        <w:rPr>
          <w:b/>
          <w:bCs/>
          <w:color w:val="CF4A02"/>
          <w:sz w:val="18"/>
          <w:szCs w:val="18"/>
        </w:rPr>
        <w:t xml:space="preserve"> </w:t>
      </w:r>
      <w:r w:rsidR="00E07F94" w:rsidRPr="005D15AB">
        <w:rPr>
          <w:b/>
          <w:bCs/>
          <w:color w:val="CF4A02"/>
          <w:sz w:val="18"/>
          <w:szCs w:val="18"/>
        </w:rPr>
        <w:t>s</w:t>
      </w:r>
      <w:r w:rsidR="00790517" w:rsidRPr="005D15AB">
        <w:rPr>
          <w:b/>
          <w:bCs/>
          <w:color w:val="CF4A02"/>
          <w:sz w:val="18"/>
          <w:szCs w:val="18"/>
        </w:rPr>
        <w:t xml:space="preserve">tatements </w:t>
      </w:r>
    </w:p>
    <w:p w:rsidR="00B91979" w:rsidRPr="005D15AB" w:rsidRDefault="00E507A3" w:rsidP="000D55B0">
      <w:pPr>
        <w:spacing w:after="0" w:line="240" w:lineRule="auto"/>
        <w:jc w:val="thaiDistribute"/>
        <w:rPr>
          <w:rFonts w:ascii="Arial" w:hAnsi="Arial" w:cs="Arial"/>
          <w:sz w:val="18"/>
          <w:szCs w:val="18"/>
        </w:rPr>
      </w:pPr>
      <w:r w:rsidRPr="005D15AB">
        <w:rPr>
          <w:rFonts w:ascii="Arial" w:hAnsi="Arial" w:cs="Arial"/>
          <w:sz w:val="18"/>
          <w:szCs w:val="18"/>
        </w:rPr>
        <w:t>The directors are</w:t>
      </w:r>
      <w:r w:rsidR="00B91979" w:rsidRPr="005D15AB">
        <w:rPr>
          <w:rFonts w:ascii="Arial" w:hAnsi="Arial" w:cs="Arial"/>
          <w:sz w:val="18"/>
          <w:szCs w:val="18"/>
        </w:rPr>
        <w:t xml:space="preserve"> responsible for the preparation and fair presentation of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financial statements in accordance</w:t>
      </w:r>
      <w:r w:rsidR="005B1E87" w:rsidRPr="005D15AB">
        <w:rPr>
          <w:rFonts w:ascii="Arial" w:hAnsi="Arial" w:cs="Arial"/>
          <w:sz w:val="18"/>
          <w:szCs w:val="18"/>
        </w:rPr>
        <w:t xml:space="preserve"> </w:t>
      </w:r>
      <w:r w:rsidR="00B91979" w:rsidRPr="005D15AB">
        <w:rPr>
          <w:rFonts w:ascii="Arial" w:hAnsi="Arial" w:cs="Arial"/>
          <w:sz w:val="18"/>
          <w:szCs w:val="18"/>
        </w:rPr>
        <w:t xml:space="preserve">with TFRSs, and for such internal control as </w:t>
      </w:r>
      <w:r w:rsidR="00D0685C" w:rsidRPr="005D15AB">
        <w:rPr>
          <w:rFonts w:ascii="Arial" w:hAnsi="Arial" w:cs="Arial"/>
          <w:sz w:val="18"/>
          <w:szCs w:val="18"/>
        </w:rPr>
        <w:t xml:space="preserve">the directors </w:t>
      </w:r>
      <w:r w:rsidR="00B91979" w:rsidRPr="005D15AB">
        <w:rPr>
          <w:rFonts w:ascii="Arial" w:hAnsi="Arial" w:cs="Arial"/>
          <w:sz w:val="18"/>
          <w:szCs w:val="18"/>
        </w:rPr>
        <w:t xml:space="preserve">determine is necessary to enable the preparation of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00B91979" w:rsidRPr="005D15AB">
        <w:rPr>
          <w:rFonts w:ascii="Arial" w:hAnsi="Arial" w:cs="Arial"/>
          <w:sz w:val="18"/>
          <w:szCs w:val="18"/>
        </w:rPr>
        <w:t xml:space="preserve">financial statements that are free from material misstatement, whether due to fraud or error. </w:t>
      </w:r>
    </w:p>
    <w:p w:rsidR="00B91979" w:rsidRPr="005D15AB" w:rsidRDefault="00B91979" w:rsidP="000D55B0">
      <w:pPr>
        <w:spacing w:after="0" w:line="240" w:lineRule="auto"/>
        <w:jc w:val="thaiDistribute"/>
        <w:rPr>
          <w:rFonts w:ascii="Arial" w:hAnsi="Arial" w:cs="Arial"/>
          <w:sz w:val="18"/>
          <w:szCs w:val="18"/>
        </w:rPr>
      </w:pPr>
    </w:p>
    <w:p w:rsidR="00B91979" w:rsidRPr="005D15AB" w:rsidRDefault="00B91979" w:rsidP="000D55B0">
      <w:pPr>
        <w:spacing w:after="0" w:line="240" w:lineRule="auto"/>
        <w:jc w:val="thaiDistribute"/>
        <w:rPr>
          <w:rFonts w:ascii="Arial" w:hAnsi="Arial" w:cs="Arial"/>
          <w:sz w:val="18"/>
          <w:szCs w:val="18"/>
        </w:rPr>
      </w:pPr>
      <w:r w:rsidRPr="005D15AB">
        <w:rPr>
          <w:rFonts w:ascii="Arial" w:hAnsi="Arial" w:cs="Arial"/>
          <w:sz w:val="18"/>
          <w:szCs w:val="18"/>
        </w:rPr>
        <w:t xml:space="preserve">In preparing the </w:t>
      </w:r>
      <w:r w:rsidR="00BD5FF4" w:rsidRPr="005D15AB">
        <w:rPr>
          <w:rFonts w:ascii="Arial" w:hAnsi="Arial" w:cs="Arial"/>
          <w:sz w:val="18"/>
          <w:szCs w:val="18"/>
        </w:rPr>
        <w:t xml:space="preserve">consolidated and </w:t>
      </w:r>
      <w:r w:rsidR="00D0685C" w:rsidRPr="005D15AB">
        <w:rPr>
          <w:rFonts w:ascii="Arial" w:hAnsi="Arial" w:cs="Arial"/>
          <w:sz w:val="18"/>
          <w:szCs w:val="18"/>
        </w:rPr>
        <w:t xml:space="preserve">separate </w:t>
      </w:r>
      <w:r w:rsidRPr="005D15AB">
        <w:rPr>
          <w:rFonts w:ascii="Arial" w:hAnsi="Arial" w:cs="Arial"/>
          <w:sz w:val="18"/>
          <w:szCs w:val="18"/>
        </w:rPr>
        <w:t xml:space="preserve">financial statements, </w:t>
      </w:r>
      <w:r w:rsidR="00D0685C" w:rsidRPr="005D15AB">
        <w:rPr>
          <w:rFonts w:ascii="Arial" w:hAnsi="Arial" w:cs="Arial"/>
          <w:sz w:val="18"/>
          <w:szCs w:val="18"/>
        </w:rPr>
        <w:t>the directors are</w:t>
      </w:r>
      <w:r w:rsidRPr="005D15AB">
        <w:rPr>
          <w:rFonts w:ascii="Arial" w:hAnsi="Arial" w:cs="Arial"/>
          <w:sz w:val="18"/>
          <w:szCs w:val="18"/>
        </w:rPr>
        <w:t xml:space="preserve"> responsible for assessing the </w:t>
      </w:r>
      <w:r w:rsidR="00BD5FF4" w:rsidRPr="005D15AB">
        <w:rPr>
          <w:rFonts w:ascii="Arial" w:hAnsi="Arial" w:cs="Arial"/>
          <w:sz w:val="18"/>
          <w:szCs w:val="18"/>
        </w:rPr>
        <w:t>Group</w:t>
      </w:r>
      <w:r w:rsidR="00207CA2" w:rsidRPr="005D15AB">
        <w:rPr>
          <w:rFonts w:ascii="Arial" w:hAnsi="Arial" w:cs="Arial"/>
          <w:sz w:val="18"/>
          <w:szCs w:val="18"/>
        </w:rPr>
        <w:t>’s</w:t>
      </w:r>
      <w:r w:rsidR="00BD5FF4" w:rsidRPr="005D15AB">
        <w:rPr>
          <w:rFonts w:ascii="Arial" w:hAnsi="Arial" w:cs="Arial"/>
          <w:sz w:val="18"/>
          <w:szCs w:val="18"/>
        </w:rPr>
        <w:t xml:space="preserve"> and </w:t>
      </w:r>
      <w:r w:rsidR="007A3ACC" w:rsidRPr="005D15AB">
        <w:rPr>
          <w:rFonts w:ascii="Arial" w:hAnsi="Arial" w:cs="Arial"/>
          <w:sz w:val="18"/>
          <w:szCs w:val="18"/>
        </w:rPr>
        <w:t xml:space="preserve">the </w:t>
      </w:r>
      <w:r w:rsidRPr="005D15A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5D15AB">
        <w:rPr>
          <w:rFonts w:ascii="Arial" w:hAnsi="Arial" w:cs="Arial"/>
          <w:sz w:val="18"/>
          <w:szCs w:val="18"/>
        </w:rPr>
        <w:t xml:space="preserve">the directors </w:t>
      </w:r>
      <w:r w:rsidRPr="005D15AB">
        <w:rPr>
          <w:rFonts w:ascii="Arial" w:hAnsi="Arial" w:cs="Arial"/>
          <w:sz w:val="18"/>
          <w:szCs w:val="18"/>
        </w:rPr>
        <w:t xml:space="preserve">either intend to liquidate the </w:t>
      </w:r>
      <w:r w:rsidR="00BD5FF4" w:rsidRPr="005D15AB">
        <w:rPr>
          <w:rFonts w:ascii="Arial" w:hAnsi="Arial" w:cs="Arial"/>
          <w:sz w:val="18"/>
          <w:szCs w:val="18"/>
        </w:rPr>
        <w:t xml:space="preserve">Group </w:t>
      </w:r>
      <w:r w:rsidR="00900250" w:rsidRPr="005D15AB">
        <w:rPr>
          <w:rFonts w:ascii="Arial" w:hAnsi="Arial" w:cs="Arial"/>
          <w:sz w:val="18"/>
          <w:szCs w:val="18"/>
        </w:rPr>
        <w:t>and</w:t>
      </w:r>
      <w:r w:rsidR="00BD5FF4" w:rsidRPr="005D15AB">
        <w:rPr>
          <w:rFonts w:ascii="Arial" w:hAnsi="Arial" w:cs="Arial"/>
          <w:sz w:val="18"/>
          <w:szCs w:val="18"/>
        </w:rPr>
        <w:t xml:space="preserve"> </w:t>
      </w:r>
      <w:r w:rsidR="007A3ACC" w:rsidRPr="005D15AB">
        <w:rPr>
          <w:rFonts w:ascii="Arial" w:hAnsi="Arial" w:cs="Arial"/>
          <w:sz w:val="18"/>
          <w:szCs w:val="18"/>
        </w:rPr>
        <w:t>the</w:t>
      </w:r>
      <w:r w:rsidR="00BF408C" w:rsidRPr="005D15AB">
        <w:rPr>
          <w:rFonts w:ascii="Arial" w:hAnsi="Arial" w:cs="Arial"/>
          <w:sz w:val="18"/>
          <w:szCs w:val="18"/>
        </w:rPr>
        <w:t xml:space="preserve"> </w:t>
      </w:r>
      <w:r w:rsidRPr="005D15AB">
        <w:rPr>
          <w:rFonts w:ascii="Arial" w:hAnsi="Arial" w:cs="Arial"/>
          <w:sz w:val="18"/>
          <w:szCs w:val="18"/>
        </w:rPr>
        <w:t>Company or to cease operations, or has no realistic alternative but to do so.</w:t>
      </w:r>
    </w:p>
    <w:p w:rsidR="00B91979" w:rsidRPr="005D15AB" w:rsidRDefault="00B91979" w:rsidP="000D55B0">
      <w:pPr>
        <w:spacing w:after="0" w:line="240" w:lineRule="auto"/>
        <w:jc w:val="thaiDistribute"/>
        <w:rPr>
          <w:rFonts w:ascii="Arial" w:hAnsi="Arial" w:cs="Arial"/>
          <w:sz w:val="18"/>
          <w:szCs w:val="18"/>
        </w:rPr>
      </w:pPr>
    </w:p>
    <w:p w:rsidR="00B91979" w:rsidRPr="005D15AB" w:rsidRDefault="00E07F94" w:rsidP="000D55B0">
      <w:pPr>
        <w:spacing w:after="0" w:line="240" w:lineRule="auto"/>
        <w:jc w:val="thaiDistribute"/>
        <w:rPr>
          <w:rFonts w:ascii="Arial" w:hAnsi="Arial" w:cs="Arial"/>
          <w:sz w:val="18"/>
          <w:szCs w:val="18"/>
        </w:rPr>
      </w:pPr>
      <w:r w:rsidRPr="005D15AB">
        <w:rPr>
          <w:rFonts w:ascii="Arial" w:hAnsi="Arial" w:cs="Arial"/>
          <w:sz w:val="18"/>
          <w:szCs w:val="18"/>
        </w:rPr>
        <w:t>The a</w:t>
      </w:r>
      <w:r w:rsidR="006651E7" w:rsidRPr="005D15AB">
        <w:rPr>
          <w:rFonts w:ascii="Arial" w:hAnsi="Arial" w:cs="Arial"/>
          <w:sz w:val="18"/>
          <w:szCs w:val="18"/>
        </w:rPr>
        <w:t xml:space="preserve">udit </w:t>
      </w:r>
      <w:r w:rsidRPr="005D15AB">
        <w:rPr>
          <w:rFonts w:ascii="Arial" w:hAnsi="Arial" w:cs="Arial"/>
          <w:sz w:val="18"/>
          <w:szCs w:val="18"/>
        </w:rPr>
        <w:t>c</w:t>
      </w:r>
      <w:r w:rsidR="006651E7" w:rsidRPr="005D15AB">
        <w:rPr>
          <w:rFonts w:ascii="Arial" w:hAnsi="Arial" w:cs="Arial"/>
          <w:sz w:val="18"/>
          <w:szCs w:val="18"/>
        </w:rPr>
        <w:t>ommittee assists</w:t>
      </w:r>
      <w:r w:rsidR="00D0685C" w:rsidRPr="005D15AB">
        <w:rPr>
          <w:rFonts w:ascii="Arial" w:hAnsi="Arial" w:cs="Arial"/>
          <w:sz w:val="18"/>
          <w:szCs w:val="18"/>
        </w:rPr>
        <w:t xml:space="preserve"> the directors in discharging their responsibilit</w:t>
      </w:r>
      <w:r w:rsidR="00433A38" w:rsidRPr="005D15AB">
        <w:rPr>
          <w:rFonts w:ascii="Arial" w:hAnsi="Arial" w:cs="Arial"/>
          <w:sz w:val="18"/>
          <w:szCs w:val="18"/>
        </w:rPr>
        <w:t>ies</w:t>
      </w:r>
      <w:r w:rsidR="00D0685C" w:rsidRPr="005D15AB">
        <w:rPr>
          <w:rFonts w:ascii="Arial" w:hAnsi="Arial" w:cs="Arial"/>
          <w:sz w:val="18"/>
          <w:szCs w:val="18"/>
        </w:rPr>
        <w:t xml:space="preserve"> </w:t>
      </w:r>
      <w:r w:rsidR="00B91979" w:rsidRPr="005D15AB">
        <w:rPr>
          <w:rFonts w:ascii="Arial" w:hAnsi="Arial" w:cs="Arial"/>
          <w:sz w:val="18"/>
          <w:szCs w:val="18"/>
        </w:rPr>
        <w:t xml:space="preserve">for overseeing the </w:t>
      </w:r>
      <w:r w:rsidR="00BD5FF4" w:rsidRPr="005D15AB">
        <w:rPr>
          <w:rFonts w:ascii="Arial" w:hAnsi="Arial" w:cs="Arial"/>
          <w:sz w:val="18"/>
          <w:szCs w:val="18"/>
        </w:rPr>
        <w:t>Group</w:t>
      </w:r>
      <w:r w:rsidR="00207CA2" w:rsidRPr="005D15AB">
        <w:rPr>
          <w:rFonts w:ascii="Arial" w:hAnsi="Arial" w:cs="Arial"/>
          <w:sz w:val="18"/>
          <w:szCs w:val="18"/>
        </w:rPr>
        <w:t>’s</w:t>
      </w:r>
      <w:r w:rsidR="00BD5FF4" w:rsidRPr="005D15AB">
        <w:rPr>
          <w:rFonts w:ascii="Arial" w:hAnsi="Arial" w:cs="Arial"/>
          <w:sz w:val="18"/>
          <w:szCs w:val="18"/>
        </w:rPr>
        <w:t xml:space="preserve"> and </w:t>
      </w:r>
      <w:r w:rsidR="007A3ACC" w:rsidRPr="005D15AB">
        <w:rPr>
          <w:rFonts w:ascii="Arial" w:hAnsi="Arial" w:cs="Arial"/>
          <w:sz w:val="18"/>
          <w:szCs w:val="18"/>
        </w:rPr>
        <w:t xml:space="preserve">the </w:t>
      </w:r>
      <w:r w:rsidR="00B91979" w:rsidRPr="005D15AB">
        <w:rPr>
          <w:rFonts w:ascii="Arial" w:hAnsi="Arial" w:cs="Arial"/>
          <w:sz w:val="18"/>
          <w:szCs w:val="18"/>
        </w:rPr>
        <w:t xml:space="preserve">Company’s financial reporting process. </w:t>
      </w:r>
    </w:p>
    <w:p w:rsidR="00620568" w:rsidRPr="005D15AB" w:rsidRDefault="00620568" w:rsidP="000D55B0">
      <w:pPr>
        <w:pStyle w:val="Default"/>
        <w:jc w:val="thaiDistribute"/>
        <w:rPr>
          <w:b/>
          <w:bCs/>
          <w:color w:val="C00000"/>
          <w:sz w:val="18"/>
          <w:szCs w:val="18"/>
        </w:rPr>
      </w:pPr>
    </w:p>
    <w:p w:rsidR="00620568" w:rsidRPr="005D15AB" w:rsidRDefault="00E07F94" w:rsidP="00207CA2">
      <w:pPr>
        <w:pStyle w:val="Default"/>
        <w:spacing w:line="360" w:lineRule="auto"/>
        <w:jc w:val="thaiDistribute"/>
        <w:rPr>
          <w:b/>
          <w:bCs/>
          <w:color w:val="CF4A02"/>
          <w:sz w:val="18"/>
          <w:szCs w:val="18"/>
        </w:rPr>
      </w:pPr>
      <w:r w:rsidRPr="005D15AB">
        <w:rPr>
          <w:b/>
          <w:bCs/>
          <w:color w:val="CF4A02"/>
          <w:sz w:val="18"/>
          <w:szCs w:val="18"/>
        </w:rPr>
        <w:t>Auditor’s r</w:t>
      </w:r>
      <w:r w:rsidR="00790517" w:rsidRPr="005D15AB">
        <w:rPr>
          <w:b/>
          <w:bCs/>
          <w:color w:val="CF4A02"/>
          <w:sz w:val="18"/>
          <w:szCs w:val="18"/>
        </w:rPr>
        <w:t xml:space="preserve">esponsibilities for the </w:t>
      </w:r>
      <w:r w:rsidRPr="005D15AB">
        <w:rPr>
          <w:b/>
          <w:bCs/>
          <w:color w:val="CF4A02"/>
          <w:sz w:val="18"/>
          <w:szCs w:val="18"/>
        </w:rPr>
        <w:t>a</w:t>
      </w:r>
      <w:r w:rsidR="00790517" w:rsidRPr="005D15AB">
        <w:rPr>
          <w:b/>
          <w:bCs/>
          <w:color w:val="CF4A02"/>
          <w:sz w:val="18"/>
          <w:szCs w:val="18"/>
        </w:rPr>
        <w:t xml:space="preserve">udit of the </w:t>
      </w:r>
      <w:r w:rsidRPr="005D15AB">
        <w:rPr>
          <w:b/>
          <w:bCs/>
          <w:color w:val="CF4A02"/>
          <w:sz w:val="18"/>
          <w:szCs w:val="18"/>
        </w:rPr>
        <w:t>c</w:t>
      </w:r>
      <w:r w:rsidR="00900250" w:rsidRPr="005D15AB">
        <w:rPr>
          <w:b/>
          <w:bCs/>
          <w:color w:val="CF4A02"/>
          <w:sz w:val="18"/>
          <w:szCs w:val="18"/>
        </w:rPr>
        <w:t xml:space="preserve">onsolidated and </w:t>
      </w:r>
      <w:r w:rsidRPr="005D15AB">
        <w:rPr>
          <w:b/>
          <w:bCs/>
          <w:color w:val="CF4A02"/>
          <w:sz w:val="18"/>
          <w:szCs w:val="18"/>
        </w:rPr>
        <w:t>s</w:t>
      </w:r>
      <w:r w:rsidR="00D0685C" w:rsidRPr="005D15AB">
        <w:rPr>
          <w:b/>
          <w:bCs/>
          <w:color w:val="CF4A02"/>
          <w:sz w:val="18"/>
          <w:szCs w:val="18"/>
        </w:rPr>
        <w:t xml:space="preserve">eparate </w:t>
      </w:r>
      <w:r w:rsidRPr="005D15AB">
        <w:rPr>
          <w:b/>
          <w:bCs/>
          <w:color w:val="CF4A02"/>
          <w:sz w:val="18"/>
          <w:szCs w:val="18"/>
        </w:rPr>
        <w:t>f</w:t>
      </w:r>
      <w:r w:rsidR="00790517" w:rsidRPr="005D15AB">
        <w:rPr>
          <w:b/>
          <w:bCs/>
          <w:color w:val="CF4A02"/>
          <w:sz w:val="18"/>
          <w:szCs w:val="18"/>
        </w:rPr>
        <w:t xml:space="preserve">inancial </w:t>
      </w:r>
      <w:r w:rsidRPr="005D15AB">
        <w:rPr>
          <w:b/>
          <w:bCs/>
          <w:color w:val="CF4A02"/>
          <w:sz w:val="18"/>
          <w:szCs w:val="18"/>
        </w:rPr>
        <w:t>s</w:t>
      </w:r>
      <w:r w:rsidR="00790517" w:rsidRPr="005D15AB">
        <w:rPr>
          <w:b/>
          <w:bCs/>
          <w:color w:val="CF4A02"/>
          <w:sz w:val="18"/>
          <w:szCs w:val="18"/>
        </w:rPr>
        <w:t>tatements</w:t>
      </w:r>
    </w:p>
    <w:p w:rsidR="00B91979" w:rsidRPr="005D15AB" w:rsidRDefault="00B91979" w:rsidP="000D55B0">
      <w:pPr>
        <w:pStyle w:val="Default"/>
        <w:jc w:val="thaiDistribute"/>
        <w:rPr>
          <w:spacing w:val="-2"/>
          <w:sz w:val="18"/>
          <w:szCs w:val="18"/>
        </w:rPr>
      </w:pPr>
      <w:r w:rsidRPr="005D15AB">
        <w:rPr>
          <w:spacing w:val="-2"/>
          <w:sz w:val="18"/>
          <w:szCs w:val="18"/>
        </w:rPr>
        <w:t xml:space="preserve">My objectives are to obtain reasonable assurance about whether the </w:t>
      </w:r>
      <w:r w:rsidR="00E07F94" w:rsidRPr="005D15AB">
        <w:rPr>
          <w:spacing w:val="-2"/>
          <w:sz w:val="18"/>
          <w:szCs w:val="18"/>
        </w:rPr>
        <w:t xml:space="preserve">consolidated and </w:t>
      </w:r>
      <w:r w:rsidR="006A1977" w:rsidRPr="005D15AB">
        <w:rPr>
          <w:spacing w:val="-2"/>
          <w:sz w:val="18"/>
          <w:szCs w:val="18"/>
        </w:rPr>
        <w:t>separate</w:t>
      </w:r>
      <w:r w:rsidR="00900250" w:rsidRPr="005D15AB">
        <w:rPr>
          <w:spacing w:val="-2"/>
          <w:sz w:val="18"/>
          <w:szCs w:val="18"/>
        </w:rPr>
        <w:t xml:space="preserve"> </w:t>
      </w:r>
      <w:r w:rsidRPr="005D15AB">
        <w:rPr>
          <w:spacing w:val="-2"/>
          <w:sz w:val="18"/>
          <w:szCs w:val="18"/>
        </w:rPr>
        <w:t xml:space="preserve">financial statements </w:t>
      </w:r>
      <w:proofErr w:type="gramStart"/>
      <w:r w:rsidRPr="005D15AB">
        <w:rPr>
          <w:spacing w:val="-2"/>
          <w:sz w:val="18"/>
          <w:szCs w:val="18"/>
        </w:rPr>
        <w:t>as a whole are</w:t>
      </w:r>
      <w:proofErr w:type="gramEnd"/>
      <w:r w:rsidRPr="005D15AB">
        <w:rPr>
          <w:spacing w:val="-2"/>
          <w:sz w:val="18"/>
          <w:szCs w:val="18"/>
        </w:rPr>
        <w:t xml:space="preserve"> free from material misstatement, whether due to fraud or error, and to issue an auditor’s report that includes my opinion. Reasonable assurance is a high level of </w:t>
      </w:r>
      <w:r w:rsidR="00F65A4A" w:rsidRPr="005D15AB">
        <w:rPr>
          <w:spacing w:val="-2"/>
          <w:sz w:val="18"/>
          <w:szCs w:val="18"/>
        </w:rPr>
        <w:t>assurance but</w:t>
      </w:r>
      <w:r w:rsidRPr="005D15AB">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15AB">
        <w:rPr>
          <w:spacing w:val="-2"/>
          <w:sz w:val="18"/>
          <w:szCs w:val="18"/>
        </w:rPr>
        <w:t>on the basis of</w:t>
      </w:r>
      <w:proofErr w:type="gramEnd"/>
      <w:r w:rsidRPr="005D15AB">
        <w:rPr>
          <w:spacing w:val="-2"/>
          <w:sz w:val="18"/>
          <w:szCs w:val="18"/>
        </w:rPr>
        <w:t xml:space="preserve"> these </w:t>
      </w:r>
      <w:r w:rsidR="00900250" w:rsidRPr="005D15AB">
        <w:rPr>
          <w:spacing w:val="-2"/>
          <w:sz w:val="18"/>
          <w:szCs w:val="18"/>
        </w:rPr>
        <w:t xml:space="preserve">consolidated and </w:t>
      </w:r>
      <w:r w:rsidR="00D0685C" w:rsidRPr="005D15AB">
        <w:rPr>
          <w:spacing w:val="-2"/>
          <w:sz w:val="18"/>
          <w:szCs w:val="18"/>
        </w:rPr>
        <w:t xml:space="preserve">separate </w:t>
      </w:r>
      <w:r w:rsidRPr="005D15AB">
        <w:rPr>
          <w:spacing w:val="-2"/>
          <w:sz w:val="18"/>
          <w:szCs w:val="18"/>
        </w:rPr>
        <w:t>financial statements.</w:t>
      </w:r>
    </w:p>
    <w:p w:rsidR="00B91979" w:rsidRPr="005D15AB" w:rsidRDefault="00B91979" w:rsidP="000D55B0">
      <w:pPr>
        <w:pStyle w:val="Default"/>
        <w:jc w:val="thaiDistribute"/>
        <w:rPr>
          <w:sz w:val="18"/>
          <w:szCs w:val="18"/>
        </w:rPr>
      </w:pPr>
    </w:p>
    <w:p w:rsidR="00B91979" w:rsidRPr="005D15AB" w:rsidRDefault="00B91979" w:rsidP="000D55B0">
      <w:pPr>
        <w:pStyle w:val="Default"/>
        <w:jc w:val="thaiDistribute"/>
        <w:rPr>
          <w:sz w:val="18"/>
          <w:szCs w:val="18"/>
        </w:rPr>
      </w:pPr>
      <w:r w:rsidRPr="005D15AB">
        <w:rPr>
          <w:spacing w:val="-2"/>
          <w:sz w:val="18"/>
          <w:szCs w:val="18"/>
        </w:rPr>
        <w:t>As part of an audit in accordance with TSAs, I exercise professional judg</w:t>
      </w:r>
      <w:r w:rsidR="00207CA2" w:rsidRPr="005D15AB">
        <w:rPr>
          <w:spacing w:val="-2"/>
          <w:sz w:val="18"/>
          <w:szCs w:val="18"/>
        </w:rPr>
        <w:t>e</w:t>
      </w:r>
      <w:r w:rsidRPr="005D15AB">
        <w:rPr>
          <w:spacing w:val="-2"/>
          <w:sz w:val="18"/>
          <w:szCs w:val="18"/>
        </w:rPr>
        <w:t>m</w:t>
      </w:r>
      <w:r w:rsidR="00A00386" w:rsidRPr="005D15AB">
        <w:rPr>
          <w:spacing w:val="-2"/>
          <w:sz w:val="18"/>
          <w:szCs w:val="18"/>
        </w:rPr>
        <w:t xml:space="preserve">ent and maintain professional </w:t>
      </w:r>
      <w:r w:rsidR="007B209C" w:rsidRPr="005D15AB">
        <w:rPr>
          <w:spacing w:val="-2"/>
          <w:sz w:val="18"/>
          <w:szCs w:val="18"/>
        </w:rPr>
        <w:t>s</w:t>
      </w:r>
      <w:r w:rsidR="007A3ACC" w:rsidRPr="005D15AB">
        <w:rPr>
          <w:spacing w:val="-2"/>
          <w:sz w:val="18"/>
          <w:szCs w:val="18"/>
        </w:rPr>
        <w:t>c</w:t>
      </w:r>
      <w:r w:rsidRPr="005D15AB">
        <w:rPr>
          <w:spacing w:val="-2"/>
          <w:sz w:val="18"/>
          <w:szCs w:val="18"/>
        </w:rPr>
        <w:t>epticism</w:t>
      </w:r>
      <w:r w:rsidRPr="005D15AB">
        <w:rPr>
          <w:sz w:val="18"/>
          <w:szCs w:val="18"/>
        </w:rPr>
        <w:t xml:space="preserve"> throughout the audit. I also: </w:t>
      </w:r>
    </w:p>
    <w:p w:rsidR="000D55B0" w:rsidRPr="005D15AB" w:rsidRDefault="000D55B0" w:rsidP="000D55B0">
      <w:pPr>
        <w:pStyle w:val="Default"/>
        <w:jc w:val="thaiDistribute"/>
        <w:rPr>
          <w:sz w:val="18"/>
          <w:szCs w:val="18"/>
        </w:rPr>
      </w:pPr>
    </w:p>
    <w:p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Identify and assess the risks of material misstatement of the</w:t>
      </w:r>
      <w:r w:rsidR="00900250" w:rsidRPr="005D15AB">
        <w:rPr>
          <w:sz w:val="18"/>
          <w:szCs w:val="18"/>
        </w:rPr>
        <w:t xml:space="preserve"> consolidated and </w:t>
      </w:r>
      <w:r w:rsidR="00D0685C" w:rsidRPr="005D15AB">
        <w:rPr>
          <w:sz w:val="18"/>
          <w:szCs w:val="18"/>
        </w:rPr>
        <w:t xml:space="preserve">separate </w:t>
      </w:r>
      <w:r w:rsidRPr="005D15A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5D15AB">
        <w:rPr>
          <w:sz w:val="18"/>
          <w:szCs w:val="18"/>
        </w:rPr>
        <w:t>Group</w:t>
      </w:r>
      <w:r w:rsidR="00B63F8C" w:rsidRPr="005D15AB">
        <w:rPr>
          <w:sz w:val="18"/>
          <w:szCs w:val="18"/>
        </w:rPr>
        <w:t>’s</w:t>
      </w:r>
      <w:r w:rsidR="00653860" w:rsidRPr="005D15AB">
        <w:rPr>
          <w:sz w:val="18"/>
          <w:szCs w:val="18"/>
        </w:rPr>
        <w:t xml:space="preserve"> and </w:t>
      </w:r>
      <w:r w:rsidR="007A3ACC" w:rsidRPr="005D15AB">
        <w:rPr>
          <w:sz w:val="18"/>
          <w:szCs w:val="18"/>
        </w:rPr>
        <w:t xml:space="preserve">the </w:t>
      </w:r>
      <w:r w:rsidRPr="005D15AB">
        <w:rPr>
          <w:sz w:val="18"/>
          <w:szCs w:val="18"/>
        </w:rPr>
        <w:t xml:space="preserve">Company’s internal control. </w:t>
      </w:r>
    </w:p>
    <w:p w:rsidR="009E67FA"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Evaluate the appropriateness of accounting policies used and the reasonableness of accounting estimates and related disclosures made by </w:t>
      </w:r>
      <w:r w:rsidR="00D0685C" w:rsidRPr="005D15AB">
        <w:rPr>
          <w:sz w:val="18"/>
          <w:szCs w:val="18"/>
        </w:rPr>
        <w:t>the directors</w:t>
      </w:r>
      <w:r w:rsidRPr="005D15AB">
        <w:rPr>
          <w:sz w:val="18"/>
          <w:szCs w:val="18"/>
        </w:rPr>
        <w:t xml:space="preserve">. </w:t>
      </w:r>
    </w:p>
    <w:p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Conclude on the appropriateness of </w:t>
      </w:r>
      <w:r w:rsidR="00D0685C" w:rsidRPr="005D15AB">
        <w:rPr>
          <w:sz w:val="18"/>
          <w:szCs w:val="18"/>
        </w:rPr>
        <w:t>the directors’</w:t>
      </w:r>
      <w:r w:rsidRPr="005D15A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D15AB">
        <w:rPr>
          <w:sz w:val="18"/>
          <w:szCs w:val="18"/>
        </w:rPr>
        <w:t>Group</w:t>
      </w:r>
      <w:r w:rsidR="00B63F8C" w:rsidRPr="005D15AB">
        <w:rPr>
          <w:sz w:val="18"/>
          <w:szCs w:val="18"/>
        </w:rPr>
        <w:t>’s</w:t>
      </w:r>
      <w:r w:rsidR="00900250" w:rsidRPr="005D15AB">
        <w:rPr>
          <w:sz w:val="18"/>
          <w:szCs w:val="18"/>
        </w:rPr>
        <w:t xml:space="preserve"> and </w:t>
      </w:r>
      <w:r w:rsidR="007A3ACC" w:rsidRPr="005D15AB">
        <w:rPr>
          <w:sz w:val="18"/>
          <w:szCs w:val="18"/>
        </w:rPr>
        <w:t xml:space="preserve">the </w:t>
      </w:r>
      <w:r w:rsidRPr="005D15AB">
        <w:rPr>
          <w:sz w:val="18"/>
          <w:szCs w:val="18"/>
        </w:rPr>
        <w:t xml:space="preserve">Company’s ability to continue as a going concern. If I conclude that a material uncertainty exists, I am required to draw attention in </w:t>
      </w:r>
      <w:r w:rsidRPr="005D15AB">
        <w:rPr>
          <w:spacing w:val="-2"/>
          <w:sz w:val="18"/>
          <w:szCs w:val="18"/>
        </w:rPr>
        <w:t>my auditor’s report to the related disclosures in the</w:t>
      </w:r>
      <w:r w:rsidR="00D11F81" w:rsidRPr="005D15AB">
        <w:rPr>
          <w:spacing w:val="-2"/>
          <w:sz w:val="18"/>
          <w:szCs w:val="18"/>
        </w:rPr>
        <w:t xml:space="preserve"> consolidated and </w:t>
      </w:r>
      <w:r w:rsidR="00D0685C" w:rsidRPr="005D15AB">
        <w:rPr>
          <w:spacing w:val="-2"/>
          <w:sz w:val="18"/>
          <w:szCs w:val="18"/>
        </w:rPr>
        <w:t xml:space="preserve">separate </w:t>
      </w:r>
      <w:r w:rsidRPr="005D15AB">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5D15AB">
        <w:rPr>
          <w:spacing w:val="-2"/>
          <w:sz w:val="18"/>
          <w:szCs w:val="18"/>
        </w:rPr>
        <w:t>Group</w:t>
      </w:r>
      <w:r w:rsidR="00207CA2" w:rsidRPr="005D15AB">
        <w:rPr>
          <w:spacing w:val="-2"/>
          <w:sz w:val="18"/>
          <w:szCs w:val="18"/>
        </w:rPr>
        <w:t>’s</w:t>
      </w:r>
      <w:r w:rsidR="00900250" w:rsidRPr="005D15AB">
        <w:rPr>
          <w:spacing w:val="-2"/>
          <w:sz w:val="18"/>
          <w:szCs w:val="18"/>
        </w:rPr>
        <w:t xml:space="preserve"> and </w:t>
      </w:r>
      <w:r w:rsidR="007A3ACC" w:rsidRPr="005D15AB">
        <w:rPr>
          <w:spacing w:val="-2"/>
          <w:sz w:val="18"/>
          <w:szCs w:val="18"/>
        </w:rPr>
        <w:t xml:space="preserve">the </w:t>
      </w:r>
      <w:r w:rsidRPr="005D15AB">
        <w:rPr>
          <w:spacing w:val="-2"/>
          <w:sz w:val="18"/>
          <w:szCs w:val="18"/>
        </w:rPr>
        <w:t>Company to cease to continue as a going concern.</w:t>
      </w:r>
      <w:r w:rsidRPr="005D15AB">
        <w:rPr>
          <w:sz w:val="18"/>
          <w:szCs w:val="18"/>
        </w:rPr>
        <w:t xml:space="preserve"> </w:t>
      </w:r>
    </w:p>
    <w:p w:rsidR="0049535D" w:rsidRPr="005D15AB" w:rsidRDefault="00FE6CF3"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Evaluate the overall presentation, structure and content of the </w:t>
      </w:r>
      <w:r w:rsidR="00900250" w:rsidRPr="005D15AB">
        <w:rPr>
          <w:sz w:val="18"/>
          <w:szCs w:val="18"/>
        </w:rPr>
        <w:t xml:space="preserve">consolidated and </w:t>
      </w:r>
      <w:r w:rsidR="00D0685C" w:rsidRPr="005D15AB">
        <w:rPr>
          <w:sz w:val="18"/>
          <w:szCs w:val="18"/>
        </w:rPr>
        <w:t xml:space="preserve">separate </w:t>
      </w:r>
      <w:r w:rsidRPr="005D15AB">
        <w:rPr>
          <w:sz w:val="18"/>
          <w:szCs w:val="18"/>
        </w:rPr>
        <w:t xml:space="preserve">financial statements, including the disclosures, and whether the </w:t>
      </w:r>
      <w:r w:rsidR="00900250" w:rsidRPr="005D15AB">
        <w:rPr>
          <w:sz w:val="18"/>
          <w:szCs w:val="18"/>
        </w:rPr>
        <w:t xml:space="preserve">consolidated and </w:t>
      </w:r>
      <w:r w:rsidR="00D0685C" w:rsidRPr="005D15AB">
        <w:rPr>
          <w:sz w:val="18"/>
          <w:szCs w:val="18"/>
        </w:rPr>
        <w:t xml:space="preserve">separate </w:t>
      </w:r>
      <w:r w:rsidRPr="005D15AB">
        <w:rPr>
          <w:sz w:val="18"/>
          <w:szCs w:val="18"/>
        </w:rPr>
        <w:t xml:space="preserve">financial statements represent the underlying transactions and events in a manner that achieves fair presentation. </w:t>
      </w:r>
    </w:p>
    <w:p w:rsidR="00B41448" w:rsidRPr="005D15AB" w:rsidRDefault="002F280C" w:rsidP="003D3D27">
      <w:pPr>
        <w:pStyle w:val="Default"/>
        <w:numPr>
          <w:ilvl w:val="0"/>
          <w:numId w:val="1"/>
        </w:numPr>
        <w:tabs>
          <w:tab w:val="clear" w:pos="720"/>
          <w:tab w:val="num" w:pos="540"/>
        </w:tabs>
        <w:ind w:left="540"/>
        <w:jc w:val="thaiDistribute"/>
        <w:rPr>
          <w:sz w:val="18"/>
          <w:szCs w:val="18"/>
        </w:rPr>
      </w:pPr>
      <w:r w:rsidRPr="005D15AB">
        <w:rPr>
          <w:sz w:val="18"/>
          <w:szCs w:val="18"/>
        </w:rPr>
        <w:t xml:space="preserve">Obtain </w:t>
      </w:r>
      <w:proofErr w:type="gramStart"/>
      <w:r w:rsidRPr="005D15AB">
        <w:rPr>
          <w:sz w:val="18"/>
          <w:szCs w:val="18"/>
        </w:rPr>
        <w:t>sufficient</w:t>
      </w:r>
      <w:proofErr w:type="gramEnd"/>
      <w:r w:rsidRPr="005D15AB">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5D15AB" w:rsidRDefault="007C04AD" w:rsidP="000D55B0">
      <w:pPr>
        <w:pStyle w:val="Default"/>
        <w:jc w:val="thaiDistribute"/>
        <w:rPr>
          <w:sz w:val="18"/>
          <w:szCs w:val="18"/>
        </w:rPr>
      </w:pPr>
      <w:r w:rsidRPr="005D15AB">
        <w:rPr>
          <w:sz w:val="18"/>
          <w:szCs w:val="18"/>
        </w:rPr>
        <w:br w:type="page"/>
      </w:r>
      <w:r w:rsidR="00B91979" w:rsidRPr="005D15AB">
        <w:rPr>
          <w:sz w:val="18"/>
          <w:szCs w:val="18"/>
        </w:rPr>
        <w:lastRenderedPageBreak/>
        <w:t xml:space="preserve">I communicate with </w:t>
      </w:r>
      <w:r w:rsidR="00D0685C" w:rsidRPr="005D15AB">
        <w:rPr>
          <w:sz w:val="18"/>
          <w:szCs w:val="18"/>
        </w:rPr>
        <w:t xml:space="preserve">the audit committee </w:t>
      </w:r>
      <w:r w:rsidR="00B91979" w:rsidRPr="005D15AB">
        <w:rPr>
          <w:sz w:val="18"/>
          <w:szCs w:val="18"/>
        </w:rPr>
        <w:t xml:space="preserve">regarding, among other matters, the planned scope and timing of the audit and significant audit findings, including any significant deficiencies in internal control that I identify during my audit. </w:t>
      </w:r>
    </w:p>
    <w:p w:rsidR="00141DC9" w:rsidRPr="005D15AB" w:rsidRDefault="00141DC9" w:rsidP="000D55B0">
      <w:pPr>
        <w:pStyle w:val="Default"/>
        <w:jc w:val="thaiDistribute"/>
        <w:rPr>
          <w:sz w:val="18"/>
          <w:szCs w:val="18"/>
        </w:rPr>
      </w:pPr>
    </w:p>
    <w:p w:rsidR="00B91979" w:rsidRPr="005D15AB" w:rsidRDefault="00B91979" w:rsidP="000D55B0">
      <w:pPr>
        <w:pStyle w:val="Default"/>
        <w:jc w:val="thaiDistribute"/>
        <w:rPr>
          <w:sz w:val="18"/>
          <w:szCs w:val="18"/>
        </w:rPr>
      </w:pPr>
      <w:r w:rsidRPr="005D15AB">
        <w:rPr>
          <w:sz w:val="18"/>
          <w:szCs w:val="18"/>
        </w:rPr>
        <w:t xml:space="preserve">I also provide </w:t>
      </w:r>
      <w:r w:rsidR="00D0685C" w:rsidRPr="005D15AB">
        <w:rPr>
          <w:sz w:val="18"/>
          <w:szCs w:val="18"/>
        </w:rPr>
        <w:t xml:space="preserve">the audit committee </w:t>
      </w:r>
      <w:r w:rsidRPr="005D15AB">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5D15AB" w:rsidRDefault="00B91979" w:rsidP="000D55B0">
      <w:pPr>
        <w:pStyle w:val="Default"/>
        <w:jc w:val="thaiDistribute"/>
        <w:rPr>
          <w:sz w:val="18"/>
          <w:szCs w:val="18"/>
        </w:rPr>
      </w:pPr>
    </w:p>
    <w:p w:rsidR="00B91979" w:rsidRPr="005D15AB" w:rsidRDefault="00B91979" w:rsidP="000D55B0">
      <w:pPr>
        <w:pStyle w:val="Default"/>
        <w:jc w:val="thaiDistribute"/>
        <w:rPr>
          <w:sz w:val="18"/>
          <w:szCs w:val="18"/>
        </w:rPr>
      </w:pPr>
      <w:r w:rsidRPr="005D15AB">
        <w:rPr>
          <w:sz w:val="18"/>
          <w:szCs w:val="18"/>
        </w:rPr>
        <w:t xml:space="preserve">From the matters communicated with </w:t>
      </w:r>
      <w:r w:rsidR="00D0685C" w:rsidRPr="005D15AB">
        <w:rPr>
          <w:sz w:val="18"/>
          <w:szCs w:val="18"/>
        </w:rPr>
        <w:t>the audit committee</w:t>
      </w:r>
      <w:r w:rsidRPr="005D15AB">
        <w:rPr>
          <w:sz w:val="18"/>
          <w:szCs w:val="18"/>
        </w:rPr>
        <w:t xml:space="preserve">, I determine those matters that were of most significance in the audit of the </w:t>
      </w:r>
      <w:r w:rsidR="00900250" w:rsidRPr="005D15AB">
        <w:rPr>
          <w:sz w:val="18"/>
          <w:szCs w:val="18"/>
        </w:rPr>
        <w:t>consolidated</w:t>
      </w:r>
      <w:r w:rsidR="003F2842" w:rsidRPr="005D15AB">
        <w:rPr>
          <w:sz w:val="18"/>
          <w:szCs w:val="18"/>
        </w:rPr>
        <w:t xml:space="preserve"> and separate</w:t>
      </w:r>
      <w:r w:rsidR="00900250" w:rsidRPr="005D15AB">
        <w:rPr>
          <w:sz w:val="18"/>
          <w:szCs w:val="18"/>
        </w:rPr>
        <w:t xml:space="preserve"> </w:t>
      </w:r>
      <w:r w:rsidRPr="005D15AB">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w:t>
      </w:r>
      <w:r w:rsidRPr="005D15AB">
        <w:rPr>
          <w:spacing w:val="-2"/>
          <w:sz w:val="18"/>
          <w:szCs w:val="18"/>
        </w:rPr>
        <w:t>determine that a matter should not be communicated in my report because the adverse consequences of doing so would reasonably be expected to outweigh the public interest benefits of such communication.</w:t>
      </w:r>
      <w:r w:rsidRPr="005D15AB">
        <w:rPr>
          <w:sz w:val="18"/>
          <w:szCs w:val="18"/>
        </w:rPr>
        <w:t xml:space="preserve"> </w:t>
      </w:r>
    </w:p>
    <w:p w:rsidR="008D64B8" w:rsidRPr="005D15AB" w:rsidRDefault="008D64B8" w:rsidP="000D55B0">
      <w:pPr>
        <w:pStyle w:val="Default"/>
        <w:rPr>
          <w:sz w:val="18"/>
          <w:szCs w:val="18"/>
        </w:rPr>
      </w:pPr>
    </w:p>
    <w:p w:rsidR="00D0685C" w:rsidRPr="005D15AB" w:rsidRDefault="00D0685C" w:rsidP="000D55B0">
      <w:pPr>
        <w:suppressAutoHyphens/>
        <w:spacing w:after="0" w:line="240" w:lineRule="auto"/>
        <w:rPr>
          <w:rFonts w:ascii="Arial" w:hAnsi="Arial" w:cs="Arial"/>
          <w:sz w:val="18"/>
          <w:szCs w:val="18"/>
          <w:lang w:val="en-US"/>
        </w:rPr>
      </w:pPr>
    </w:p>
    <w:p w:rsidR="00D0685C" w:rsidRPr="005D15AB" w:rsidRDefault="00D0685C" w:rsidP="000D55B0">
      <w:pPr>
        <w:suppressAutoHyphens/>
        <w:spacing w:after="0" w:line="240" w:lineRule="auto"/>
        <w:rPr>
          <w:rFonts w:ascii="Arial" w:hAnsi="Arial" w:cs="Arial"/>
          <w:sz w:val="18"/>
          <w:szCs w:val="18"/>
          <w:lang w:val="en-US"/>
        </w:rPr>
      </w:pPr>
      <w:r w:rsidRPr="005D15AB">
        <w:rPr>
          <w:rFonts w:ascii="Arial" w:hAnsi="Arial" w:cs="Arial"/>
          <w:sz w:val="18"/>
          <w:szCs w:val="18"/>
          <w:lang w:val="en-US"/>
        </w:rPr>
        <w:t>PricewaterhouseCoopers ABAS Ltd.</w:t>
      </w:r>
    </w:p>
    <w:p w:rsidR="008D64B8" w:rsidRPr="005D15AB" w:rsidRDefault="008D64B8" w:rsidP="000D55B0">
      <w:pPr>
        <w:pStyle w:val="Default"/>
        <w:rPr>
          <w:sz w:val="18"/>
          <w:szCs w:val="18"/>
        </w:rPr>
      </w:pPr>
    </w:p>
    <w:p w:rsidR="000D55B0" w:rsidRPr="005D15AB" w:rsidRDefault="000D55B0" w:rsidP="000D55B0">
      <w:pPr>
        <w:suppressAutoHyphens/>
        <w:spacing w:after="0" w:line="240" w:lineRule="auto"/>
        <w:rPr>
          <w:rFonts w:ascii="Arial" w:hAnsi="Arial" w:cs="Arial"/>
          <w:sz w:val="18"/>
          <w:szCs w:val="18"/>
        </w:rPr>
      </w:pPr>
    </w:p>
    <w:p w:rsidR="003D3D27" w:rsidRPr="005D15AB" w:rsidRDefault="003D3D27" w:rsidP="000D55B0">
      <w:pPr>
        <w:suppressAutoHyphens/>
        <w:spacing w:after="0" w:line="240" w:lineRule="auto"/>
        <w:rPr>
          <w:rFonts w:ascii="Arial" w:hAnsi="Arial" w:cs="Arial"/>
          <w:sz w:val="18"/>
          <w:szCs w:val="18"/>
        </w:rPr>
      </w:pPr>
    </w:p>
    <w:p w:rsidR="003D3D27" w:rsidRPr="005D15AB" w:rsidRDefault="003D3D27" w:rsidP="000D55B0">
      <w:pPr>
        <w:suppressAutoHyphens/>
        <w:spacing w:after="0" w:line="240" w:lineRule="auto"/>
        <w:rPr>
          <w:rFonts w:ascii="Arial" w:hAnsi="Arial" w:cs="Arial"/>
          <w:sz w:val="18"/>
          <w:szCs w:val="18"/>
        </w:rPr>
      </w:pPr>
    </w:p>
    <w:p w:rsidR="002D754A" w:rsidRPr="005D15AB" w:rsidRDefault="002D754A" w:rsidP="000D55B0">
      <w:pPr>
        <w:suppressAutoHyphens/>
        <w:spacing w:after="0" w:line="240" w:lineRule="auto"/>
        <w:rPr>
          <w:rFonts w:ascii="Arial" w:hAnsi="Arial" w:cs="Arial"/>
          <w:sz w:val="18"/>
          <w:szCs w:val="18"/>
        </w:rPr>
      </w:pPr>
    </w:p>
    <w:p w:rsidR="007021ED" w:rsidRPr="005D15AB" w:rsidRDefault="007021ED" w:rsidP="000D55B0">
      <w:pPr>
        <w:suppressAutoHyphens/>
        <w:spacing w:after="0" w:line="240" w:lineRule="auto"/>
        <w:rPr>
          <w:rFonts w:ascii="Arial" w:hAnsi="Arial" w:cs="Arial"/>
          <w:sz w:val="18"/>
          <w:szCs w:val="18"/>
        </w:rPr>
      </w:pPr>
    </w:p>
    <w:p w:rsidR="007021ED" w:rsidRPr="005D15AB" w:rsidRDefault="007021ED" w:rsidP="000D55B0">
      <w:pPr>
        <w:suppressAutoHyphens/>
        <w:spacing w:after="0" w:line="240" w:lineRule="auto"/>
        <w:rPr>
          <w:rFonts w:ascii="Arial" w:hAnsi="Arial" w:cs="Arial"/>
          <w:sz w:val="18"/>
          <w:szCs w:val="18"/>
        </w:rPr>
      </w:pPr>
    </w:p>
    <w:p w:rsidR="002D754A" w:rsidRPr="005D15AB" w:rsidRDefault="002D754A" w:rsidP="000D55B0">
      <w:pPr>
        <w:suppressAutoHyphens/>
        <w:spacing w:after="0" w:line="240" w:lineRule="auto"/>
        <w:rPr>
          <w:rFonts w:ascii="Arial" w:hAnsi="Arial" w:cs="Arial"/>
          <w:sz w:val="18"/>
          <w:szCs w:val="18"/>
        </w:rPr>
      </w:pPr>
    </w:p>
    <w:p w:rsidR="003D3D27" w:rsidRPr="005D15AB" w:rsidRDefault="003D3D27" w:rsidP="000D55B0">
      <w:pPr>
        <w:suppressAutoHyphens/>
        <w:spacing w:after="0" w:line="240" w:lineRule="auto"/>
        <w:rPr>
          <w:rFonts w:ascii="Arial" w:hAnsi="Arial" w:cs="Arial"/>
          <w:sz w:val="18"/>
          <w:szCs w:val="18"/>
        </w:rPr>
      </w:pPr>
    </w:p>
    <w:p w:rsidR="003D3D27" w:rsidRPr="005D15AB" w:rsidRDefault="003D3D27" w:rsidP="000D55B0">
      <w:pPr>
        <w:suppressAutoHyphens/>
        <w:spacing w:after="0" w:line="240" w:lineRule="auto"/>
        <w:rPr>
          <w:rFonts w:ascii="Arial" w:hAnsi="Arial" w:cs="Arial"/>
          <w:sz w:val="18"/>
          <w:szCs w:val="18"/>
        </w:rPr>
      </w:pPr>
    </w:p>
    <w:p w:rsidR="003D3D27" w:rsidRPr="005D15AB" w:rsidRDefault="003D3D27" w:rsidP="000D55B0">
      <w:pPr>
        <w:suppressAutoHyphens/>
        <w:spacing w:after="0" w:line="240" w:lineRule="auto"/>
        <w:rPr>
          <w:rFonts w:ascii="Arial" w:hAnsi="Arial" w:cs="Arial"/>
          <w:sz w:val="18"/>
          <w:szCs w:val="18"/>
        </w:rPr>
      </w:pPr>
    </w:p>
    <w:p w:rsidR="005B1E87" w:rsidRPr="005D15AB" w:rsidRDefault="005B1E87" w:rsidP="000D55B0">
      <w:pPr>
        <w:suppressAutoHyphens/>
        <w:spacing w:after="0" w:line="240" w:lineRule="auto"/>
        <w:rPr>
          <w:rFonts w:ascii="Arial" w:hAnsi="Arial" w:cs="Arial"/>
          <w:sz w:val="18"/>
          <w:szCs w:val="18"/>
          <w:lang w:val="en-US"/>
        </w:rPr>
      </w:pPr>
    </w:p>
    <w:p w:rsidR="0025119E" w:rsidRPr="005D15AB" w:rsidRDefault="0025119E" w:rsidP="0025119E">
      <w:pPr>
        <w:suppressAutoHyphens/>
        <w:spacing w:after="0" w:line="240" w:lineRule="auto"/>
        <w:rPr>
          <w:rFonts w:ascii="Arial" w:hAnsi="Arial" w:cs="Arial"/>
          <w:b/>
          <w:bCs/>
          <w:sz w:val="18"/>
          <w:szCs w:val="18"/>
          <w:lang w:val="en-US"/>
        </w:rPr>
      </w:pPr>
      <w:proofErr w:type="spellStart"/>
      <w:proofErr w:type="gramStart"/>
      <w:r w:rsidRPr="005D15AB">
        <w:rPr>
          <w:rFonts w:ascii="Arial" w:hAnsi="Arial" w:cs="Arial"/>
          <w:b/>
          <w:bCs/>
          <w:sz w:val="18"/>
          <w:szCs w:val="18"/>
          <w:lang w:val="en-US"/>
        </w:rPr>
        <w:t>Pongthavee</w:t>
      </w:r>
      <w:proofErr w:type="spellEnd"/>
      <w:r w:rsidRPr="005D15AB">
        <w:rPr>
          <w:rFonts w:ascii="Arial" w:hAnsi="Arial" w:cs="Arial"/>
          <w:b/>
          <w:bCs/>
          <w:sz w:val="18"/>
          <w:szCs w:val="18"/>
          <w:lang w:val="en-US"/>
        </w:rPr>
        <w:t xml:space="preserve">  </w:t>
      </w:r>
      <w:proofErr w:type="spellStart"/>
      <w:r w:rsidRPr="005D15AB">
        <w:rPr>
          <w:rFonts w:ascii="Arial" w:hAnsi="Arial" w:cs="Arial"/>
          <w:b/>
          <w:bCs/>
          <w:sz w:val="18"/>
          <w:szCs w:val="18"/>
          <w:lang w:val="en-US"/>
        </w:rPr>
        <w:t>Ratanakoses</w:t>
      </w:r>
      <w:proofErr w:type="spellEnd"/>
      <w:proofErr w:type="gramEnd"/>
    </w:p>
    <w:p w:rsidR="0025119E" w:rsidRPr="005D15AB" w:rsidRDefault="0025119E"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Certified Public Accountant (Thailand) No. 7795</w:t>
      </w:r>
    </w:p>
    <w:p w:rsidR="005B1E87" w:rsidRPr="005D15AB" w:rsidRDefault="005B1E87" w:rsidP="0025119E">
      <w:pPr>
        <w:suppressAutoHyphens/>
        <w:spacing w:after="0" w:line="240" w:lineRule="auto"/>
        <w:rPr>
          <w:rFonts w:ascii="Arial" w:hAnsi="Arial" w:cs="Arial"/>
          <w:sz w:val="18"/>
          <w:szCs w:val="18"/>
          <w:lang w:val="en-US"/>
        </w:rPr>
      </w:pPr>
      <w:r w:rsidRPr="005D15AB">
        <w:rPr>
          <w:rFonts w:ascii="Arial" w:hAnsi="Arial" w:cs="Arial"/>
          <w:sz w:val="18"/>
          <w:szCs w:val="18"/>
          <w:lang w:val="en-US"/>
        </w:rPr>
        <w:t>Bangkok</w:t>
      </w:r>
    </w:p>
    <w:p w:rsidR="003D3D27" w:rsidRPr="005D15AB" w:rsidRDefault="00D54A11" w:rsidP="000D55B0">
      <w:pPr>
        <w:suppressAutoHyphens/>
        <w:spacing w:after="0" w:line="240" w:lineRule="auto"/>
        <w:rPr>
          <w:rFonts w:ascii="Arial" w:hAnsi="Arial" w:cs="Arial"/>
          <w:sz w:val="18"/>
          <w:szCs w:val="18"/>
        </w:rPr>
      </w:pPr>
      <w:r w:rsidRPr="005D15AB">
        <w:rPr>
          <w:rFonts w:ascii="Arial" w:hAnsi="Arial" w:cs="Arial"/>
          <w:sz w:val="18"/>
          <w:szCs w:val="18"/>
        </w:rPr>
        <w:t>22 February 2021</w:t>
      </w:r>
    </w:p>
    <w:sectPr w:rsidR="003D3D27" w:rsidRPr="005D15AB" w:rsidSect="00F10777">
      <w:pgSz w:w="11909" w:h="16834" w:code="9"/>
      <w:pgMar w:top="2880" w:right="720" w:bottom="720"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8F7" w:rsidRDefault="00CA68F7" w:rsidP="001D338E">
      <w:pPr>
        <w:spacing w:after="0" w:line="240" w:lineRule="auto"/>
      </w:pPr>
      <w:r>
        <w:separator/>
      </w:r>
    </w:p>
  </w:endnote>
  <w:endnote w:type="continuationSeparator" w:id="0">
    <w:p w:rsidR="00CA68F7" w:rsidRDefault="00CA68F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8F7" w:rsidRDefault="00CA68F7" w:rsidP="001D338E">
      <w:pPr>
        <w:spacing w:after="0" w:line="240" w:lineRule="auto"/>
      </w:pPr>
      <w:r>
        <w:separator/>
      </w:r>
    </w:p>
  </w:footnote>
  <w:footnote w:type="continuationSeparator" w:id="0">
    <w:p w:rsidR="00CA68F7" w:rsidRDefault="00CA68F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B97" w:rsidRPr="00AE7B7B" w:rsidRDefault="00072B97" w:rsidP="005D072C">
    <w:pPr>
      <w:pStyle w:val="Default"/>
      <w:jc w:val="thaiDistribute"/>
      <w:rPr>
        <w:rFonts w:cs="Browallia New"/>
        <w:b/>
        <w:bCs/>
        <w:color w:val="auto"/>
        <w:szCs w:val="30"/>
      </w:rPr>
    </w:pPr>
  </w:p>
  <w:p w:rsidR="00072B97" w:rsidRPr="005D072C" w:rsidRDefault="00072B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B97" w:rsidRPr="005D072C" w:rsidRDefault="00072B97"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D57B3"/>
    <w:multiLevelType w:val="hybridMultilevel"/>
    <w:tmpl w:val="8E2CD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240521"/>
    <w:multiLevelType w:val="hybridMultilevel"/>
    <w:tmpl w:val="09E0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25E6A"/>
    <w:multiLevelType w:val="hybridMultilevel"/>
    <w:tmpl w:val="873A2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014AD7F6"/>
    <w:lvl w:ilvl="0" w:tplc="B33EC296">
      <w:start w:val="1"/>
      <w:numFmt w:val="bullet"/>
      <w:lvlText w:val="•"/>
      <w:lvlJc w:val="left"/>
      <w:pPr>
        <w:tabs>
          <w:tab w:val="num" w:pos="720"/>
        </w:tabs>
        <w:ind w:left="720" w:hanging="360"/>
      </w:pPr>
      <w:rPr>
        <w:rFonts w:ascii="Arial" w:hAnsi="Aria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A671CB"/>
    <w:multiLevelType w:val="hybridMultilevel"/>
    <w:tmpl w:val="8B7A6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7"/>
  </w:num>
  <w:num w:numId="4">
    <w:abstractNumId w:val="5"/>
  </w:num>
  <w:num w:numId="5">
    <w:abstractNumId w:val="8"/>
  </w:num>
  <w:num w:numId="6">
    <w:abstractNumId w:val="8"/>
  </w:num>
  <w:num w:numId="7">
    <w:abstractNumId w:val="6"/>
  </w:num>
  <w:num w:numId="8">
    <w:abstractNumId w:val="2"/>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revisionView w:markup="0"/>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52D"/>
    <w:rsid w:val="0000610D"/>
    <w:rsid w:val="00017FC7"/>
    <w:rsid w:val="000255F8"/>
    <w:rsid w:val="00061F50"/>
    <w:rsid w:val="00066E6F"/>
    <w:rsid w:val="00071CDD"/>
    <w:rsid w:val="00072B97"/>
    <w:rsid w:val="000765BB"/>
    <w:rsid w:val="00081679"/>
    <w:rsid w:val="00095824"/>
    <w:rsid w:val="000B63EC"/>
    <w:rsid w:val="000C78F2"/>
    <w:rsid w:val="000D3728"/>
    <w:rsid w:val="000D55B0"/>
    <w:rsid w:val="000D6649"/>
    <w:rsid w:val="000D73C6"/>
    <w:rsid w:val="000F7C0A"/>
    <w:rsid w:val="001039FF"/>
    <w:rsid w:val="00104895"/>
    <w:rsid w:val="00123646"/>
    <w:rsid w:val="00141DC9"/>
    <w:rsid w:val="00144826"/>
    <w:rsid w:val="0015098B"/>
    <w:rsid w:val="00155524"/>
    <w:rsid w:val="00161FCF"/>
    <w:rsid w:val="00170ABF"/>
    <w:rsid w:val="0019429E"/>
    <w:rsid w:val="0019499D"/>
    <w:rsid w:val="001C10CE"/>
    <w:rsid w:val="001C35A2"/>
    <w:rsid w:val="001C452F"/>
    <w:rsid w:val="001D0ACB"/>
    <w:rsid w:val="001D0C17"/>
    <w:rsid w:val="001D338E"/>
    <w:rsid w:val="001D68A2"/>
    <w:rsid w:val="001D69A9"/>
    <w:rsid w:val="001E49E6"/>
    <w:rsid w:val="00207CA2"/>
    <w:rsid w:val="00212260"/>
    <w:rsid w:val="002206B7"/>
    <w:rsid w:val="00226F0C"/>
    <w:rsid w:val="0025119E"/>
    <w:rsid w:val="0025190E"/>
    <w:rsid w:val="0025192C"/>
    <w:rsid w:val="002546BA"/>
    <w:rsid w:val="00257BA4"/>
    <w:rsid w:val="00266EB1"/>
    <w:rsid w:val="002726C8"/>
    <w:rsid w:val="00274A61"/>
    <w:rsid w:val="0027680D"/>
    <w:rsid w:val="00293140"/>
    <w:rsid w:val="0029648A"/>
    <w:rsid w:val="002A39A4"/>
    <w:rsid w:val="002C6202"/>
    <w:rsid w:val="002D0EEA"/>
    <w:rsid w:val="002D3F48"/>
    <w:rsid w:val="002D54B5"/>
    <w:rsid w:val="002D60C0"/>
    <w:rsid w:val="002D754A"/>
    <w:rsid w:val="002E2F6A"/>
    <w:rsid w:val="002E3189"/>
    <w:rsid w:val="002F280C"/>
    <w:rsid w:val="00304984"/>
    <w:rsid w:val="00333C73"/>
    <w:rsid w:val="0034029B"/>
    <w:rsid w:val="00343882"/>
    <w:rsid w:val="00351667"/>
    <w:rsid w:val="00351D58"/>
    <w:rsid w:val="00357D1C"/>
    <w:rsid w:val="00361908"/>
    <w:rsid w:val="00382E88"/>
    <w:rsid w:val="0039048A"/>
    <w:rsid w:val="00395DE8"/>
    <w:rsid w:val="00396ED1"/>
    <w:rsid w:val="003A3289"/>
    <w:rsid w:val="003B310A"/>
    <w:rsid w:val="003D2ADA"/>
    <w:rsid w:val="003D3D27"/>
    <w:rsid w:val="003E4322"/>
    <w:rsid w:val="003F06EF"/>
    <w:rsid w:val="003F125C"/>
    <w:rsid w:val="003F2842"/>
    <w:rsid w:val="003F60CA"/>
    <w:rsid w:val="00410AA5"/>
    <w:rsid w:val="00412A96"/>
    <w:rsid w:val="00414571"/>
    <w:rsid w:val="00417D93"/>
    <w:rsid w:val="0042146F"/>
    <w:rsid w:val="00423E70"/>
    <w:rsid w:val="004260E3"/>
    <w:rsid w:val="004266E5"/>
    <w:rsid w:val="00433A38"/>
    <w:rsid w:val="00436B63"/>
    <w:rsid w:val="00437D80"/>
    <w:rsid w:val="00443278"/>
    <w:rsid w:val="00483EC0"/>
    <w:rsid w:val="00484CE3"/>
    <w:rsid w:val="004873E4"/>
    <w:rsid w:val="004877F2"/>
    <w:rsid w:val="0048797F"/>
    <w:rsid w:val="0049535D"/>
    <w:rsid w:val="004D78B3"/>
    <w:rsid w:val="004E0135"/>
    <w:rsid w:val="004E4FA7"/>
    <w:rsid w:val="004F1116"/>
    <w:rsid w:val="004F3206"/>
    <w:rsid w:val="004F3557"/>
    <w:rsid w:val="00501207"/>
    <w:rsid w:val="00502230"/>
    <w:rsid w:val="00517841"/>
    <w:rsid w:val="005237A1"/>
    <w:rsid w:val="005458B5"/>
    <w:rsid w:val="0056276C"/>
    <w:rsid w:val="00576A42"/>
    <w:rsid w:val="005A3DCD"/>
    <w:rsid w:val="005B1E87"/>
    <w:rsid w:val="005B40CC"/>
    <w:rsid w:val="005B49D6"/>
    <w:rsid w:val="005B7E29"/>
    <w:rsid w:val="005D072C"/>
    <w:rsid w:val="005D15AB"/>
    <w:rsid w:val="005E3E6C"/>
    <w:rsid w:val="005F1C97"/>
    <w:rsid w:val="006022C6"/>
    <w:rsid w:val="00610767"/>
    <w:rsid w:val="00610C32"/>
    <w:rsid w:val="00613188"/>
    <w:rsid w:val="00620568"/>
    <w:rsid w:val="006302BD"/>
    <w:rsid w:val="006407BC"/>
    <w:rsid w:val="0064199D"/>
    <w:rsid w:val="006436C0"/>
    <w:rsid w:val="00645144"/>
    <w:rsid w:val="00645EB1"/>
    <w:rsid w:val="00653860"/>
    <w:rsid w:val="00654F92"/>
    <w:rsid w:val="00661904"/>
    <w:rsid w:val="006651E7"/>
    <w:rsid w:val="00670450"/>
    <w:rsid w:val="00684C98"/>
    <w:rsid w:val="00686D35"/>
    <w:rsid w:val="00694F4F"/>
    <w:rsid w:val="006A1977"/>
    <w:rsid w:val="006B48E7"/>
    <w:rsid w:val="006D40CA"/>
    <w:rsid w:val="006E73A1"/>
    <w:rsid w:val="006F0131"/>
    <w:rsid w:val="007021ED"/>
    <w:rsid w:val="00711EFC"/>
    <w:rsid w:val="00714958"/>
    <w:rsid w:val="0073429E"/>
    <w:rsid w:val="007365DB"/>
    <w:rsid w:val="0074210C"/>
    <w:rsid w:val="00747C86"/>
    <w:rsid w:val="007561C4"/>
    <w:rsid w:val="00756973"/>
    <w:rsid w:val="00757954"/>
    <w:rsid w:val="00762372"/>
    <w:rsid w:val="00772075"/>
    <w:rsid w:val="007732E9"/>
    <w:rsid w:val="0077452C"/>
    <w:rsid w:val="00790517"/>
    <w:rsid w:val="007928A0"/>
    <w:rsid w:val="00797D0D"/>
    <w:rsid w:val="007A2204"/>
    <w:rsid w:val="007A3ACC"/>
    <w:rsid w:val="007B209C"/>
    <w:rsid w:val="007C04AD"/>
    <w:rsid w:val="007C567C"/>
    <w:rsid w:val="007D4AA5"/>
    <w:rsid w:val="007E50F4"/>
    <w:rsid w:val="00807EB5"/>
    <w:rsid w:val="0083362E"/>
    <w:rsid w:val="0083580C"/>
    <w:rsid w:val="00836F76"/>
    <w:rsid w:val="00846407"/>
    <w:rsid w:val="0086253D"/>
    <w:rsid w:val="008640AC"/>
    <w:rsid w:val="0086681F"/>
    <w:rsid w:val="00873AB7"/>
    <w:rsid w:val="00876C0A"/>
    <w:rsid w:val="00876E2F"/>
    <w:rsid w:val="00884564"/>
    <w:rsid w:val="00886FDA"/>
    <w:rsid w:val="00894408"/>
    <w:rsid w:val="0089751F"/>
    <w:rsid w:val="008D0003"/>
    <w:rsid w:val="008D64B8"/>
    <w:rsid w:val="008D7B79"/>
    <w:rsid w:val="008E0FC2"/>
    <w:rsid w:val="008F5D86"/>
    <w:rsid w:val="008F6BD2"/>
    <w:rsid w:val="00900250"/>
    <w:rsid w:val="009009AE"/>
    <w:rsid w:val="00906B28"/>
    <w:rsid w:val="00907C12"/>
    <w:rsid w:val="00914AFB"/>
    <w:rsid w:val="00922275"/>
    <w:rsid w:val="00925FE4"/>
    <w:rsid w:val="00927951"/>
    <w:rsid w:val="00936C6E"/>
    <w:rsid w:val="00951558"/>
    <w:rsid w:val="00985232"/>
    <w:rsid w:val="00985506"/>
    <w:rsid w:val="00987AE4"/>
    <w:rsid w:val="00995360"/>
    <w:rsid w:val="009C0779"/>
    <w:rsid w:val="009C0968"/>
    <w:rsid w:val="009C3530"/>
    <w:rsid w:val="009C6682"/>
    <w:rsid w:val="009C693B"/>
    <w:rsid w:val="009D6240"/>
    <w:rsid w:val="009D6C4B"/>
    <w:rsid w:val="009E1670"/>
    <w:rsid w:val="009E67FA"/>
    <w:rsid w:val="009F1110"/>
    <w:rsid w:val="009F1A01"/>
    <w:rsid w:val="00A00386"/>
    <w:rsid w:val="00A019FF"/>
    <w:rsid w:val="00A17EC3"/>
    <w:rsid w:val="00A301D9"/>
    <w:rsid w:val="00A3737F"/>
    <w:rsid w:val="00A51479"/>
    <w:rsid w:val="00A51D13"/>
    <w:rsid w:val="00A5391F"/>
    <w:rsid w:val="00A5552E"/>
    <w:rsid w:val="00A60355"/>
    <w:rsid w:val="00A61058"/>
    <w:rsid w:val="00A63787"/>
    <w:rsid w:val="00A63F8C"/>
    <w:rsid w:val="00A77A4D"/>
    <w:rsid w:val="00A90FA3"/>
    <w:rsid w:val="00AB7981"/>
    <w:rsid w:val="00AC038F"/>
    <w:rsid w:val="00AC1524"/>
    <w:rsid w:val="00AC35FF"/>
    <w:rsid w:val="00AC6692"/>
    <w:rsid w:val="00AD2313"/>
    <w:rsid w:val="00AD4968"/>
    <w:rsid w:val="00AE4390"/>
    <w:rsid w:val="00AE7B7B"/>
    <w:rsid w:val="00AF4556"/>
    <w:rsid w:val="00AF6817"/>
    <w:rsid w:val="00AF7479"/>
    <w:rsid w:val="00B05522"/>
    <w:rsid w:val="00B12D5B"/>
    <w:rsid w:val="00B24431"/>
    <w:rsid w:val="00B330CD"/>
    <w:rsid w:val="00B41448"/>
    <w:rsid w:val="00B537F6"/>
    <w:rsid w:val="00B53F44"/>
    <w:rsid w:val="00B5586A"/>
    <w:rsid w:val="00B62F17"/>
    <w:rsid w:val="00B63F8C"/>
    <w:rsid w:val="00B6584A"/>
    <w:rsid w:val="00B72E0F"/>
    <w:rsid w:val="00B82BF0"/>
    <w:rsid w:val="00B91979"/>
    <w:rsid w:val="00BB1B43"/>
    <w:rsid w:val="00BB4566"/>
    <w:rsid w:val="00BC5269"/>
    <w:rsid w:val="00BC5DFB"/>
    <w:rsid w:val="00BC5F8C"/>
    <w:rsid w:val="00BC68B2"/>
    <w:rsid w:val="00BD5FF4"/>
    <w:rsid w:val="00BD6DE8"/>
    <w:rsid w:val="00BE407E"/>
    <w:rsid w:val="00BF4028"/>
    <w:rsid w:val="00BF408C"/>
    <w:rsid w:val="00BF4F81"/>
    <w:rsid w:val="00C03E20"/>
    <w:rsid w:val="00C17413"/>
    <w:rsid w:val="00C46DA4"/>
    <w:rsid w:val="00C5035E"/>
    <w:rsid w:val="00C562CB"/>
    <w:rsid w:val="00C71DA2"/>
    <w:rsid w:val="00C753F0"/>
    <w:rsid w:val="00C76825"/>
    <w:rsid w:val="00C80D3B"/>
    <w:rsid w:val="00CA2655"/>
    <w:rsid w:val="00CA68F7"/>
    <w:rsid w:val="00CB2242"/>
    <w:rsid w:val="00CC31F6"/>
    <w:rsid w:val="00CD0F84"/>
    <w:rsid w:val="00CE0DD6"/>
    <w:rsid w:val="00CE2145"/>
    <w:rsid w:val="00CF1EF2"/>
    <w:rsid w:val="00CF5C7C"/>
    <w:rsid w:val="00D0685C"/>
    <w:rsid w:val="00D11F81"/>
    <w:rsid w:val="00D1421E"/>
    <w:rsid w:val="00D15204"/>
    <w:rsid w:val="00D208E0"/>
    <w:rsid w:val="00D209A0"/>
    <w:rsid w:val="00D21202"/>
    <w:rsid w:val="00D26D0F"/>
    <w:rsid w:val="00D35504"/>
    <w:rsid w:val="00D47A5B"/>
    <w:rsid w:val="00D54A11"/>
    <w:rsid w:val="00D67C92"/>
    <w:rsid w:val="00D81E68"/>
    <w:rsid w:val="00D83457"/>
    <w:rsid w:val="00D86EDF"/>
    <w:rsid w:val="00D902B7"/>
    <w:rsid w:val="00D932DF"/>
    <w:rsid w:val="00DA23C4"/>
    <w:rsid w:val="00DB14CE"/>
    <w:rsid w:val="00DB44FA"/>
    <w:rsid w:val="00DB75C8"/>
    <w:rsid w:val="00DC277B"/>
    <w:rsid w:val="00DE2817"/>
    <w:rsid w:val="00DE7A0D"/>
    <w:rsid w:val="00DF0FCE"/>
    <w:rsid w:val="00DF179F"/>
    <w:rsid w:val="00DF2EFD"/>
    <w:rsid w:val="00DF3DF1"/>
    <w:rsid w:val="00E0219F"/>
    <w:rsid w:val="00E07F94"/>
    <w:rsid w:val="00E12BAF"/>
    <w:rsid w:val="00E316B2"/>
    <w:rsid w:val="00E37173"/>
    <w:rsid w:val="00E416D7"/>
    <w:rsid w:val="00E507A3"/>
    <w:rsid w:val="00E57040"/>
    <w:rsid w:val="00E64A9C"/>
    <w:rsid w:val="00E8670E"/>
    <w:rsid w:val="00E9305B"/>
    <w:rsid w:val="00E94227"/>
    <w:rsid w:val="00EA0AD0"/>
    <w:rsid w:val="00EB0939"/>
    <w:rsid w:val="00EB1BE7"/>
    <w:rsid w:val="00EB2769"/>
    <w:rsid w:val="00ED62CA"/>
    <w:rsid w:val="00EF198F"/>
    <w:rsid w:val="00EF5E5F"/>
    <w:rsid w:val="00EF5ECE"/>
    <w:rsid w:val="00F10777"/>
    <w:rsid w:val="00F27832"/>
    <w:rsid w:val="00F317B3"/>
    <w:rsid w:val="00F33792"/>
    <w:rsid w:val="00F363D9"/>
    <w:rsid w:val="00F43EC3"/>
    <w:rsid w:val="00F43FD1"/>
    <w:rsid w:val="00F57764"/>
    <w:rsid w:val="00F65A4A"/>
    <w:rsid w:val="00F66446"/>
    <w:rsid w:val="00F74183"/>
    <w:rsid w:val="00F81D96"/>
    <w:rsid w:val="00F822F5"/>
    <w:rsid w:val="00F90D4C"/>
    <w:rsid w:val="00F90E1D"/>
    <w:rsid w:val="00FA4F62"/>
    <w:rsid w:val="00FB142C"/>
    <w:rsid w:val="00FB32B9"/>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581EE0C-54C1-4460-A371-E6B5F9B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418326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E447-CA7F-4D27-A05E-B693DBAA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2202</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22</cp:revision>
  <cp:lastPrinted>2021-02-21T12:18:00Z</cp:lastPrinted>
  <dcterms:created xsi:type="dcterms:W3CDTF">2020-02-16T11:20:00Z</dcterms:created>
  <dcterms:modified xsi:type="dcterms:W3CDTF">2021-02-22T03:03:00Z</dcterms:modified>
</cp:coreProperties>
</file>