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EB2179" w:rsidRPr="000A5EE2" w:rsidTr="00F4659D">
        <w:trPr>
          <w:trHeight w:val="2865"/>
        </w:trPr>
        <w:tc>
          <w:tcPr>
            <w:tcW w:w="2628" w:type="dxa"/>
          </w:tcPr>
          <w:p w:rsidR="00EB2179" w:rsidRPr="00F4659D" w:rsidRDefault="00EB2179" w:rsidP="00E62BEE">
            <w:pPr>
              <w:rPr>
                <w:rFonts w:ascii="Angsana New" w:hAnsi="Angsana New"/>
                <w:sz w:val="36"/>
                <w:szCs w:val="36"/>
                <w:cs/>
              </w:rPr>
            </w:pPr>
          </w:p>
        </w:tc>
        <w:tc>
          <w:tcPr>
            <w:tcW w:w="6960" w:type="dxa"/>
            <w:vAlign w:val="center"/>
          </w:tcPr>
          <w:p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7B5C07">
              <w:rPr>
                <w:rFonts w:cs="Times New Roman"/>
                <w:color w:val="7F7E82"/>
                <w:sz w:val="28"/>
              </w:rPr>
              <w:t>20</w:t>
            </w:r>
            <w:r w:rsidR="006A30B8">
              <w:rPr>
                <w:rFonts w:cs="Times New Roman"/>
                <w:color w:val="7F7E82"/>
                <w:sz w:val="28"/>
              </w:rPr>
              <w:t>20</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2629EE">
        <w:rPr>
          <w:rFonts w:ascii="Arial" w:eastAsia="Arial Unicode MS" w:hAnsi="Arial" w:cs="Arial Unicode MS"/>
          <w:sz w:val="22"/>
          <w:szCs w:val="22"/>
        </w:rPr>
        <w:t>Filter Vision</w:t>
      </w:r>
      <w:r w:rsidRPr="00A27995">
        <w:rPr>
          <w:rFonts w:ascii="Arial" w:eastAsia="Arial Unicode MS" w:hAnsi="Arial" w:cs="Arial Unicode MS"/>
          <w:sz w:val="22"/>
          <w:szCs w:val="22"/>
        </w:rPr>
        <w:t xml:space="preserve"> Public Company Limited</w:t>
      </w:r>
    </w:p>
    <w:p w:rsidR="00C52C43" w:rsidRPr="00A27995" w:rsidRDefault="00C52C43" w:rsidP="00C52C43">
      <w:pPr>
        <w:pStyle w:val="BodyText"/>
        <w:spacing w:line="380" w:lineRule="exact"/>
        <w:rPr>
          <w:rFonts w:ascii="Arial" w:eastAsia="Arial Unicode MS" w:hAnsi="Arial" w:cs="Arial Unicode MS"/>
          <w:b/>
          <w:bCs/>
          <w:sz w:val="22"/>
          <w:szCs w:val="22"/>
        </w:rPr>
      </w:pPr>
    </w:p>
    <w:p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and its subsidiaries (the Group), which comprise the consolidated statement of financial position as at 31 December </w:t>
      </w:r>
      <w:r w:rsidR="005E2A88">
        <w:rPr>
          <w:rFonts w:ascii="Arial" w:hAnsi="Arial" w:cs="Arial"/>
          <w:sz w:val="22"/>
          <w:szCs w:val="22"/>
        </w:rPr>
        <w:t>20</w:t>
      </w:r>
      <w:r w:rsidR="006A30B8">
        <w:rPr>
          <w:rFonts w:ascii="Arial" w:hAnsi="Arial" w:cs="Arial"/>
          <w:sz w:val="22"/>
          <w:szCs w:val="22"/>
        </w:rPr>
        <w:t>20</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for the same period.</w:t>
      </w:r>
    </w:p>
    <w:p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2629EE">
        <w:rPr>
          <w:rFonts w:ascii="Arial" w:eastAsia="Arial Unicode MS" w:hAnsi="Arial" w:cs="Arial Unicode MS"/>
          <w:sz w:val="22"/>
          <w:szCs w:val="22"/>
        </w:rPr>
        <w:t>Filter Vision</w:t>
      </w:r>
      <w:r w:rsidRPr="000177FC">
        <w:rPr>
          <w:rFonts w:ascii="Arial" w:hAnsi="Arial" w:cs="Arial"/>
          <w:color w:val="auto"/>
          <w:sz w:val="22"/>
          <w:szCs w:val="22"/>
        </w:rPr>
        <w:t xml:space="preserve"> Public Company Limited and its subsidiaries and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w:t>
      </w:r>
      <w:r w:rsidRPr="000177FC">
        <w:rPr>
          <w:rFonts w:ascii="Arial" w:hAnsi="Arial" w:cs="Arial"/>
          <w:color w:val="auto"/>
          <w:sz w:val="22"/>
          <w:szCs w:val="22"/>
        </w:rPr>
        <w:t xml:space="preserve"> as at 31 December </w:t>
      </w:r>
      <w:r w:rsidR="005E2A88">
        <w:rPr>
          <w:rFonts w:ascii="Arial" w:hAnsi="Arial" w:cs="Arial"/>
          <w:color w:val="auto"/>
          <w:sz w:val="22"/>
          <w:szCs w:val="22"/>
        </w:rPr>
        <w:t>20</w:t>
      </w:r>
      <w:r w:rsidR="006A30B8">
        <w:rPr>
          <w:rFonts w:ascii="Arial" w:hAnsi="Arial" w:cs="Arial"/>
          <w:color w:val="auto"/>
          <w:sz w:val="22"/>
          <w:szCs w:val="22"/>
        </w:rPr>
        <w:t>20</w:t>
      </w:r>
      <w:r w:rsidRPr="000177FC">
        <w:rPr>
          <w:rFonts w:ascii="Arial" w:hAnsi="Arial" w:cs="Arial"/>
          <w:color w:val="auto"/>
          <w:sz w:val="22"/>
          <w:szCs w:val="22"/>
        </w:rPr>
        <w:t>, their financial performance and cash flows for the year then ended in accordance with Thai Financial Reporting Standards.</w:t>
      </w:r>
    </w:p>
    <w:p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0177FC">
        <w:rPr>
          <w:rFonts w:ascii="Arial" w:hAnsi="Arial" w:cs="Arial"/>
          <w:sz w:val="22"/>
          <w:szCs w:val="22"/>
        </w:rPr>
        <w:t>sufficient</w:t>
      </w:r>
      <w:proofErr w:type="gramEnd"/>
      <w:r w:rsidRPr="000177FC">
        <w:rPr>
          <w:rFonts w:ascii="Arial" w:hAnsi="Arial" w:cs="Arial"/>
          <w:sz w:val="22"/>
          <w:szCs w:val="22"/>
        </w:rPr>
        <w:t xml:space="preserve"> and appropriate to provide a basis for my opinion.</w:t>
      </w:r>
    </w:p>
    <w:p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0"/>
          <w:footerReference w:type="default" r:id="rId11"/>
          <w:footerReference w:type="first" r:id="rId12"/>
          <w:pgSz w:w="11909" w:h="16834" w:code="9"/>
          <w:pgMar w:top="2880" w:right="1080" w:bottom="1080" w:left="1296" w:header="706" w:footer="706" w:gutter="0"/>
          <w:pgNumType w:start="1"/>
          <w:cols w:space="720"/>
          <w:titlePg/>
          <w:docGrid w:linePitch="326"/>
        </w:sectPr>
      </w:pPr>
    </w:p>
    <w:p w:rsidR="00A273EC" w:rsidRPr="0036139C" w:rsidRDefault="00A273EC" w:rsidP="00A273EC">
      <w:pPr>
        <w:tabs>
          <w:tab w:val="left" w:pos="2880"/>
          <w:tab w:val="left" w:pos="5760"/>
          <w:tab w:val="decimal" w:pos="6660"/>
          <w:tab w:val="left" w:pos="7110"/>
          <w:tab w:val="decimal" w:pos="7920"/>
        </w:tabs>
        <w:spacing w:before="120" w:after="120" w:line="380" w:lineRule="exact"/>
        <w:jc w:val="both"/>
        <w:rPr>
          <w:rFonts w:asciiTheme="minorBidi" w:hAnsiTheme="minorBidi" w:cs="Browallia New"/>
          <w:b/>
          <w:bCs/>
          <w:sz w:val="32"/>
          <w:szCs w:val="32"/>
        </w:rPr>
      </w:pPr>
      <w:r w:rsidRPr="001B4790">
        <w:rPr>
          <w:rFonts w:ascii="Arial" w:hAnsi="Arial" w:cs="Arial"/>
          <w:b/>
          <w:bCs/>
          <w:sz w:val="22"/>
          <w:szCs w:val="20"/>
        </w:rPr>
        <w:t>Emphasis of matter</w:t>
      </w:r>
      <w:r>
        <w:rPr>
          <w:rFonts w:ascii="Arial" w:hAnsi="Arial" w:cs="Browallia New"/>
          <w:b/>
          <w:bCs/>
          <w:sz w:val="22"/>
          <w:szCs w:val="20"/>
        </w:rPr>
        <w:t>s</w:t>
      </w:r>
    </w:p>
    <w:p w:rsidR="00A273EC" w:rsidRDefault="00A273EC" w:rsidP="00A273EC">
      <w:pPr>
        <w:spacing w:before="120" w:after="120" w:line="380" w:lineRule="exact"/>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modified in respect of these matters.</w:t>
      </w:r>
    </w:p>
    <w:p w:rsidR="00A273EC" w:rsidRDefault="00A273EC" w:rsidP="00A273EC">
      <w:pPr>
        <w:spacing w:before="120" w:after="120" w:line="380" w:lineRule="exact"/>
        <w:rPr>
          <w:rFonts w:ascii="Arial" w:hAnsi="Arial" w:cs="Arial"/>
          <w:sz w:val="22"/>
          <w:szCs w:val="22"/>
        </w:rPr>
      </w:pPr>
      <w:r>
        <w:rPr>
          <w:rFonts w:ascii="Arial" w:hAnsi="Arial" w:cs="Arial"/>
          <w:sz w:val="22"/>
          <w:szCs w:val="22"/>
        </w:rPr>
        <w:t xml:space="preserve">I draw attention to the following </w:t>
      </w:r>
      <w:r w:rsidR="00AC3B5B">
        <w:rPr>
          <w:rFonts w:ascii="Arial" w:hAnsi="Arial" w:cs="Arial"/>
          <w:sz w:val="22"/>
          <w:szCs w:val="22"/>
        </w:rPr>
        <w:t>n</w:t>
      </w:r>
      <w:r>
        <w:rPr>
          <w:rFonts w:ascii="Arial" w:hAnsi="Arial" w:cs="Arial"/>
          <w:sz w:val="22"/>
          <w:szCs w:val="22"/>
        </w:rPr>
        <w:t>otes to the consolidated financial statements.</w:t>
      </w:r>
    </w:p>
    <w:p w:rsidR="00301943" w:rsidRDefault="00301943" w:rsidP="00301943">
      <w:pPr>
        <w:pStyle w:val="ps-000-normal"/>
        <w:spacing w:before="120" w:line="360" w:lineRule="exact"/>
        <w:ind w:left="360" w:hanging="360"/>
        <w:rPr>
          <w:rFonts w:ascii="Arial" w:hAnsi="Arial"/>
          <w:sz w:val="22"/>
          <w:szCs w:val="22"/>
        </w:rPr>
      </w:pPr>
      <w:r>
        <w:rPr>
          <w:rFonts w:ascii="Arial" w:hAnsi="Arial"/>
          <w:sz w:val="22"/>
          <w:szCs w:val="22"/>
        </w:rPr>
        <w:t>a)</w:t>
      </w:r>
      <w:r>
        <w:rPr>
          <w:rFonts w:ascii="Arial" w:hAnsi="Arial"/>
          <w:sz w:val="22"/>
          <w:szCs w:val="22"/>
        </w:rPr>
        <w:tab/>
      </w:r>
      <w:r>
        <w:rPr>
          <w:rFonts w:ascii="Arial" w:hAnsi="Arial" w:cs="Angsana New"/>
          <w:sz w:val="22"/>
          <w:szCs w:val="28"/>
        </w:rPr>
        <w:t>As discussed in Note 1.2 and Note 3</w:t>
      </w:r>
      <w:r>
        <w:rPr>
          <w:rFonts w:ascii="Arial" w:hAnsi="Arial"/>
          <w:sz w:val="22"/>
          <w:szCs w:val="22"/>
        </w:rPr>
        <w:t xml:space="preserve"> to the consolidated financial statements, due to the impact of the COVID-19 </w:t>
      </w:r>
      <w:r>
        <w:rPr>
          <w:rFonts w:ascii="Arial" w:hAnsi="Arial" w:cstheme="minorBidi"/>
          <w:sz w:val="22"/>
          <w:szCs w:val="22"/>
        </w:rPr>
        <w:t xml:space="preserve">pandemic, </w:t>
      </w:r>
      <w:r>
        <w:rPr>
          <w:rFonts w:ascii="Arial" w:hAnsi="Arial"/>
          <w:sz w:val="22"/>
          <w:szCs w:val="22"/>
        </w:rPr>
        <w:t>in preparing the consolidated financial statements for the</w:t>
      </w:r>
      <w:r>
        <w:rPr>
          <w:rFonts w:ascii="Arial" w:hAnsi="Arial" w:cs="Angsana New"/>
          <w:sz w:val="22"/>
          <w:szCs w:val="22"/>
          <w:cs/>
        </w:rPr>
        <w:t xml:space="preserve"> </w:t>
      </w:r>
      <w:r w:rsidR="0078163B">
        <w:rPr>
          <w:rFonts w:ascii="Arial" w:hAnsi="Arial" w:cs="Angsana New"/>
          <w:sz w:val="22"/>
          <w:szCs w:val="22"/>
        </w:rPr>
        <w:t>year</w:t>
      </w:r>
      <w:r>
        <w:rPr>
          <w:rFonts w:ascii="Arial" w:hAnsi="Arial"/>
          <w:sz w:val="22"/>
          <w:szCs w:val="22"/>
        </w:rPr>
        <w:t xml:space="preserve"> ended 31 December 2020, the Group has adopted the Accounting Guidance on Temporary Relief Measures for Accounting Alternatives in Response to the Impact of the COVID-19 </w:t>
      </w:r>
      <w:r w:rsidR="00AC3B5B">
        <w:rPr>
          <w:rFonts w:ascii="Arial" w:hAnsi="Arial" w:cs="Angsana New"/>
          <w:sz w:val="22"/>
          <w:szCs w:val="28"/>
        </w:rPr>
        <w:t>p</w:t>
      </w:r>
      <w:r>
        <w:rPr>
          <w:rFonts w:ascii="Arial" w:hAnsi="Arial"/>
          <w:sz w:val="22"/>
          <w:szCs w:val="22"/>
        </w:rPr>
        <w:t xml:space="preserve">andemic issued by the Federation of Accounting Professions. The COVID-19 pandemic is continuing to evolve, resulting in an economic slowdown and adversely impacting most businesses and industries in terms of supply chains, consumer spending, limited or suspended production, operational delays, and more. This situation significantly affects the Group’s business activities in terms of </w:t>
      </w:r>
      <w:r w:rsidR="00AC3B5B">
        <w:rPr>
          <w:rFonts w:ascii="Arial" w:hAnsi="Arial"/>
          <w:sz w:val="22"/>
          <w:szCs w:val="22"/>
        </w:rPr>
        <w:t>the sales and</w:t>
      </w:r>
      <w:r>
        <w:rPr>
          <w:rFonts w:ascii="Arial" w:hAnsi="Arial"/>
          <w:sz w:val="22"/>
          <w:szCs w:val="22"/>
        </w:rPr>
        <w:t xml:space="preserve"> services </w:t>
      </w:r>
      <w:r w:rsidR="00AC3B5B">
        <w:rPr>
          <w:rFonts w:ascii="Arial" w:hAnsi="Arial"/>
          <w:sz w:val="22"/>
          <w:szCs w:val="22"/>
        </w:rPr>
        <w:t>of medical</w:t>
      </w:r>
      <w:r>
        <w:rPr>
          <w:rFonts w:ascii="Arial" w:hAnsi="Arial"/>
          <w:sz w:val="22"/>
          <w:szCs w:val="22"/>
        </w:rPr>
        <w:t xml:space="preserve"> health and beauty </w:t>
      </w:r>
      <w:r w:rsidR="00AC3B5B">
        <w:rPr>
          <w:rFonts w:ascii="Arial" w:hAnsi="Arial"/>
          <w:sz w:val="22"/>
          <w:szCs w:val="22"/>
        </w:rPr>
        <w:t xml:space="preserve">treatment service </w:t>
      </w:r>
      <w:r>
        <w:rPr>
          <w:rFonts w:ascii="Arial" w:hAnsi="Arial"/>
          <w:sz w:val="22"/>
          <w:szCs w:val="22"/>
        </w:rPr>
        <w:t>business, and this is significantly impacting the Group’s financial position, operating results, and cash flows at present, and is expected to do so in the future. The Group’s management</w:t>
      </w:r>
      <w:r>
        <w:rPr>
          <w:rFonts w:ascii="Arial" w:hAnsi="Arial" w:cs="Angsana New"/>
          <w:sz w:val="22"/>
          <w:szCs w:val="22"/>
          <w:cs/>
        </w:rPr>
        <w:t xml:space="preserve"> </w:t>
      </w:r>
      <w:r>
        <w:rPr>
          <w:rFonts w:ascii="Arial" w:hAnsi="Arial"/>
          <w:sz w:val="22"/>
          <w:szCs w:val="22"/>
        </w:rPr>
        <w:t xml:space="preserve">has continuously monitored the ongoing developments and assessed the financial impact in respect of the valuation of assets, provisions and contingent liabilities, and will record the </w:t>
      </w:r>
      <w:r w:rsidR="00AC3B5B">
        <w:rPr>
          <w:rFonts w:ascii="Arial" w:hAnsi="Arial"/>
          <w:sz w:val="22"/>
          <w:szCs w:val="22"/>
        </w:rPr>
        <w:t xml:space="preserve">additional </w:t>
      </w:r>
      <w:r>
        <w:rPr>
          <w:rFonts w:ascii="Arial" w:hAnsi="Arial"/>
          <w:sz w:val="22"/>
          <w:szCs w:val="22"/>
        </w:rPr>
        <w:t>impact when it is possible to do so.</w:t>
      </w:r>
    </w:p>
    <w:p w:rsidR="00301943" w:rsidRDefault="00301943" w:rsidP="00301943">
      <w:pPr>
        <w:pStyle w:val="ps-000-normal"/>
        <w:spacing w:before="120" w:line="360" w:lineRule="exact"/>
        <w:ind w:left="360" w:hanging="360"/>
        <w:rPr>
          <w:rFonts w:ascii="Arial" w:hAnsi="Arial"/>
          <w:sz w:val="22"/>
          <w:szCs w:val="22"/>
        </w:rPr>
      </w:pPr>
      <w:r>
        <w:rPr>
          <w:rFonts w:ascii="Arial" w:hAnsi="Arial"/>
          <w:sz w:val="22"/>
          <w:szCs w:val="22"/>
        </w:rPr>
        <w:t xml:space="preserve">b) </w:t>
      </w:r>
      <w:r>
        <w:rPr>
          <w:rFonts w:ascii="Arial" w:hAnsi="Arial"/>
          <w:sz w:val="22"/>
          <w:szCs w:val="22"/>
        </w:rPr>
        <w:tab/>
        <w:t xml:space="preserve">As discussed in </w:t>
      </w:r>
      <w:r w:rsidR="00AC3B5B">
        <w:rPr>
          <w:rFonts w:ascii="Arial" w:hAnsi="Arial"/>
          <w:sz w:val="22"/>
          <w:szCs w:val="22"/>
        </w:rPr>
        <w:t>n</w:t>
      </w:r>
      <w:r>
        <w:rPr>
          <w:rFonts w:ascii="Arial" w:hAnsi="Arial"/>
          <w:sz w:val="22"/>
          <w:szCs w:val="22"/>
        </w:rPr>
        <w:t>ote</w:t>
      </w:r>
      <w:r w:rsidR="00AC3B5B">
        <w:rPr>
          <w:rFonts w:ascii="Arial" w:hAnsi="Arial"/>
          <w:sz w:val="22"/>
          <w:szCs w:val="22"/>
        </w:rPr>
        <w:t>s</w:t>
      </w:r>
      <w:r>
        <w:rPr>
          <w:rFonts w:ascii="Arial" w:hAnsi="Arial"/>
          <w:sz w:val="22"/>
          <w:szCs w:val="22"/>
        </w:rPr>
        <w:t xml:space="preserve"> to the consolidated financial statements</w:t>
      </w:r>
      <w:r w:rsidR="0078163B">
        <w:rPr>
          <w:rFonts w:ascii="Arial" w:hAnsi="Arial"/>
          <w:sz w:val="22"/>
          <w:szCs w:val="22"/>
        </w:rPr>
        <w:t xml:space="preserve"> as follows;</w:t>
      </w:r>
    </w:p>
    <w:p w:rsidR="00301943" w:rsidRDefault="00301943" w:rsidP="00301943">
      <w:pPr>
        <w:pStyle w:val="ps-000-normal"/>
        <w:spacing w:before="120" w:line="360" w:lineRule="exact"/>
        <w:ind w:left="720" w:hanging="360"/>
        <w:rPr>
          <w:rFonts w:ascii="Arial" w:hAnsi="Arial"/>
          <w:sz w:val="22"/>
          <w:szCs w:val="22"/>
        </w:rPr>
      </w:pPr>
      <w:r>
        <w:rPr>
          <w:rFonts w:ascii="Arial" w:hAnsi="Arial"/>
          <w:sz w:val="22"/>
          <w:szCs w:val="22"/>
        </w:rPr>
        <w:t>-</w:t>
      </w:r>
      <w:r>
        <w:rPr>
          <w:rFonts w:ascii="Arial" w:hAnsi="Arial"/>
          <w:sz w:val="22"/>
          <w:szCs w:val="22"/>
        </w:rPr>
        <w:tab/>
      </w:r>
      <w:r w:rsidR="0078163B">
        <w:rPr>
          <w:rFonts w:ascii="Arial" w:hAnsi="Arial"/>
          <w:sz w:val="22"/>
          <w:szCs w:val="22"/>
        </w:rPr>
        <w:t xml:space="preserve">Note 36.6 to the consolidated financial statements - </w:t>
      </w:r>
      <w:r>
        <w:rPr>
          <w:rFonts w:ascii="Arial" w:hAnsi="Arial"/>
          <w:sz w:val="22"/>
          <w:szCs w:val="22"/>
        </w:rPr>
        <w:t>Litigations related to Franchise Agreement and the Asset Sales Agreement</w:t>
      </w:r>
    </w:p>
    <w:p w:rsidR="00301943" w:rsidRDefault="00301943" w:rsidP="00301943">
      <w:pPr>
        <w:pStyle w:val="ps-000-normal"/>
        <w:spacing w:before="120" w:line="360" w:lineRule="exact"/>
        <w:ind w:left="720" w:hanging="360"/>
        <w:rPr>
          <w:rFonts w:ascii="Arial" w:hAnsi="Arial"/>
          <w:sz w:val="22"/>
          <w:szCs w:val="22"/>
        </w:rPr>
      </w:pPr>
      <w:r>
        <w:rPr>
          <w:rFonts w:ascii="Arial" w:hAnsi="Arial"/>
          <w:sz w:val="22"/>
          <w:szCs w:val="22"/>
        </w:rPr>
        <w:tab/>
        <w:t>In September 2018 two local companies, which are shareholders of the company that is the owner of the “</w:t>
      </w:r>
      <w:proofErr w:type="spellStart"/>
      <w:r>
        <w:rPr>
          <w:rFonts w:ascii="Arial" w:hAnsi="Arial"/>
          <w:sz w:val="22"/>
          <w:szCs w:val="22"/>
        </w:rPr>
        <w:t>Wuttisak</w:t>
      </w:r>
      <w:proofErr w:type="spellEnd"/>
      <w:r>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This case is being considered by the </w:t>
      </w:r>
      <w:r>
        <w:rPr>
          <w:rFonts w:ascii="Arial" w:hAnsi="Arial" w:cs="Angsana New"/>
          <w:sz w:val="22"/>
          <w:szCs w:val="28"/>
        </w:rPr>
        <w:t>C</w:t>
      </w:r>
      <w:r>
        <w:rPr>
          <w:rFonts w:ascii="Arial" w:hAnsi="Arial"/>
          <w:sz w:val="22"/>
          <w:szCs w:val="22"/>
        </w:rPr>
        <w:t xml:space="preserve">ourt and thus the outcome cannot be determined at this time and depends on the future judicial process. </w:t>
      </w:r>
    </w:p>
    <w:p w:rsidR="00E050C7" w:rsidRDefault="00E050C7">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rsidR="0078163B" w:rsidRDefault="00301943" w:rsidP="00301943">
      <w:pPr>
        <w:pStyle w:val="ps-000-normal"/>
        <w:spacing w:before="120" w:line="360" w:lineRule="exact"/>
        <w:ind w:left="720" w:hanging="360"/>
        <w:rPr>
          <w:rFonts w:ascii="Arial" w:hAnsi="Arial"/>
          <w:sz w:val="22"/>
          <w:szCs w:val="22"/>
        </w:rPr>
      </w:pPr>
      <w:r>
        <w:rPr>
          <w:rFonts w:ascii="Arial" w:hAnsi="Arial"/>
          <w:sz w:val="22"/>
          <w:szCs w:val="22"/>
        </w:rPr>
        <w:t>-</w:t>
      </w:r>
      <w:r>
        <w:rPr>
          <w:rFonts w:ascii="Arial" w:hAnsi="Arial"/>
          <w:sz w:val="22"/>
          <w:szCs w:val="22"/>
        </w:rPr>
        <w:tab/>
      </w:r>
      <w:r w:rsidR="0078163B">
        <w:rPr>
          <w:rFonts w:ascii="Arial" w:hAnsi="Arial"/>
          <w:sz w:val="22"/>
          <w:szCs w:val="22"/>
        </w:rPr>
        <w:t xml:space="preserve">Note 1.1 and </w:t>
      </w:r>
      <w:r w:rsidR="00AC3B5B">
        <w:rPr>
          <w:rFonts w:ascii="Arial" w:hAnsi="Arial"/>
          <w:sz w:val="22"/>
          <w:szCs w:val="22"/>
        </w:rPr>
        <w:t xml:space="preserve">Note </w:t>
      </w:r>
      <w:r w:rsidR="0078163B">
        <w:rPr>
          <w:rFonts w:ascii="Arial" w:hAnsi="Arial"/>
          <w:sz w:val="22"/>
          <w:szCs w:val="22"/>
        </w:rPr>
        <w:t xml:space="preserve">30 to the consolidated financial statements - </w:t>
      </w:r>
      <w:r>
        <w:rPr>
          <w:rFonts w:ascii="Arial" w:hAnsi="Arial"/>
          <w:sz w:val="22"/>
          <w:szCs w:val="22"/>
        </w:rPr>
        <w:t>Th</w:t>
      </w:r>
      <w:r w:rsidR="0078163B">
        <w:rPr>
          <w:rFonts w:ascii="Arial" w:hAnsi="Arial"/>
          <w:sz w:val="22"/>
          <w:szCs w:val="22"/>
        </w:rPr>
        <w:t>e temporary cessation of the subsidiary and discontinued operation</w:t>
      </w:r>
    </w:p>
    <w:p w:rsidR="0078163B" w:rsidRPr="00736E0D" w:rsidRDefault="0078163B" w:rsidP="00301943">
      <w:pPr>
        <w:pStyle w:val="ps-000-normal"/>
        <w:spacing w:before="120" w:line="360" w:lineRule="exact"/>
        <w:ind w:left="720" w:hanging="360"/>
        <w:rPr>
          <w:rFonts w:ascii="Arial" w:hAnsi="Arial" w:cs="Angsana New"/>
          <w:sz w:val="22"/>
          <w:szCs w:val="28"/>
        </w:rPr>
      </w:pPr>
      <w:r>
        <w:rPr>
          <w:rFonts w:ascii="Arial" w:hAnsi="Arial"/>
          <w:sz w:val="22"/>
          <w:szCs w:val="22"/>
        </w:rPr>
        <w:tab/>
        <w:t xml:space="preserve">In December 2020, a </w:t>
      </w:r>
      <w:r w:rsidR="00AC3B5B">
        <w:rPr>
          <w:rFonts w:ascii="Arial" w:hAnsi="Arial"/>
          <w:sz w:val="22"/>
          <w:szCs w:val="22"/>
        </w:rPr>
        <w:t xml:space="preserve">meeting of </w:t>
      </w:r>
      <w:r>
        <w:rPr>
          <w:rFonts w:ascii="Arial" w:hAnsi="Arial"/>
          <w:sz w:val="22"/>
          <w:szCs w:val="22"/>
        </w:rPr>
        <w:t xml:space="preserve">Board of Directors of Hi Healthcare Center Company Limited (the Company’s subsidiary) approved the temporary cessation of all </w:t>
      </w:r>
      <w:r w:rsidR="00AC3B5B">
        <w:rPr>
          <w:rFonts w:ascii="Arial" w:hAnsi="Arial"/>
          <w:sz w:val="22"/>
          <w:szCs w:val="22"/>
        </w:rPr>
        <w:t xml:space="preserve">existing </w:t>
      </w:r>
      <w:r>
        <w:rPr>
          <w:rFonts w:ascii="Arial" w:hAnsi="Arial"/>
          <w:sz w:val="22"/>
          <w:szCs w:val="22"/>
        </w:rPr>
        <w:t>branches</w:t>
      </w:r>
      <w:r w:rsidR="00736E0D">
        <w:rPr>
          <w:rFonts w:ascii="Arial" w:hAnsi="Arial"/>
          <w:sz w:val="22"/>
          <w:szCs w:val="22"/>
        </w:rPr>
        <w:t xml:space="preserve">, effective from 31 December 2020. </w:t>
      </w:r>
      <w:r w:rsidR="00736E0D">
        <w:rPr>
          <w:rFonts w:ascii="Arial" w:hAnsi="Arial" w:cs="Angsana New"/>
          <w:sz w:val="22"/>
          <w:szCs w:val="28"/>
        </w:rPr>
        <w:t>As a result, the subsidiary has changed the basis used for the preparation of the financial statements for the year ended 31 December 2020 from the going co</w:t>
      </w:r>
      <w:bookmarkStart w:id="0" w:name="_GoBack"/>
      <w:bookmarkEnd w:id="0"/>
      <w:r w:rsidR="00736E0D">
        <w:rPr>
          <w:rFonts w:ascii="Arial" w:hAnsi="Arial" w:cs="Angsana New"/>
          <w:sz w:val="22"/>
          <w:szCs w:val="28"/>
        </w:rPr>
        <w:t xml:space="preserve">ncern </w:t>
      </w:r>
      <w:r w:rsidR="00AC3B5B">
        <w:rPr>
          <w:rFonts w:ascii="Arial" w:hAnsi="Arial" w:cs="Angsana New"/>
          <w:sz w:val="22"/>
          <w:szCs w:val="28"/>
        </w:rPr>
        <w:t>basis of accounting</w:t>
      </w:r>
      <w:r w:rsidR="00736E0D">
        <w:rPr>
          <w:rFonts w:ascii="Arial" w:hAnsi="Arial" w:cs="Angsana New"/>
          <w:sz w:val="22"/>
          <w:szCs w:val="28"/>
        </w:rPr>
        <w:t xml:space="preserve"> to </w:t>
      </w:r>
      <w:r w:rsidR="00244887">
        <w:rPr>
          <w:rFonts w:ascii="Arial" w:hAnsi="Arial" w:cs="Angsana New"/>
          <w:sz w:val="22"/>
          <w:szCs w:val="28"/>
        </w:rPr>
        <w:t>an</w:t>
      </w:r>
      <w:r w:rsidR="00736E0D">
        <w:rPr>
          <w:rFonts w:ascii="Arial" w:hAnsi="Arial" w:cs="Angsana New"/>
          <w:sz w:val="22"/>
          <w:szCs w:val="28"/>
        </w:rPr>
        <w:t xml:space="preserve">other basis. </w:t>
      </w:r>
      <w:r w:rsidR="00D51FA9">
        <w:rPr>
          <w:rFonts w:ascii="Arial" w:hAnsi="Arial" w:cs="Angsana New"/>
          <w:sz w:val="22"/>
          <w:szCs w:val="28"/>
        </w:rPr>
        <w:t>The Group therefore mad</w:t>
      </w:r>
      <w:r w:rsidR="00AC3B5B">
        <w:rPr>
          <w:rFonts w:ascii="Arial" w:hAnsi="Arial" w:cs="Angsana New"/>
          <w:sz w:val="22"/>
          <w:szCs w:val="28"/>
        </w:rPr>
        <w:t>e</w:t>
      </w:r>
      <w:r w:rsidR="00D51FA9">
        <w:rPr>
          <w:rFonts w:ascii="Arial" w:hAnsi="Arial" w:cs="Angsana New"/>
          <w:sz w:val="22"/>
          <w:szCs w:val="28"/>
        </w:rPr>
        <w:t xml:space="preserve"> reclassifications to the consolidated statements of comprehensive income for the year ended 31 December 2019, presented as comparative information, in order to reflect the operating results of the discontinued operation. </w:t>
      </w:r>
    </w:p>
    <w:p w:rsidR="00301943" w:rsidRDefault="00301943" w:rsidP="00B50E43">
      <w:pPr>
        <w:pStyle w:val="ps-000-normal"/>
        <w:spacing w:before="120" w:line="360" w:lineRule="exact"/>
        <w:ind w:left="360" w:hanging="360"/>
        <w:rPr>
          <w:rFonts w:ascii="Arial" w:hAnsi="Arial"/>
          <w:sz w:val="22"/>
          <w:szCs w:val="22"/>
        </w:rPr>
      </w:pPr>
      <w:r>
        <w:rPr>
          <w:rFonts w:ascii="Arial" w:hAnsi="Arial" w:cs="Angsana New"/>
          <w:sz w:val="22"/>
          <w:szCs w:val="28"/>
        </w:rPr>
        <w:t>c</w:t>
      </w:r>
      <w:r>
        <w:rPr>
          <w:rFonts w:ascii="Arial" w:hAnsi="Arial"/>
          <w:sz w:val="22"/>
          <w:szCs w:val="22"/>
        </w:rPr>
        <w:t>)</w:t>
      </w:r>
      <w:r>
        <w:rPr>
          <w:rFonts w:ascii="Arial" w:hAnsi="Arial"/>
          <w:sz w:val="22"/>
          <w:szCs w:val="22"/>
        </w:rPr>
        <w:tab/>
        <w:t>During the second quarter of 2020, the restructure of the shareholding in subsidiaries of the Group has been made, as discussed in Note 14 to the consolidated financial statements.</w:t>
      </w:r>
    </w:p>
    <w:p w:rsidR="00C52C43" w:rsidRPr="000177FC" w:rsidRDefault="00C52C43" w:rsidP="00A273EC">
      <w:pPr>
        <w:pStyle w:val="ps-000-normal"/>
        <w:spacing w:before="120" w:line="380" w:lineRule="exact"/>
        <w:rPr>
          <w:rFonts w:ascii="Arial" w:hAnsi="Arial" w:cs="Arial"/>
          <w:b/>
          <w:bCs/>
          <w:sz w:val="22"/>
          <w:szCs w:val="22"/>
        </w:rPr>
      </w:pPr>
      <w:r w:rsidRPr="000177FC">
        <w:rPr>
          <w:rFonts w:ascii="Arial" w:hAnsi="Arial" w:cs="Arial"/>
          <w:b/>
          <w:bCs/>
          <w:sz w:val="22"/>
          <w:szCs w:val="22"/>
        </w:rPr>
        <w:t>Key Audit Matters</w:t>
      </w:r>
    </w:p>
    <w:p w:rsidR="00C52C43" w:rsidRPr="000177FC" w:rsidRDefault="00C52C43" w:rsidP="00C52C43">
      <w:pPr>
        <w:pStyle w:val="ps-000-normal"/>
        <w:spacing w:line="380" w:lineRule="exact"/>
        <w:rPr>
          <w:rFonts w:ascii="Arial" w:hAnsi="Arial" w:cs="Arial"/>
          <w:sz w:val="22"/>
          <w:szCs w:val="22"/>
        </w:rPr>
      </w:pPr>
      <w:r w:rsidRPr="000177F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177FC">
        <w:rPr>
          <w:rFonts w:ascii="Arial" w:hAnsi="Arial" w:cs="Arial"/>
          <w:sz w:val="22"/>
          <w:szCs w:val="22"/>
        </w:rPr>
        <w:t>statements as a whole, and</w:t>
      </w:r>
      <w:proofErr w:type="gramEnd"/>
      <w:r w:rsidRPr="000177FC">
        <w:rPr>
          <w:rFonts w:ascii="Arial" w:hAnsi="Arial" w:cs="Arial"/>
          <w:sz w:val="22"/>
          <w:szCs w:val="22"/>
        </w:rPr>
        <w:t xml:space="preserve"> in forming my opinion thereon, and I do not provide a separate opinion on these matters. </w:t>
      </w:r>
    </w:p>
    <w:p w:rsidR="00C52C43" w:rsidRPr="000177FC" w:rsidRDefault="00C52C43" w:rsidP="00A273EC">
      <w:pPr>
        <w:pStyle w:val="ps-000-normal"/>
        <w:spacing w:before="60" w:after="60" w:line="380" w:lineRule="exact"/>
        <w:rPr>
          <w:rFonts w:ascii="Arial" w:hAnsi="Arial" w:cs="Arial"/>
          <w:i/>
          <w:iCs/>
          <w:color w:val="548DD4" w:themeColor="text2" w:themeTint="99"/>
          <w:sz w:val="22"/>
          <w:szCs w:val="22"/>
        </w:rPr>
      </w:pPr>
      <w:r w:rsidRPr="000177FC">
        <w:rPr>
          <w:rFonts w:ascii="Arial" w:hAnsi="Arial" w:cs="Arial"/>
          <w:sz w:val="22"/>
          <w:szCs w:val="22"/>
        </w:rPr>
        <w:t xml:space="preserve">I have fulfilled the responsibilities described in the </w:t>
      </w:r>
      <w:r w:rsidRPr="000177FC">
        <w:rPr>
          <w:rFonts w:ascii="Arial" w:hAnsi="Arial" w:cs="Arial"/>
          <w:i/>
          <w:iCs/>
          <w:sz w:val="22"/>
          <w:szCs w:val="22"/>
        </w:rPr>
        <w:t>Auditor’s Responsibilities for the</w:t>
      </w:r>
      <w:r w:rsidRPr="000177FC">
        <w:rPr>
          <w:rFonts w:ascii="Arial" w:hAnsi="Arial" w:cs="Arial"/>
          <w:sz w:val="22"/>
          <w:szCs w:val="22"/>
        </w:rPr>
        <w:t xml:space="preserve"> </w:t>
      </w:r>
      <w:r w:rsidRPr="000177FC">
        <w:rPr>
          <w:rFonts w:ascii="Arial" w:hAnsi="Arial" w:cs="Arial"/>
          <w:i/>
          <w:iCs/>
          <w:sz w:val="22"/>
          <w:szCs w:val="22"/>
        </w:rPr>
        <w:t>Audit of the Financial Statements</w:t>
      </w:r>
      <w:r w:rsidRPr="000177F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C52C43" w:rsidRPr="000177FC" w:rsidRDefault="00C52C43" w:rsidP="00A273EC">
      <w:pPr>
        <w:pStyle w:val="ps-000-normal"/>
        <w:spacing w:before="60" w:after="60" w:line="380" w:lineRule="exact"/>
        <w:rPr>
          <w:rFonts w:ascii="Arial" w:hAnsi="Arial" w:cs="Arial"/>
          <w:sz w:val="22"/>
          <w:szCs w:val="22"/>
        </w:rPr>
      </w:pPr>
      <w:r w:rsidRPr="000177FC">
        <w:rPr>
          <w:rFonts w:ascii="Arial" w:hAnsi="Arial" w:cs="Arial"/>
          <w:color w:val="auto"/>
          <w:sz w:val="22"/>
          <w:szCs w:val="22"/>
        </w:rPr>
        <w:t>K</w:t>
      </w:r>
      <w:r w:rsidRPr="000177FC">
        <w:rPr>
          <w:rFonts w:ascii="Arial" w:hAnsi="Arial" w:cs="Arial"/>
          <w:sz w:val="22"/>
          <w:szCs w:val="22"/>
        </w:rPr>
        <w:t>ey audit matters and how audit procedures respond for each matter are</w:t>
      </w:r>
      <w:r w:rsidRPr="000177FC">
        <w:rPr>
          <w:rFonts w:ascii="Arial" w:hAnsi="Arial" w:cs="Arial"/>
          <w:sz w:val="22"/>
          <w:szCs w:val="22"/>
          <w:cs/>
        </w:rPr>
        <w:t xml:space="preserve"> </w:t>
      </w:r>
      <w:r w:rsidRPr="000177FC">
        <w:rPr>
          <w:rFonts w:ascii="Arial" w:hAnsi="Arial" w:cs="Arial"/>
          <w:sz w:val="22"/>
          <w:szCs w:val="22"/>
        </w:rPr>
        <w:t>described below.</w:t>
      </w:r>
    </w:p>
    <w:p w:rsidR="00C52C43" w:rsidRPr="000177FC" w:rsidRDefault="00C52C43" w:rsidP="00A273EC">
      <w:pPr>
        <w:spacing w:before="60" w:after="60" w:line="380" w:lineRule="exact"/>
        <w:rPr>
          <w:rFonts w:ascii="Arial" w:hAnsi="Arial" w:cs="Arial"/>
          <w:b/>
          <w:bCs/>
          <w:sz w:val="22"/>
          <w:szCs w:val="22"/>
        </w:rPr>
      </w:pPr>
      <w:r w:rsidRPr="000177FC">
        <w:rPr>
          <w:rFonts w:ascii="Arial" w:hAnsi="Arial" w:cs="Arial"/>
          <w:b/>
          <w:bCs/>
          <w:sz w:val="22"/>
          <w:szCs w:val="22"/>
        </w:rPr>
        <w:t>Revenue recognition</w:t>
      </w:r>
    </w:p>
    <w:p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The revenue from sales</w:t>
      </w:r>
      <w:r w:rsidR="00286B96">
        <w:rPr>
          <w:rFonts w:ascii="Arial" w:hAnsi="Arial" w:cs="Arial"/>
          <w:sz w:val="22"/>
          <w:szCs w:val="22"/>
        </w:rPr>
        <w:t xml:space="preserve"> and services</w:t>
      </w:r>
      <w:r w:rsidRPr="000177FC">
        <w:rPr>
          <w:rFonts w:ascii="Arial" w:hAnsi="Arial" w:cs="Arial"/>
          <w:sz w:val="22"/>
          <w:szCs w:val="22"/>
        </w:rPr>
        <w:t xml:space="preserve"> is the significant amount in the </w:t>
      </w:r>
      <w:r w:rsidR="006C4E35">
        <w:rPr>
          <w:rFonts w:ascii="Arial" w:hAnsi="Arial" w:cs="Arial"/>
          <w:sz w:val="22"/>
          <w:szCs w:val="22"/>
        </w:rPr>
        <w:t xml:space="preserve">consolidated </w:t>
      </w:r>
      <w:r w:rsidRPr="000177FC">
        <w:rPr>
          <w:rFonts w:ascii="Arial" w:hAnsi="Arial" w:cs="Arial"/>
          <w:sz w:val="22"/>
          <w:szCs w:val="22"/>
        </w:rPr>
        <w:t>statement of comprehensive income</w:t>
      </w:r>
      <w:r w:rsidR="006C4E35">
        <w:rPr>
          <w:rFonts w:ascii="Arial" w:hAnsi="Arial" w:cs="Arial"/>
          <w:sz w:val="22"/>
          <w:szCs w:val="22"/>
        </w:rPr>
        <w:t xml:space="preserve"> of the Group </w:t>
      </w:r>
      <w:r w:rsidRPr="000177FC">
        <w:rPr>
          <w:rFonts w:ascii="Arial" w:hAnsi="Arial" w:cs="Arial"/>
          <w:sz w:val="22"/>
          <w:szCs w:val="22"/>
        </w:rPr>
        <w:t xml:space="preserve">and is also the key indicator of business performance on which the users of financial statements focus. </w:t>
      </w:r>
      <w:r>
        <w:rPr>
          <w:rFonts w:ascii="Arial" w:hAnsi="Arial" w:cs="Browallia New"/>
          <w:sz w:val="22"/>
        </w:rPr>
        <w:t xml:space="preserve">In addition, the </w:t>
      </w:r>
      <w:r w:rsidR="006C4E35">
        <w:rPr>
          <w:rFonts w:ascii="Arial" w:hAnsi="Arial" w:cs="Browallia New"/>
          <w:sz w:val="22"/>
        </w:rPr>
        <w:t>Group</w:t>
      </w:r>
      <w:r>
        <w:rPr>
          <w:rFonts w:ascii="Arial" w:hAnsi="Arial" w:cs="Browallia New"/>
          <w:sz w:val="22"/>
        </w:rPr>
        <w:t xml:space="preserve"> has a large customer base. </w:t>
      </w:r>
      <w:proofErr w:type="gramStart"/>
      <w:r w:rsidR="005F4C14">
        <w:rPr>
          <w:rFonts w:ascii="Arial" w:hAnsi="Arial" w:cs="Arial"/>
          <w:sz w:val="22"/>
          <w:szCs w:val="22"/>
        </w:rPr>
        <w:t>Therefore</w:t>
      </w:r>
      <w:proofErr w:type="gramEnd"/>
      <w:r w:rsidR="005F4C14">
        <w:rPr>
          <w:rFonts w:ascii="Arial" w:hAnsi="Arial" w:cs="Arial"/>
          <w:sz w:val="22"/>
          <w:szCs w:val="22"/>
        </w:rPr>
        <w:t xml:space="preserve"> </w:t>
      </w:r>
      <w:r w:rsidR="00BC65BB">
        <w:rPr>
          <w:rFonts w:ascii="Arial" w:hAnsi="Arial" w:cs="Arial"/>
          <w:sz w:val="22"/>
          <w:szCs w:val="22"/>
        </w:rPr>
        <w:t>I focused on the actual occurrence</w:t>
      </w:r>
      <w:r w:rsidR="006C4E35">
        <w:rPr>
          <w:rFonts w:ascii="Arial" w:hAnsi="Arial" w:cs="Arial"/>
          <w:sz w:val="22"/>
          <w:szCs w:val="22"/>
        </w:rPr>
        <w:t xml:space="preserve"> and timing of revenue recognition</w:t>
      </w:r>
      <w:r w:rsidR="00EE189B">
        <w:rPr>
          <w:rFonts w:ascii="Arial" w:hAnsi="Arial" w:cs="Arial"/>
          <w:sz w:val="22"/>
          <w:szCs w:val="22"/>
        </w:rPr>
        <w:t xml:space="preserve"> of the Group</w:t>
      </w:r>
      <w:r w:rsidRPr="00C52C43">
        <w:rPr>
          <w:rFonts w:ascii="Arial" w:hAnsi="Arial" w:cs="Arial"/>
          <w:sz w:val="22"/>
          <w:szCs w:val="22"/>
        </w:rPr>
        <w:t>.</w:t>
      </w:r>
    </w:p>
    <w:p w:rsidR="00E050C7" w:rsidRDefault="00E050C7">
      <w:pPr>
        <w:overflowPunct/>
        <w:autoSpaceDE/>
        <w:autoSpaceDN/>
        <w:adjustRightInd/>
        <w:textAlignment w:val="auto"/>
        <w:rPr>
          <w:rFonts w:ascii="Arial" w:hAnsi="Arial" w:cs="Arial"/>
          <w:sz w:val="22"/>
          <w:szCs w:val="22"/>
        </w:rPr>
      </w:pPr>
      <w:r>
        <w:rPr>
          <w:rFonts w:ascii="Arial" w:hAnsi="Arial" w:cs="Arial"/>
          <w:sz w:val="22"/>
          <w:szCs w:val="22"/>
        </w:rPr>
        <w:br w:type="page"/>
      </w:r>
    </w:p>
    <w:p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 xml:space="preserve">I have examined the revenue recognition of the </w:t>
      </w:r>
      <w:r w:rsidR="006C4E35">
        <w:rPr>
          <w:rFonts w:ascii="Arial" w:hAnsi="Arial" w:cs="Arial"/>
          <w:sz w:val="22"/>
          <w:szCs w:val="22"/>
        </w:rPr>
        <w:t>Group</w:t>
      </w:r>
      <w:r w:rsidRPr="000177FC">
        <w:rPr>
          <w:rFonts w:ascii="Arial" w:hAnsi="Arial" w:cs="Arial"/>
          <w:sz w:val="22"/>
          <w:szCs w:val="22"/>
        </w:rPr>
        <w:t xml:space="preserve"> by </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Assessing and testing the </w:t>
      </w:r>
      <w:r w:rsidR="006C4E35">
        <w:rPr>
          <w:rFonts w:ascii="Arial" w:hAnsi="Arial" w:cs="Arial"/>
          <w:sz w:val="22"/>
          <w:szCs w:val="22"/>
        </w:rPr>
        <w:t>Group’s</w:t>
      </w:r>
      <w:r w:rsidRPr="00B3340B">
        <w:rPr>
          <w:rFonts w:ascii="Arial" w:hAnsi="Arial" w:cs="Arial"/>
          <w:sz w:val="22"/>
          <w:szCs w:val="22"/>
        </w:rPr>
        <w:t xml:space="preserve"> </w:t>
      </w:r>
      <w:r w:rsidR="006C4E35">
        <w:rPr>
          <w:rFonts w:ascii="Arial" w:hAnsi="Arial" w:cs="Arial"/>
          <w:sz w:val="22"/>
          <w:szCs w:val="22"/>
        </w:rPr>
        <w:t xml:space="preserve">significant </w:t>
      </w:r>
      <w:r w:rsidRPr="00B3340B">
        <w:rPr>
          <w:rFonts w:ascii="Arial" w:hAnsi="Arial" w:cs="Arial"/>
          <w:sz w:val="22"/>
          <w:szCs w:val="22"/>
        </w:rPr>
        <w:t>internal controls with respect to the revenue cycle by making enquiry of responsible executives, gaining an understanding of the controls and selecting representative samples to test the operation of the designed controls.</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Applying a sampling method to select sales</w:t>
      </w:r>
      <w:r w:rsidR="00286B96">
        <w:rPr>
          <w:rFonts w:ascii="Arial" w:hAnsi="Arial" w:cs="Arial"/>
          <w:sz w:val="22"/>
          <w:szCs w:val="22"/>
        </w:rPr>
        <w:t xml:space="preserve"> and services</w:t>
      </w:r>
      <w:r w:rsidRPr="00B3340B">
        <w:rPr>
          <w:rFonts w:ascii="Arial" w:hAnsi="Arial" w:cs="Arial"/>
          <w:sz w:val="22"/>
          <w:szCs w:val="22"/>
        </w:rPr>
        <w:t xml:space="preserve"> documents to assess whether revenue recognition was consistent with the conditions of the relevant sale documents, and whether it </w:t>
      </w:r>
      <w:proofErr w:type="gramStart"/>
      <w:r w:rsidRPr="00B3340B">
        <w:rPr>
          <w:rFonts w:ascii="Arial" w:hAnsi="Arial" w:cs="Arial"/>
          <w:sz w:val="22"/>
          <w:szCs w:val="22"/>
        </w:rPr>
        <w:t>was in compliance with</w:t>
      </w:r>
      <w:proofErr w:type="gramEnd"/>
      <w:r w:rsidRPr="00B3340B">
        <w:rPr>
          <w:rFonts w:ascii="Arial" w:hAnsi="Arial" w:cs="Arial"/>
          <w:sz w:val="22"/>
          <w:szCs w:val="22"/>
        </w:rPr>
        <w:t xml:space="preserve"> the </w:t>
      </w:r>
      <w:r w:rsidR="006C4E35">
        <w:rPr>
          <w:rFonts w:ascii="Arial" w:hAnsi="Arial" w:cs="Arial"/>
          <w:sz w:val="22"/>
          <w:szCs w:val="22"/>
        </w:rPr>
        <w:t>Group’s</w:t>
      </w:r>
      <w:r w:rsidRPr="00B3340B">
        <w:rPr>
          <w:rFonts w:ascii="Arial" w:hAnsi="Arial" w:cs="Arial"/>
          <w:sz w:val="22"/>
          <w:szCs w:val="22"/>
        </w:rPr>
        <w:t xml:space="preserve"> policy.</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On a sampling basis, examining supporting documents for actual sales</w:t>
      </w:r>
      <w:r w:rsidR="00286B96">
        <w:rPr>
          <w:rFonts w:ascii="Arial" w:hAnsi="Arial" w:cs="Arial"/>
          <w:sz w:val="22"/>
          <w:szCs w:val="22"/>
        </w:rPr>
        <w:t xml:space="preserve"> and services</w:t>
      </w:r>
      <w:r w:rsidRPr="00B3340B">
        <w:rPr>
          <w:rFonts w:ascii="Arial" w:hAnsi="Arial" w:cs="Arial"/>
          <w:sz w:val="22"/>
          <w:szCs w:val="22"/>
        </w:rPr>
        <w:t xml:space="preserve"> transactions occurring near the end of the accounting period. </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Reviewing credit notes that the </w:t>
      </w:r>
      <w:r w:rsidR="006C4E35">
        <w:rPr>
          <w:rFonts w:ascii="Arial" w:hAnsi="Arial" w:cs="Arial"/>
          <w:sz w:val="22"/>
          <w:szCs w:val="22"/>
        </w:rPr>
        <w:t>Group</w:t>
      </w:r>
      <w:r w:rsidRPr="00B3340B">
        <w:rPr>
          <w:rFonts w:ascii="Arial" w:hAnsi="Arial" w:cs="Arial"/>
          <w:sz w:val="22"/>
          <w:szCs w:val="22"/>
        </w:rPr>
        <w:t xml:space="preserve"> issued after the period-end. </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Performing analytical procedures on disaggregated data to detect possible irregularities in sales transactions throughout the period.     </w:t>
      </w:r>
    </w:p>
    <w:p w:rsidR="00463821" w:rsidRPr="000177FC" w:rsidRDefault="00463821" w:rsidP="00463821">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rsidR="00463821" w:rsidRPr="000177FC" w:rsidRDefault="00463821" w:rsidP="00463821">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 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463821" w:rsidRDefault="00463821" w:rsidP="00463821">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E050C7" w:rsidRDefault="00E050C7">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Auditor’s Responsibilities for the Audit of the Financial Statements</w:t>
      </w:r>
    </w:p>
    <w:p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0177FC">
        <w:rPr>
          <w:rFonts w:ascii="Arial" w:hAnsi="Arial" w:cs="Arial"/>
          <w:sz w:val="22"/>
          <w:szCs w:val="22"/>
        </w:rPr>
        <w:t>sufficient</w:t>
      </w:r>
      <w:proofErr w:type="gramEnd"/>
      <w:r w:rsidRPr="000177FC">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w:t>
      </w:r>
      <w:proofErr w:type="gramStart"/>
      <w:r w:rsidRPr="00CD0A31">
        <w:rPr>
          <w:rFonts w:ascii="Arial" w:hAnsi="Arial" w:cs="Arial"/>
          <w:sz w:val="22"/>
          <w:szCs w:val="22"/>
        </w:rPr>
        <w:t>sufficient</w:t>
      </w:r>
      <w:proofErr w:type="gramEnd"/>
      <w:r w:rsidRPr="00CD0A31">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50C7" w:rsidRDefault="00E050C7">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D20E16" w:rsidRDefault="00C52C43" w:rsidP="006C4E35">
      <w:pPr>
        <w:pStyle w:val="ps-000-normal"/>
        <w:spacing w:before="120" w:line="380" w:lineRule="exact"/>
        <w:rPr>
          <w:rFonts w:ascii="Arial" w:hAnsi="Arial" w:cs="Arial"/>
          <w:sz w:val="22"/>
          <w:szCs w:val="22"/>
        </w:rPr>
      </w:pPr>
      <w:r w:rsidRPr="000177F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655E24">
        <w:rPr>
          <w:rFonts w:ascii="Arial" w:hAnsi="Arial" w:cs="Arial"/>
          <w:sz w:val="22"/>
          <w:szCs w:val="22"/>
        </w:rPr>
        <w:t xml:space="preserve"> benefits of such communication.</w:t>
      </w:r>
    </w:p>
    <w:p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B50E43" w:rsidRDefault="00B50E43" w:rsidP="00B50E43">
      <w:pPr>
        <w:tabs>
          <w:tab w:val="left" w:pos="720"/>
          <w:tab w:val="center" w:pos="6300"/>
        </w:tabs>
        <w:spacing w:before="1400" w:line="370" w:lineRule="exact"/>
        <w:rPr>
          <w:rFonts w:ascii="Arial" w:hAnsi="Arial" w:cs="Arial"/>
          <w:color w:val="000000"/>
          <w:sz w:val="22"/>
          <w:szCs w:val="22"/>
        </w:rPr>
      </w:pPr>
      <w:r>
        <w:rPr>
          <w:rFonts w:ascii="Arial" w:hAnsi="Arial" w:cs="Arial"/>
          <w:color w:val="000000"/>
          <w:sz w:val="22"/>
          <w:szCs w:val="22"/>
        </w:rPr>
        <w:t>Kirdsiri Kanjanaprakasit</w:t>
      </w:r>
    </w:p>
    <w:p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B50E43">
        <w:rPr>
          <w:rFonts w:ascii="Arial" w:hAnsi="Arial" w:cs="Arial"/>
          <w:sz w:val="22"/>
          <w:szCs w:val="22"/>
        </w:rPr>
        <w:t>6014</w:t>
      </w:r>
    </w:p>
    <w:p w:rsidR="00C52C43" w:rsidRPr="000177FC" w:rsidRDefault="00C52C43" w:rsidP="00C52C43">
      <w:pPr>
        <w:spacing w:line="370" w:lineRule="exact"/>
        <w:rPr>
          <w:rFonts w:ascii="Arial" w:hAnsi="Arial" w:cs="Arial"/>
          <w:color w:val="000000"/>
          <w:sz w:val="22"/>
          <w:szCs w:val="22"/>
        </w:rPr>
      </w:pPr>
    </w:p>
    <w:p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54453B">
        <w:rPr>
          <w:rFonts w:ascii="Arial" w:hAnsi="Arial" w:cs="Arial"/>
          <w:color w:val="000000"/>
          <w:sz w:val="22"/>
          <w:szCs w:val="22"/>
        </w:rPr>
        <w:t>23</w:t>
      </w:r>
      <w:r w:rsidR="000B4C0C">
        <w:rPr>
          <w:rFonts w:ascii="Arial" w:hAnsi="Arial" w:cs="Arial"/>
          <w:color w:val="000000"/>
          <w:sz w:val="22"/>
          <w:szCs w:val="22"/>
        </w:rPr>
        <w:t xml:space="preserve"> February</w:t>
      </w:r>
      <w:r w:rsidR="00A04B40">
        <w:rPr>
          <w:rFonts w:ascii="Arial" w:hAnsi="Arial" w:cs="Arial"/>
          <w:color w:val="000000"/>
          <w:sz w:val="22"/>
          <w:szCs w:val="22"/>
        </w:rPr>
        <w:t xml:space="preserve"> 202</w:t>
      </w:r>
      <w:r w:rsidR="006A30B8">
        <w:rPr>
          <w:rFonts w:ascii="Arial" w:hAnsi="Arial" w:cs="Arial"/>
          <w:color w:val="000000"/>
          <w:sz w:val="22"/>
          <w:szCs w:val="22"/>
        </w:rPr>
        <w:t>1</w:t>
      </w:r>
    </w:p>
    <w:p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3"/>
      <w:footerReference w:type="first" r:id="rId14"/>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A92" w:rsidRDefault="00FB7A92" w:rsidP="008442C1">
      <w:r>
        <w:separator/>
      </w:r>
    </w:p>
  </w:endnote>
  <w:endnote w:type="continuationSeparator" w:id="0">
    <w:p w:rsidR="00FB7A92" w:rsidRDefault="00FB7A9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rsidR="00C52C43" w:rsidRDefault="00C52C43">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43" w:rsidRDefault="00C52C43">
    <w:pPr>
      <w:pStyle w:val="Footer"/>
      <w:jc w:val="right"/>
    </w:pPr>
  </w:p>
  <w:p w:rsidR="00C52C43" w:rsidRDefault="00C52C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rsidR="00F60E3A" w:rsidRDefault="00AC3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A92" w:rsidRDefault="00FB7A92" w:rsidP="008442C1">
      <w:r>
        <w:separator/>
      </w:r>
    </w:p>
  </w:footnote>
  <w:footnote w:type="continuationSeparator" w:id="0">
    <w:p w:rsidR="00FB7A92" w:rsidRDefault="00FB7A9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43" w:rsidRPr="004C0314" w:rsidRDefault="00C52C43" w:rsidP="004C0314">
    <w:pPr>
      <w:pStyle w:val="Header"/>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AC3B5B" w:rsidP="0077481E">
    <w:pPr>
      <w:pStyle w:val="Header"/>
      <w:spacing w:before="240"/>
    </w:pPr>
  </w:p>
  <w:p w:rsidR="00140AAC" w:rsidRDefault="00AC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6E0D"/>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63B"/>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78E8"/>
    <w:rsid w:val="007B011F"/>
    <w:rsid w:val="007B0B51"/>
    <w:rsid w:val="007B1726"/>
    <w:rsid w:val="007B2899"/>
    <w:rsid w:val="007B289C"/>
    <w:rsid w:val="007B3E8C"/>
    <w:rsid w:val="007B4106"/>
    <w:rsid w:val="007B5C07"/>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89DD1"/>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45029</vt:lpwstr>
  </property>
  <property fmtid="{D5CDD505-2E9C-101B-9397-08002B2CF9AE}" pid="4" name="OptimizationTime">
    <vt:lpwstr>20210224_0835</vt:lpwstr>
  </property>
</Properties>
</file>

<file path=docProps/app.xml><?xml version="1.0" encoding="utf-8"?>
<Properties xmlns="http://schemas.openxmlformats.org/officeDocument/2006/extended-properties" xmlns:vt="http://schemas.openxmlformats.org/officeDocument/2006/docPropsVTypes">
  <Template>Normal.dotm</Template>
  <TotalTime>95</TotalTime>
  <Pages>8</Pages>
  <Words>2063</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21</cp:revision>
  <cp:lastPrinted>2021-02-24T01:21:00Z</cp:lastPrinted>
  <dcterms:created xsi:type="dcterms:W3CDTF">2019-02-25T17:14:00Z</dcterms:created>
  <dcterms:modified xsi:type="dcterms:W3CDTF">2021-02-24T01:21:00Z</dcterms:modified>
</cp:coreProperties>
</file>