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rPr>
            </w:pPr>
          </w:p>
        </w:tc>
        <w:tc>
          <w:tcPr>
            <w:tcW w:w="7320" w:type="dxa"/>
            <w:vAlign w:val="center"/>
          </w:tcPr>
          <w:p w14:paraId="10B27163"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28B4AF2B" w14:textId="77777777"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and its subsidiaries</w:t>
            </w:r>
          </w:p>
          <w:p w14:paraId="36B0D40C" w14:textId="09FFDE08" w:rsidR="00001688" w:rsidRPr="00B848E8" w:rsidRDefault="00001688" w:rsidP="00001688">
            <w:pPr>
              <w:spacing w:line="380" w:lineRule="exact"/>
              <w:ind w:left="14"/>
              <w:rPr>
                <w:rFonts w:cs="Times New Roman"/>
                <w:color w:val="7E7F82"/>
                <w:sz w:val="27"/>
                <w:szCs w:val="27"/>
              </w:rPr>
            </w:pPr>
            <w:r w:rsidRPr="00B848E8">
              <w:rPr>
                <w:rFonts w:cs="Times New Roman"/>
                <w:color w:val="7E7F82"/>
                <w:sz w:val="27"/>
                <w:szCs w:val="27"/>
              </w:rPr>
              <w:t xml:space="preserve">Review report and </w:t>
            </w:r>
            <w:r w:rsidR="00900EB7" w:rsidRPr="00B848E8">
              <w:rPr>
                <w:rFonts w:cs="Times New Roman"/>
                <w:color w:val="7E7F82"/>
                <w:sz w:val="27"/>
                <w:szCs w:val="27"/>
              </w:rPr>
              <w:t xml:space="preserve">interim </w:t>
            </w:r>
            <w:r w:rsidRPr="00B848E8">
              <w:rPr>
                <w:rFonts w:cs="Times New Roman"/>
                <w:color w:val="7E7F82"/>
                <w:sz w:val="27"/>
                <w:szCs w:val="27"/>
              </w:rPr>
              <w:t xml:space="preserve">financial </w:t>
            </w:r>
            <w:r w:rsidR="005F186A">
              <w:rPr>
                <w:rFonts w:cs="Times New Roman"/>
                <w:color w:val="7E7F82"/>
                <w:sz w:val="27"/>
                <w:szCs w:val="27"/>
              </w:rPr>
              <w:t>information</w:t>
            </w:r>
          </w:p>
          <w:p w14:paraId="38C39884" w14:textId="54EEA5B8" w:rsidR="006F04B3" w:rsidRPr="003C05D2" w:rsidRDefault="00001688" w:rsidP="00174C99">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w:t>
            </w:r>
            <w:r w:rsidR="001A69CB">
              <w:rPr>
                <w:color w:val="7E7F82"/>
                <w:sz w:val="27"/>
                <w:szCs w:val="34"/>
              </w:rPr>
              <w:t xml:space="preserve">period </w:t>
            </w:r>
            <w:r w:rsidR="003C05D2">
              <w:rPr>
                <w:rFonts w:cs="Times New Roman"/>
                <w:color w:val="7E7F82"/>
                <w:sz w:val="27"/>
                <w:szCs w:val="27"/>
              </w:rPr>
              <w:t>ended 3</w:t>
            </w:r>
            <w:r w:rsidR="003C05D2">
              <w:rPr>
                <w:color w:val="7E7F82"/>
                <w:sz w:val="27"/>
                <w:szCs w:val="34"/>
              </w:rPr>
              <w:t>1</w:t>
            </w:r>
            <w:r>
              <w:rPr>
                <w:rFonts w:cs="Times New Roman"/>
                <w:color w:val="7E7F82"/>
                <w:sz w:val="27"/>
                <w:szCs w:val="27"/>
              </w:rPr>
              <w:t xml:space="preserve"> </w:t>
            </w:r>
            <w:r w:rsidR="003C05D2">
              <w:rPr>
                <w:rFonts w:cs="Times New Roman"/>
                <w:color w:val="7E7F82"/>
                <w:sz w:val="27"/>
                <w:szCs w:val="27"/>
              </w:rPr>
              <w:t>March</w:t>
            </w:r>
            <w:r w:rsidRPr="00B848E8">
              <w:rPr>
                <w:rFonts w:cs="Times New Roman"/>
                <w:color w:val="7E7F82"/>
                <w:sz w:val="27"/>
                <w:szCs w:val="27"/>
              </w:rPr>
              <w:t xml:space="preserve"> </w:t>
            </w:r>
            <w:r w:rsidR="00301B26">
              <w:rPr>
                <w:rFonts w:cs="Times New Roman"/>
                <w:color w:val="7E7F82"/>
                <w:sz w:val="27"/>
                <w:szCs w:val="27"/>
              </w:rPr>
              <w:t>202</w:t>
            </w:r>
            <w:r w:rsidR="001F62C9">
              <w:rPr>
                <w:rFonts w:cs="Times New Roman"/>
                <w:color w:val="7E7F82"/>
                <w:sz w:val="27"/>
                <w:szCs w:val="27"/>
              </w:rPr>
              <w:t>1</w:t>
            </w:r>
          </w:p>
        </w:tc>
      </w:tr>
    </w:tbl>
    <w:p w14:paraId="2E4037B9" w14:textId="77777777"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14:paraId="70A676BE" w14:textId="77777777"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lastRenderedPageBreak/>
        <w:t xml:space="preserve">Independent Auditor’s Report on Review of Interim Financial Information </w:t>
      </w:r>
    </w:p>
    <w:p w14:paraId="3D263C41" w14:textId="77777777" w:rsidR="00001688" w:rsidRPr="00C269F0" w:rsidRDefault="00001688" w:rsidP="003D7187">
      <w:pPr>
        <w:spacing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7EE24C5F" w14:textId="7281FA95"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3C05D2">
        <w:rPr>
          <w:rFonts w:ascii="Arial" w:hAnsi="Arial" w:cs="Arial"/>
          <w:sz w:val="22"/>
          <w:szCs w:val="22"/>
        </w:rPr>
        <w:t>31</w:t>
      </w:r>
      <w:r>
        <w:rPr>
          <w:rFonts w:ascii="Arial" w:hAnsi="Arial" w:cs="Arial"/>
          <w:sz w:val="22"/>
          <w:szCs w:val="22"/>
        </w:rPr>
        <w:t xml:space="preserve"> </w:t>
      </w:r>
      <w:r w:rsidR="003C05D2">
        <w:rPr>
          <w:rFonts w:ascii="Arial" w:hAnsi="Arial" w:cs="Arial"/>
          <w:sz w:val="22"/>
          <w:szCs w:val="22"/>
        </w:rPr>
        <w:t>March</w:t>
      </w:r>
      <w:r w:rsidRPr="00314344">
        <w:rPr>
          <w:rFonts w:ascii="Arial" w:hAnsi="Arial" w:cs="Arial"/>
          <w:sz w:val="22"/>
          <w:szCs w:val="22"/>
        </w:rPr>
        <w:t xml:space="preserve"> </w:t>
      </w:r>
      <w:r w:rsidR="00301B26">
        <w:rPr>
          <w:rFonts w:ascii="Arial" w:hAnsi="Arial" w:cs="Arial"/>
          <w:sz w:val="22"/>
          <w:szCs w:val="22"/>
        </w:rPr>
        <w:t>202</w:t>
      </w:r>
      <w:r w:rsidR="001F62C9">
        <w:rPr>
          <w:rFonts w:ascii="Arial" w:hAnsi="Arial" w:cs="Arial"/>
          <w:sz w:val="22"/>
          <w:szCs w:val="22"/>
        </w:rPr>
        <w:t>1</w:t>
      </w:r>
      <w:r w:rsidRPr="00314344">
        <w:rPr>
          <w:rFonts w:ascii="Arial" w:hAnsi="Arial" w:cs="Arial"/>
          <w:sz w:val="22"/>
          <w:szCs w:val="22"/>
        </w:rPr>
        <w:t xml:space="preserve">, </w:t>
      </w:r>
      <w:r w:rsidR="003C05D2">
        <w:rPr>
          <w:rFonts w:ascii="Arial" w:hAnsi="Arial" w:cs="Arial"/>
          <w:sz w:val="22"/>
          <w:szCs w:val="22"/>
        </w:rPr>
        <w:t xml:space="preserve">and </w:t>
      </w:r>
      <w:r w:rsidRPr="00314344">
        <w:rPr>
          <w:rFonts w:ascii="Arial" w:hAnsi="Arial" w:cs="Arial"/>
          <w:sz w:val="22"/>
          <w:szCs w:val="22"/>
        </w:rPr>
        <w:t>the related consolidated statements of comprehensive income</w:t>
      </w:r>
      <w:r w:rsidR="003C05D2">
        <w:rPr>
          <w:rFonts w:ascii="Arial" w:hAnsi="Arial" w:cs="Arial"/>
          <w:sz w:val="22"/>
          <w:szCs w:val="22"/>
        </w:rPr>
        <w:t>,</w:t>
      </w:r>
      <w:r>
        <w:rPr>
          <w:rFonts w:ascii="Arial" w:hAnsi="Arial" w:cs="Arial"/>
          <w:sz w:val="22"/>
          <w:szCs w:val="22"/>
        </w:rPr>
        <w:t xml:space="preserve"> </w:t>
      </w:r>
      <w:r w:rsidRPr="00314344">
        <w:rPr>
          <w:rFonts w:ascii="Arial" w:hAnsi="Arial" w:cs="Arial"/>
          <w:sz w:val="22"/>
          <w:szCs w:val="22"/>
        </w:rPr>
        <w:t>changes in shareholders’ equi</w:t>
      </w:r>
      <w:r w:rsidR="002A7E76">
        <w:rPr>
          <w:rFonts w:ascii="Arial" w:hAnsi="Arial" w:cs="Arial"/>
          <w:sz w:val="22"/>
          <w:szCs w:val="22"/>
        </w:rPr>
        <w:t>ty</w:t>
      </w:r>
      <w:r w:rsidR="00C1036B">
        <w:rPr>
          <w:rFonts w:ascii="Arial" w:hAnsi="Arial" w:cs="Arial"/>
          <w:sz w:val="22"/>
          <w:szCs w:val="22"/>
        </w:rPr>
        <w:t>,</w:t>
      </w:r>
      <w:r w:rsidR="00DE37E4">
        <w:rPr>
          <w:rFonts w:ascii="Arial" w:hAnsi="Arial" w:cs="Arial"/>
          <w:sz w:val="22"/>
          <w:szCs w:val="22"/>
        </w:rPr>
        <w:t xml:space="preserve"> and</w:t>
      </w:r>
      <w:r w:rsidR="002A7E76">
        <w:rPr>
          <w:rFonts w:ascii="Arial" w:hAnsi="Arial" w:cs="Arial"/>
          <w:sz w:val="22"/>
          <w:szCs w:val="22"/>
        </w:rPr>
        <w:t xml:space="preserve"> </w:t>
      </w:r>
      <w:r>
        <w:rPr>
          <w:rFonts w:ascii="Arial" w:hAnsi="Arial" w:cs="Arial"/>
          <w:sz w:val="22"/>
          <w:szCs w:val="22"/>
        </w:rPr>
        <w:t xml:space="preserve">cash flows for the </w:t>
      </w:r>
      <w:r w:rsidR="003C05D2">
        <w:rPr>
          <w:rFonts w:ascii="Arial" w:hAnsi="Arial" w:cs="Arial"/>
          <w:sz w:val="22"/>
          <w:szCs w:val="22"/>
        </w:rPr>
        <w:t>three</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 xml:space="preserve">the condensed notes to the </w:t>
      </w:r>
      <w:r w:rsidR="005F186A">
        <w:rPr>
          <w:rFonts w:ascii="Arial" w:hAnsi="Arial" w:cs="Arial"/>
          <w:sz w:val="22"/>
          <w:szCs w:val="22"/>
        </w:rPr>
        <w:t xml:space="preserve">interim </w:t>
      </w:r>
      <w:r w:rsidRPr="00314344">
        <w:rPr>
          <w:rFonts w:ascii="Arial" w:hAnsi="Arial" w:cs="Arial"/>
          <w:sz w:val="22"/>
          <w:szCs w:val="22"/>
        </w:rPr>
        <w:t>consolidated financial statements. I have also reviewed the separate financial information of Bangkok Airways Public Company Limited for the same period</w:t>
      </w:r>
      <w:r w:rsidR="005F186A">
        <w:rPr>
          <w:rFonts w:ascii="Arial" w:hAnsi="Arial" w:cs="Arial"/>
          <w:sz w:val="22"/>
          <w:szCs w:val="22"/>
        </w:rPr>
        <w:t xml:space="preserve"> (collectively “interim financial information”)</w:t>
      </w:r>
      <w:r w:rsidRPr="00314344">
        <w:rPr>
          <w:rFonts w:ascii="Arial" w:hAnsi="Arial" w:cs="Arial"/>
          <w:sz w:val="22"/>
          <w:szCs w:val="22"/>
        </w:rPr>
        <w:t>.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xml:space="preserve">. My responsibility is to express a conclusion on this interim financial information based on </w:t>
      </w:r>
      <w:r w:rsidR="002F5423">
        <w:rPr>
          <w:rFonts w:ascii="Arial" w:hAnsi="Arial" w:cs="Arial"/>
          <w:sz w:val="22"/>
          <w:szCs w:val="22"/>
        </w:rPr>
        <w:t xml:space="preserve">                 </w:t>
      </w:r>
      <w:r w:rsidRPr="00314344">
        <w:rPr>
          <w:rFonts w:ascii="Arial" w:hAnsi="Arial" w:cs="Arial"/>
          <w:sz w:val="22"/>
          <w:szCs w:val="22"/>
        </w:rPr>
        <w:t>my review.</w:t>
      </w:r>
    </w:p>
    <w:p w14:paraId="4A98D2A5" w14:textId="77777777"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3D7187">
      <w:pPr>
        <w:spacing w:before="80" w:after="8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3D7187">
      <w:pPr>
        <w:spacing w:before="80" w:after="80" w:line="380" w:lineRule="exact"/>
        <w:outlineLvl w:val="0"/>
        <w:rPr>
          <w:rFonts w:ascii="Arial" w:hAnsi="Arial" w:cs="Arial"/>
          <w:b/>
          <w:bCs/>
          <w:sz w:val="22"/>
          <w:szCs w:val="22"/>
        </w:rPr>
      </w:pPr>
      <w:r w:rsidRPr="00314344">
        <w:rPr>
          <w:rFonts w:ascii="Arial" w:hAnsi="Arial" w:cs="Arial"/>
          <w:b/>
          <w:bCs/>
          <w:sz w:val="22"/>
          <w:szCs w:val="22"/>
        </w:rPr>
        <w:t>Conclusion</w:t>
      </w:r>
    </w:p>
    <w:p w14:paraId="38B4E288" w14:textId="6DB877AB" w:rsidR="00001688" w:rsidRDefault="00001688" w:rsidP="003D7187">
      <w:pPr>
        <w:spacing w:before="80" w:after="8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2BE8B2EA" w14:textId="77777777" w:rsidR="005F186A" w:rsidRDefault="005F186A" w:rsidP="003D7187">
      <w:pPr>
        <w:spacing w:before="80" w:after="80" w:line="380" w:lineRule="exact"/>
        <w:rPr>
          <w:rFonts w:ascii="Arial" w:hAnsi="Arial" w:cs="Arial"/>
          <w:sz w:val="22"/>
          <w:szCs w:val="22"/>
        </w:rPr>
        <w:sectPr w:rsidR="005F186A" w:rsidSect="00337594">
          <w:footerReference w:type="first" r:id="rId9"/>
          <w:pgSz w:w="11909" w:h="16834" w:code="9"/>
          <w:pgMar w:top="2736" w:right="1080" w:bottom="1080" w:left="1296" w:header="706" w:footer="706" w:gutter="0"/>
          <w:pgNumType w:start="2"/>
          <w:cols w:space="720"/>
          <w:titlePg/>
          <w:docGrid w:linePitch="326"/>
        </w:sectPr>
      </w:pPr>
    </w:p>
    <w:p w14:paraId="2F6C718D" w14:textId="56243084" w:rsidR="005F186A" w:rsidRPr="005E35CC" w:rsidRDefault="005F186A" w:rsidP="005F186A">
      <w:pPr>
        <w:spacing w:before="120" w:after="120" w:line="380" w:lineRule="exact"/>
        <w:rPr>
          <w:rFonts w:ascii="Arial" w:hAnsi="Arial" w:cstheme="minorBidi"/>
          <w:b/>
          <w:bCs/>
          <w:sz w:val="22"/>
          <w:szCs w:val="22"/>
        </w:rPr>
      </w:pPr>
      <w:r w:rsidRPr="005F186A">
        <w:rPr>
          <w:rFonts w:ascii="Arial" w:hAnsi="Arial" w:cs="Arial"/>
          <w:b/>
          <w:bCs/>
          <w:sz w:val="22"/>
          <w:szCs w:val="22"/>
        </w:rPr>
        <w:lastRenderedPageBreak/>
        <w:t xml:space="preserve">Emphasis of </w:t>
      </w:r>
      <w:r w:rsidRPr="005F186A">
        <w:rPr>
          <w:rFonts w:ascii="Arial" w:hAnsi="Arial"/>
          <w:b/>
          <w:bCs/>
          <w:sz w:val="22"/>
          <w:szCs w:val="22"/>
        </w:rPr>
        <w:t>M</w:t>
      </w:r>
      <w:r w:rsidRPr="005F186A">
        <w:rPr>
          <w:rFonts w:ascii="Arial" w:hAnsi="Arial" w:cs="Arial"/>
          <w:b/>
          <w:bCs/>
          <w:sz w:val="22"/>
          <w:szCs w:val="22"/>
        </w:rPr>
        <w:t>atter</w:t>
      </w:r>
    </w:p>
    <w:p w14:paraId="7779FB53" w14:textId="0F47B316" w:rsidR="00CF66EE" w:rsidRDefault="0034344E" w:rsidP="005E35CC">
      <w:pPr>
        <w:pStyle w:val="ps-000-normal"/>
        <w:spacing w:line="380" w:lineRule="exact"/>
        <w:rPr>
          <w:rFonts w:ascii="Arial" w:hAnsi="Arial"/>
          <w:sz w:val="22"/>
          <w:szCs w:val="22"/>
        </w:rPr>
      </w:pPr>
      <w:r>
        <w:rPr>
          <w:rFonts w:ascii="Arial" w:hAnsi="Arial" w:cs="Arial"/>
          <w:sz w:val="22"/>
          <w:szCs w:val="22"/>
        </w:rPr>
        <w:t xml:space="preserve">I draw attention </w:t>
      </w:r>
      <w:r w:rsidR="009A7CB8">
        <w:rPr>
          <w:rFonts w:ascii="Arial" w:hAnsi="Arial" w:cs="Arial"/>
          <w:sz w:val="22"/>
          <w:szCs w:val="22"/>
        </w:rPr>
        <w:t xml:space="preserve">to </w:t>
      </w:r>
      <w:r w:rsidR="005F186A" w:rsidRPr="005F186A">
        <w:rPr>
          <w:rFonts w:ascii="Arial" w:hAnsi="Arial"/>
          <w:sz w:val="22"/>
          <w:szCs w:val="22"/>
        </w:rPr>
        <w:t>Note 1.2 to the interim consolidated financial statements</w:t>
      </w:r>
      <w:r w:rsidR="009A7CB8">
        <w:rPr>
          <w:rFonts w:ascii="Arial" w:hAnsi="Arial"/>
          <w:sz w:val="22"/>
          <w:szCs w:val="22"/>
        </w:rPr>
        <w:t>.</w:t>
      </w:r>
      <w:r w:rsidR="00FB32E6">
        <w:rPr>
          <w:rFonts w:ascii="Arial" w:hAnsi="Arial" w:cstheme="minorBidi" w:hint="cs"/>
          <w:i/>
          <w:iCs/>
          <w:sz w:val="22"/>
          <w:szCs w:val="22"/>
          <w:cs/>
        </w:rPr>
        <w:t xml:space="preserve"> </w:t>
      </w:r>
      <w:r w:rsidR="009A7CB8" w:rsidRPr="009A7CB8">
        <w:rPr>
          <w:rFonts w:ascii="Arial" w:hAnsi="Arial" w:cs="Arial"/>
          <w:sz w:val="22"/>
          <w:szCs w:val="22"/>
        </w:rPr>
        <w:t xml:space="preserve">The </w:t>
      </w:r>
      <w:r w:rsidR="005E35CC">
        <w:rPr>
          <w:rFonts w:ascii="Arial" w:hAnsi="Arial" w:cs="Browallia New"/>
          <w:sz w:val="22"/>
          <w:szCs w:val="28"/>
        </w:rPr>
        <w:t>Coronavirus disease 2019</w:t>
      </w:r>
      <w:r w:rsidR="005F186A" w:rsidRPr="005F186A">
        <w:rPr>
          <w:rFonts w:ascii="Arial" w:hAnsi="Arial" w:cs="Arial"/>
          <w:sz w:val="22"/>
          <w:szCs w:val="22"/>
        </w:rPr>
        <w:t xml:space="preserve"> pandemic </w:t>
      </w:r>
      <w:r w:rsidR="005E35CC">
        <w:rPr>
          <w:rFonts w:ascii="Arial" w:hAnsi="Arial" w:cs="Arial"/>
          <w:sz w:val="22"/>
          <w:szCs w:val="22"/>
        </w:rPr>
        <w:t xml:space="preserve">directly </w:t>
      </w:r>
      <w:r w:rsidR="005F186A" w:rsidRPr="005F186A">
        <w:rPr>
          <w:rFonts w:ascii="Arial" w:hAnsi="Arial" w:cs="Arial"/>
          <w:sz w:val="22"/>
          <w:szCs w:val="22"/>
        </w:rPr>
        <w:t xml:space="preserve">affects the Group’s business activities </w:t>
      </w:r>
      <w:r w:rsidR="005E35CC">
        <w:rPr>
          <w:rFonts w:ascii="Arial" w:hAnsi="Arial" w:cs="Arial"/>
          <w:sz w:val="22"/>
          <w:szCs w:val="22"/>
        </w:rPr>
        <w:t>in terms of passenger fare as well as sales and service income</w:t>
      </w:r>
      <w:r w:rsidR="00CF66EE">
        <w:rPr>
          <w:rFonts w:ascii="Arial" w:hAnsi="Arial" w:cs="Arial"/>
          <w:sz w:val="22"/>
          <w:szCs w:val="22"/>
        </w:rPr>
        <w:t xml:space="preserve"> including incurred operating </w:t>
      </w:r>
      <w:r w:rsidR="007B03C2">
        <w:rPr>
          <w:rFonts w:ascii="Arial" w:hAnsi="Arial" w:cs="Browallia New"/>
          <w:sz w:val="22"/>
          <w:szCs w:val="28"/>
        </w:rPr>
        <w:t>loss</w:t>
      </w:r>
      <w:bookmarkStart w:id="0" w:name="_GoBack"/>
      <w:bookmarkEnd w:id="0"/>
      <w:r w:rsidR="00CF66EE">
        <w:rPr>
          <w:rFonts w:ascii="Arial" w:hAnsi="Arial" w:cs="Arial"/>
          <w:sz w:val="22"/>
          <w:szCs w:val="22"/>
        </w:rPr>
        <w:t xml:space="preserve"> and its total current liabilities significantly exceeded its total current assets. These situations are </w:t>
      </w:r>
      <w:r w:rsidR="00871B03">
        <w:rPr>
          <w:rFonts w:ascii="Arial" w:hAnsi="Arial" w:cs="Arial"/>
          <w:sz w:val="22"/>
          <w:szCs w:val="22"/>
        </w:rPr>
        <w:t xml:space="preserve">significantly </w:t>
      </w:r>
      <w:r w:rsidR="005F186A" w:rsidRPr="005F186A">
        <w:rPr>
          <w:rFonts w:ascii="Arial" w:hAnsi="Arial" w:cs="Arial"/>
          <w:sz w:val="22"/>
          <w:szCs w:val="22"/>
        </w:rPr>
        <w:t>impacting the Group’s</w:t>
      </w:r>
      <w:r w:rsidR="005F186A" w:rsidRPr="005F186A">
        <w:rPr>
          <w:rFonts w:ascii="Arial" w:hAnsi="Arial" w:cs="Arial"/>
          <w:color w:val="0070C0"/>
          <w:sz w:val="22"/>
          <w:szCs w:val="22"/>
        </w:rPr>
        <w:t xml:space="preserve"> </w:t>
      </w:r>
      <w:r w:rsidR="005F186A" w:rsidRPr="005F186A">
        <w:rPr>
          <w:rFonts w:ascii="Arial" w:hAnsi="Arial" w:cs="Browallia New"/>
          <w:sz w:val="22"/>
          <w:szCs w:val="22"/>
        </w:rPr>
        <w:t xml:space="preserve">financial position, </w:t>
      </w:r>
      <w:r w:rsidR="005F186A" w:rsidRPr="005F186A">
        <w:rPr>
          <w:rFonts w:ascii="Arial" w:hAnsi="Arial" w:cs="Arial"/>
          <w:sz w:val="22"/>
          <w:szCs w:val="22"/>
        </w:rPr>
        <w:t>operating results, and cash flows</w:t>
      </w:r>
      <w:r w:rsidR="005E35CC">
        <w:rPr>
          <w:rFonts w:ascii="Arial" w:hAnsi="Arial" w:cs="Arial"/>
          <w:sz w:val="22"/>
          <w:szCs w:val="22"/>
        </w:rPr>
        <w:t>, including compliance with debt covenants under aircraft lease agreements</w:t>
      </w:r>
      <w:r w:rsidR="005F186A" w:rsidRPr="005F186A">
        <w:rPr>
          <w:rFonts w:ascii="Arial" w:hAnsi="Arial" w:cs="Arial"/>
          <w:sz w:val="22"/>
          <w:szCs w:val="22"/>
        </w:rPr>
        <w:t xml:space="preserve"> at present, and is expected to do so in </w:t>
      </w:r>
      <w:r w:rsidR="005F186A" w:rsidRPr="005F186A">
        <w:rPr>
          <w:rFonts w:ascii="Arial" w:hAnsi="Arial"/>
          <w:sz w:val="22"/>
          <w:szCs w:val="22"/>
        </w:rPr>
        <w:t>the future</w:t>
      </w:r>
      <w:r w:rsidR="005F186A" w:rsidRPr="005F186A">
        <w:rPr>
          <w:rFonts w:ascii="Arial" w:hAnsi="Arial" w:cs="Arial"/>
          <w:sz w:val="22"/>
          <w:szCs w:val="22"/>
        </w:rPr>
        <w:t>.</w:t>
      </w:r>
      <w:r w:rsidR="005E35CC">
        <w:rPr>
          <w:rFonts w:ascii="Arial" w:hAnsi="Arial" w:cs="Arial"/>
          <w:sz w:val="22"/>
          <w:szCs w:val="22"/>
        </w:rPr>
        <w:t xml:space="preserve"> </w:t>
      </w:r>
      <w:r w:rsidR="005F186A" w:rsidRPr="005F186A">
        <w:rPr>
          <w:rFonts w:ascii="Arial" w:hAnsi="Arial" w:cs="Browallia New"/>
          <w:sz w:val="22"/>
          <w:szCs w:val="22"/>
        </w:rPr>
        <w:t>T</w:t>
      </w:r>
      <w:r w:rsidR="005F186A" w:rsidRPr="005F186A">
        <w:rPr>
          <w:rFonts w:ascii="Arial" w:hAnsi="Arial" w:cs="Arial"/>
          <w:sz w:val="22"/>
          <w:szCs w:val="22"/>
        </w:rPr>
        <w:t>he Group</w:t>
      </w:r>
      <w:r w:rsidR="005F186A" w:rsidRPr="005F186A">
        <w:rPr>
          <w:rFonts w:ascii="Arial" w:hAnsi="Arial" w:cs="Browallia New"/>
          <w:sz w:val="22"/>
          <w:szCs w:val="22"/>
        </w:rPr>
        <w:t>’s</w:t>
      </w:r>
      <w:r w:rsidR="005F186A" w:rsidRPr="005F186A">
        <w:rPr>
          <w:rFonts w:ascii="Arial" w:hAnsi="Arial" w:cs="Arial"/>
          <w:sz w:val="22"/>
          <w:szCs w:val="22"/>
        </w:rPr>
        <w:t xml:space="preserve"> management</w:t>
      </w:r>
      <w:r w:rsidR="005F186A" w:rsidRPr="005F186A">
        <w:rPr>
          <w:rFonts w:ascii="Arial" w:hAnsi="Arial" w:cs="Browallia New"/>
          <w:color w:val="31849B" w:themeColor="accent5" w:themeShade="BF"/>
          <w:sz w:val="22"/>
          <w:szCs w:val="22"/>
          <w:cs/>
        </w:rPr>
        <w:t xml:space="preserve"> </w:t>
      </w:r>
      <w:r w:rsidR="005F186A" w:rsidRPr="005F186A">
        <w:rPr>
          <w:rFonts w:ascii="Arial" w:hAnsi="Arial" w:cs="Browallia New"/>
          <w:sz w:val="22"/>
          <w:szCs w:val="22"/>
        </w:rPr>
        <w:t xml:space="preserve">has continuously </w:t>
      </w:r>
      <w:r w:rsidR="005F186A" w:rsidRPr="005F186A">
        <w:rPr>
          <w:rFonts w:ascii="Arial" w:hAnsi="Arial" w:cs="Arial"/>
          <w:sz w:val="22"/>
          <w:szCs w:val="22"/>
        </w:rPr>
        <w:t>monitored ongoing developments and assessed the financial impact in respect of the valuation of assets, provisions and contingent liabilities, and will record the impact when it is possible to do so.</w:t>
      </w:r>
      <w:r w:rsidR="005E35CC">
        <w:rPr>
          <w:rFonts w:ascii="Arial" w:hAnsi="Arial"/>
          <w:sz w:val="22"/>
          <w:szCs w:val="22"/>
        </w:rPr>
        <w:t xml:space="preserve"> </w:t>
      </w:r>
    </w:p>
    <w:p w14:paraId="75C7A578" w14:textId="17A030BA" w:rsidR="005F186A" w:rsidRPr="00871B03" w:rsidRDefault="005F186A" w:rsidP="005E35CC">
      <w:pPr>
        <w:pStyle w:val="ps-000-normal"/>
        <w:spacing w:line="380" w:lineRule="exact"/>
        <w:rPr>
          <w:rFonts w:ascii="Arial" w:hAnsi="Arial" w:cstheme="minorBidi"/>
          <w:i/>
          <w:iCs/>
          <w:sz w:val="22"/>
          <w:szCs w:val="22"/>
        </w:rPr>
      </w:pPr>
      <w:r w:rsidRPr="005F186A">
        <w:rPr>
          <w:rFonts w:ascii="Arial" w:hAnsi="Arial" w:cs="Arial"/>
          <w:sz w:val="22"/>
          <w:szCs w:val="22"/>
        </w:rPr>
        <w:t xml:space="preserve">My conclusion is not </w:t>
      </w:r>
      <w:r w:rsidR="005E35CC">
        <w:rPr>
          <w:rFonts w:ascii="Arial" w:hAnsi="Arial" w:cs="Arial"/>
          <w:sz w:val="22"/>
          <w:szCs w:val="22"/>
        </w:rPr>
        <w:t>modified in respect of this matter.</w:t>
      </w:r>
    </w:p>
    <w:p w14:paraId="58D3DDCB" w14:textId="7618AE6E" w:rsidR="005F186A" w:rsidRDefault="005F186A" w:rsidP="003D7187">
      <w:pPr>
        <w:spacing w:before="80" w:after="80" w:line="380" w:lineRule="exact"/>
        <w:rPr>
          <w:rFonts w:ascii="Arial" w:hAnsi="Arial" w:cs="Arial"/>
          <w:sz w:val="22"/>
          <w:szCs w:val="22"/>
        </w:rPr>
      </w:pPr>
    </w:p>
    <w:p w14:paraId="0E63589F" w14:textId="77777777" w:rsidR="00001688" w:rsidRPr="00314344" w:rsidRDefault="00900EB7" w:rsidP="00CC625F">
      <w:pPr>
        <w:tabs>
          <w:tab w:val="left" w:pos="720"/>
          <w:tab w:val="center" w:pos="6300"/>
        </w:tabs>
        <w:spacing w:before="1400" w:line="380" w:lineRule="exact"/>
        <w:rPr>
          <w:rFonts w:ascii="Arial" w:hAnsi="Arial" w:cs="Arial"/>
          <w:spacing w:val="-3"/>
          <w:sz w:val="22"/>
          <w:szCs w:val="22"/>
        </w:rPr>
      </w:pPr>
      <w:r>
        <w:rPr>
          <w:rFonts w:ascii="Arial" w:hAnsi="Arial" w:cs="Arial"/>
          <w:spacing w:val="-3"/>
          <w:sz w:val="22"/>
          <w:szCs w:val="22"/>
        </w:rPr>
        <w:t>Rungnapa Lertsuwankul</w:t>
      </w:r>
    </w:p>
    <w:p w14:paraId="144B7DBE" w14:textId="77777777"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579B4B2D"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5E35CC">
        <w:rPr>
          <w:rFonts w:ascii="Arial" w:hAnsi="Arial" w:cs="Arial"/>
          <w:spacing w:val="-3"/>
          <w:sz w:val="22"/>
          <w:szCs w:val="22"/>
        </w:rPr>
        <w:t>14</w:t>
      </w:r>
      <w:r w:rsidR="00CC625F">
        <w:rPr>
          <w:rFonts w:ascii="Arial" w:hAnsi="Arial" w:cs="Arial"/>
          <w:spacing w:val="-3"/>
          <w:sz w:val="22"/>
          <w:szCs w:val="22"/>
        </w:rPr>
        <w:t xml:space="preserve"> May</w:t>
      </w:r>
      <w:r w:rsidR="00B1759C">
        <w:rPr>
          <w:rFonts w:ascii="Arial" w:hAnsi="Arial" w:cs="Arial"/>
          <w:spacing w:val="-3"/>
          <w:sz w:val="22"/>
          <w:szCs w:val="22"/>
        </w:rPr>
        <w:t xml:space="preserve"> </w:t>
      </w:r>
      <w:r w:rsidR="00301B26">
        <w:rPr>
          <w:rFonts w:ascii="Arial" w:hAnsi="Arial" w:cs="Arial"/>
          <w:spacing w:val="-3"/>
          <w:sz w:val="22"/>
          <w:szCs w:val="22"/>
        </w:rPr>
        <w:t>202</w:t>
      </w:r>
      <w:r w:rsidR="001F62C9">
        <w:rPr>
          <w:rFonts w:ascii="Arial" w:hAnsi="Arial" w:cs="Arial"/>
          <w:spacing w:val="-3"/>
          <w:sz w:val="22"/>
          <w:szCs w:val="22"/>
        </w:rPr>
        <w:t>1</w:t>
      </w:r>
    </w:p>
    <w:sectPr w:rsidR="00900CA2" w:rsidSect="00337594">
      <w:footerReference w:type="default" r:id="rId10"/>
      <w:footerReference w:type="first" r:id="rId11"/>
      <w:pgSz w:w="11909" w:h="16834" w:code="9"/>
      <w:pgMar w:top="2736"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BEDF2" w14:textId="77777777" w:rsidR="00692DBD" w:rsidRDefault="00692DBD" w:rsidP="0077481E">
      <w:r>
        <w:separator/>
      </w:r>
    </w:p>
  </w:endnote>
  <w:endnote w:type="continuationSeparator" w:id="0">
    <w:p w14:paraId="17BAB3F5" w14:textId="77777777" w:rsidR="00692DBD" w:rsidRDefault="00692DB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83C27" w14:textId="0FCEBEE0" w:rsidR="00F7397E" w:rsidRPr="00F7397E" w:rsidRDefault="007B03C2"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20E3" w14:textId="236496B6" w:rsidR="005F186A" w:rsidRPr="005F186A" w:rsidRDefault="005F186A">
    <w:pPr>
      <w:pStyle w:val="Footer"/>
      <w:jc w:val="right"/>
      <w:rPr>
        <w:rFonts w:ascii="Arial" w:hAnsi="Arial" w:cs="Arial"/>
        <w:sz w:val="22"/>
        <w:szCs w:val="22"/>
      </w:rPr>
    </w:pPr>
  </w:p>
  <w:p w14:paraId="4C9A468E" w14:textId="77777777" w:rsidR="000D3362" w:rsidRDefault="000D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EE58" w14:textId="77777777" w:rsidR="00F7397E" w:rsidRPr="00F7397E" w:rsidRDefault="007B03C2"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F7397E" w:rsidRPr="00F7397E">
          <w:rPr>
            <w:rFonts w:ascii="Arial" w:hAnsi="Arial" w:cs="Arial"/>
            <w:sz w:val="22"/>
            <w:szCs w:val="22"/>
          </w:rPr>
          <w:t>2</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p w14:paraId="50C29652" w14:textId="77777777" w:rsidR="00F7397E" w:rsidRPr="005F186A" w:rsidRDefault="00F7397E" w:rsidP="00BD1978">
    <w:pPr>
      <w:pStyle w:val="Footer"/>
      <w:jc w:val="right"/>
      <w:rPr>
        <w:rFonts w:ascii="Arial" w:hAnsi="Arial" w:cs="Arial"/>
        <w:sz w:val="22"/>
        <w:szCs w:val="22"/>
      </w:rPr>
    </w:pPr>
  </w:p>
  <w:p w14:paraId="540DB99B" w14:textId="77777777" w:rsidR="00F7397E" w:rsidRPr="005F186A" w:rsidRDefault="00F7397E" w:rsidP="005F186A">
    <w:pPr>
      <w:pStyle w:val="Footer"/>
      <w:jc w:val="right"/>
      <w:rPr>
        <w:rFonts w:ascii="Arial" w:hAnsi="Arial" w:cs="Arial"/>
        <w:sz w:val="22"/>
        <w:szCs w:val="22"/>
      </w:rPr>
    </w:pPr>
  </w:p>
  <w:p w14:paraId="2D9645C7" w14:textId="77777777" w:rsidR="00F7397E" w:rsidRDefault="00F739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17675"/>
      <w:docPartObj>
        <w:docPartGallery w:val="Page Numbers (Bottom of Page)"/>
        <w:docPartUnique/>
      </w:docPartObj>
    </w:sdtPr>
    <w:sdtEndPr>
      <w:rPr>
        <w:rFonts w:ascii="Arial" w:hAnsi="Arial" w:cs="Arial"/>
        <w:noProof/>
        <w:sz w:val="22"/>
        <w:szCs w:val="22"/>
      </w:rPr>
    </w:sdtEndPr>
    <w:sdtContent>
      <w:p w14:paraId="0F58610E" w14:textId="4C2AB23A" w:rsidR="00F7397E" w:rsidRPr="00F7397E" w:rsidRDefault="00F7397E">
        <w:pPr>
          <w:pStyle w:val="Footer"/>
          <w:jc w:val="right"/>
          <w:rPr>
            <w:rFonts w:ascii="Arial" w:hAnsi="Arial" w:cs="Arial"/>
            <w:sz w:val="22"/>
            <w:szCs w:val="22"/>
          </w:rPr>
        </w:pPr>
        <w:r w:rsidRPr="00F7397E">
          <w:rPr>
            <w:rFonts w:ascii="Arial" w:hAnsi="Arial" w:cs="Arial"/>
            <w:sz w:val="22"/>
            <w:szCs w:val="22"/>
          </w:rPr>
          <w:fldChar w:fldCharType="begin"/>
        </w:r>
        <w:r w:rsidRPr="00F7397E">
          <w:rPr>
            <w:rFonts w:ascii="Arial" w:hAnsi="Arial" w:cs="Arial"/>
            <w:sz w:val="22"/>
            <w:szCs w:val="22"/>
          </w:rPr>
          <w:instrText xml:space="preserve"> PAGE   \* MERGEFORMAT </w:instrText>
        </w:r>
        <w:r w:rsidRPr="00F7397E">
          <w:rPr>
            <w:rFonts w:ascii="Arial" w:hAnsi="Arial" w:cs="Arial"/>
            <w:sz w:val="22"/>
            <w:szCs w:val="22"/>
          </w:rPr>
          <w:fldChar w:fldCharType="separate"/>
        </w:r>
        <w:r w:rsidRPr="00F7397E">
          <w:rPr>
            <w:rFonts w:ascii="Arial" w:hAnsi="Arial" w:cs="Arial"/>
            <w:noProof/>
            <w:sz w:val="22"/>
            <w:szCs w:val="22"/>
          </w:rPr>
          <w:t>2</w:t>
        </w:r>
        <w:r w:rsidRPr="00F7397E">
          <w:rPr>
            <w:rFonts w:ascii="Arial" w:hAnsi="Arial" w:cs="Arial"/>
            <w:noProof/>
            <w:sz w:val="22"/>
            <w:szCs w:val="22"/>
          </w:rPr>
          <w:fldChar w:fldCharType="end"/>
        </w:r>
      </w:p>
    </w:sdtContent>
  </w:sdt>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1BBD" w14:textId="77777777" w:rsidR="00692DBD" w:rsidRDefault="00692DBD" w:rsidP="0077481E">
      <w:r>
        <w:separator/>
      </w:r>
    </w:p>
  </w:footnote>
  <w:footnote w:type="continuationSeparator" w:id="0">
    <w:p w14:paraId="692A5259" w14:textId="77777777" w:rsidR="00692DBD" w:rsidRDefault="00692DB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2C9"/>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5CC"/>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03C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1B03"/>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6EE"/>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3AE6"/>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D7BED-434C-40C3-80C7-54DA69AB0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15</TotalTime>
  <Pages>3</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29</cp:revision>
  <cp:lastPrinted>2021-05-12T01:25:00Z</cp:lastPrinted>
  <dcterms:created xsi:type="dcterms:W3CDTF">2015-04-17T07:07:00Z</dcterms:created>
  <dcterms:modified xsi:type="dcterms:W3CDTF">2021-05-12T01:25:00Z</dcterms:modified>
</cp:coreProperties>
</file>