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F99CCC" w14:textId="77777777" w:rsidR="00DB308D" w:rsidRDefault="00DB308D" w:rsidP="004C2111">
      <w:pPr>
        <w:pStyle w:val="Reference"/>
      </w:pPr>
    </w:p>
    <w:p w14:paraId="75010E6E" w14:textId="77777777" w:rsidR="00DD1E47" w:rsidRDefault="00DD1E47" w:rsidP="006771E8">
      <w:pPr>
        <w:pStyle w:val="BodyText"/>
      </w:pPr>
    </w:p>
    <w:p w14:paraId="44938760" w14:textId="77777777" w:rsidR="00D15EA5" w:rsidRDefault="006F1B19" w:rsidP="00D15EA5">
      <w:pPr>
        <w:pStyle w:val="BodyText"/>
      </w:pPr>
      <w:r w:rsidRPr="004A0DFE">
        <w:br w:type="textWrapping" w:clear="all"/>
      </w:r>
    </w:p>
    <w:p w14:paraId="6ABD39A0" w14:textId="77777777" w:rsidR="00D15EA5" w:rsidRDefault="00D15EA5" w:rsidP="00D15EA5">
      <w:pPr>
        <w:pStyle w:val="BodyText"/>
      </w:pPr>
    </w:p>
    <w:p w14:paraId="7858A176" w14:textId="77777777" w:rsidR="00D15EA5" w:rsidRPr="00D15EA5" w:rsidRDefault="00D15EA5" w:rsidP="00D15EA5">
      <w:pPr>
        <w:pStyle w:val="BodyText"/>
        <w:rPr>
          <w:rFonts w:cstheme="minorBidi"/>
          <w:cs/>
          <w:lang w:bidi="th-TH"/>
        </w:rPr>
      </w:pPr>
    </w:p>
    <w:p w14:paraId="7B37331C" w14:textId="3F91AE2F" w:rsidR="00E32428" w:rsidRDefault="00E32428" w:rsidP="00E32428">
      <w:pPr>
        <w:pStyle w:val="BodyText"/>
        <w:spacing w:line="360" w:lineRule="auto"/>
        <w:rPr>
          <w:rFonts w:ascii="Arial" w:hAnsi="Arial"/>
        </w:rPr>
      </w:pPr>
    </w:p>
    <w:p w14:paraId="52D405C8" w14:textId="77777777" w:rsidR="00FB368E" w:rsidRDefault="00FB368E" w:rsidP="00FB368E">
      <w:pPr>
        <w:pStyle w:val="BodyText"/>
        <w:spacing w:after="0" w:line="360" w:lineRule="auto"/>
        <w:rPr>
          <w:rFonts w:ascii="Arial" w:hAnsi="Arial"/>
        </w:rPr>
      </w:pPr>
    </w:p>
    <w:p w14:paraId="0FB0B422" w14:textId="5DEFC925" w:rsidR="00E32428" w:rsidRPr="00795FE8" w:rsidRDefault="00926867" w:rsidP="002368AA">
      <w:pPr>
        <w:pStyle w:val="BodyText"/>
        <w:spacing w:after="0" w:line="360" w:lineRule="auto"/>
        <w:rPr>
          <w:rFonts w:ascii="Arial" w:hAnsi="Arial"/>
          <w:b/>
          <w:bCs/>
          <w:sz w:val="19"/>
          <w:szCs w:val="19"/>
        </w:rPr>
      </w:pPr>
      <w:r w:rsidRPr="00795FE8">
        <w:rPr>
          <w:rFonts w:ascii="Arial" w:hAnsi="Arial"/>
          <w:b/>
          <w:bCs/>
          <w:sz w:val="19"/>
          <w:szCs w:val="19"/>
        </w:rPr>
        <w:t>To the Board of Director</w:t>
      </w:r>
      <w:r w:rsidR="00075F07" w:rsidRPr="00795FE8">
        <w:rPr>
          <w:rFonts w:ascii="Arial" w:hAnsi="Arial"/>
          <w:b/>
          <w:bCs/>
          <w:sz w:val="19"/>
          <w:szCs w:val="19"/>
        </w:rPr>
        <w:t>s</w:t>
      </w:r>
      <w:r w:rsidRPr="00795FE8">
        <w:rPr>
          <w:rFonts w:ascii="Arial" w:hAnsi="Arial"/>
          <w:b/>
          <w:bCs/>
          <w:sz w:val="19"/>
          <w:szCs w:val="19"/>
        </w:rPr>
        <w:t xml:space="preserve"> and the Shareholders of </w:t>
      </w:r>
      <w:r w:rsidR="00EE557D">
        <w:rPr>
          <w:rFonts w:ascii="Arial" w:hAnsi="Arial"/>
          <w:b/>
          <w:bCs/>
          <w:sz w:val="19"/>
          <w:szCs w:val="19"/>
          <w:lang w:val="en-US" w:bidi="th-TH"/>
        </w:rPr>
        <w:t>TTCL</w:t>
      </w:r>
      <w:r w:rsidRPr="00795FE8">
        <w:rPr>
          <w:rFonts w:ascii="Arial" w:hAnsi="Arial"/>
          <w:b/>
          <w:bCs/>
          <w:sz w:val="19"/>
          <w:szCs w:val="19"/>
        </w:rPr>
        <w:t xml:space="preserve"> Public Company Limited</w:t>
      </w:r>
    </w:p>
    <w:p w14:paraId="08FB32AE" w14:textId="3E71DA96" w:rsidR="00E32428" w:rsidRPr="00812D93" w:rsidRDefault="00E32428" w:rsidP="00812D93">
      <w:pPr>
        <w:pStyle w:val="BodyText"/>
        <w:spacing w:line="360" w:lineRule="auto"/>
        <w:rPr>
          <w:rFonts w:ascii="Arial" w:hAnsi="Arial"/>
          <w:sz w:val="19"/>
          <w:szCs w:val="19"/>
        </w:rPr>
      </w:pPr>
    </w:p>
    <w:p w14:paraId="239F2E84" w14:textId="70519F0B" w:rsidR="009D65A6" w:rsidRPr="00812D93" w:rsidRDefault="009D65A6" w:rsidP="009D65A6">
      <w:pPr>
        <w:pStyle w:val="BodyText"/>
        <w:spacing w:after="0" w:line="360" w:lineRule="auto"/>
        <w:jc w:val="thaiDistribute"/>
        <w:rPr>
          <w:rFonts w:ascii="Arial" w:hAnsi="Arial"/>
          <w:sz w:val="19"/>
          <w:szCs w:val="19"/>
        </w:rPr>
      </w:pPr>
      <w:r w:rsidRPr="00812D93">
        <w:rPr>
          <w:rFonts w:ascii="Arial" w:hAnsi="Arial"/>
          <w:sz w:val="19"/>
          <w:szCs w:val="19"/>
        </w:rPr>
        <w:t xml:space="preserve">I have reviewed the consolidated and separate financial statements of </w:t>
      </w:r>
      <w:r w:rsidR="00EE557D" w:rsidRPr="00812D93">
        <w:rPr>
          <w:rFonts w:ascii="Arial" w:hAnsi="Arial"/>
          <w:sz w:val="19"/>
          <w:szCs w:val="19"/>
        </w:rPr>
        <w:t>TTCL</w:t>
      </w:r>
      <w:r w:rsidRPr="00812D93">
        <w:rPr>
          <w:rFonts w:ascii="Arial" w:hAnsi="Arial"/>
          <w:sz w:val="19"/>
          <w:szCs w:val="19"/>
        </w:rPr>
        <w:t xml:space="preserve"> Public Company Limited and its subsidiary (the “Group”), which comprise the consolidated and separate statements of financial position as </w:t>
      </w:r>
      <w:proofErr w:type="gramStart"/>
      <w:r w:rsidRPr="00812D93">
        <w:rPr>
          <w:rFonts w:ascii="Arial" w:hAnsi="Arial"/>
          <w:sz w:val="19"/>
          <w:szCs w:val="19"/>
        </w:rPr>
        <w:t>at</w:t>
      </w:r>
      <w:proofErr w:type="gramEnd"/>
      <w:r w:rsidRPr="00812D93">
        <w:rPr>
          <w:rFonts w:ascii="Arial" w:hAnsi="Arial"/>
          <w:sz w:val="19"/>
          <w:szCs w:val="19"/>
        </w:rPr>
        <w:t xml:space="preserve"> 31 March 2021, the related consolidated and separate statements of profit or loss and other comprehensive income, changes in shareholders’ equity and cash flows for the three-month period then ended, and condensed notes to the interim financial statements. 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w:t>
      </w:r>
    </w:p>
    <w:p w14:paraId="1DC96100" w14:textId="402147B4" w:rsidR="009D65A6" w:rsidRDefault="009D65A6" w:rsidP="009D65A6">
      <w:pPr>
        <w:pStyle w:val="BodyText"/>
        <w:spacing w:after="0" w:line="360" w:lineRule="auto"/>
        <w:jc w:val="thaiDistribute"/>
        <w:rPr>
          <w:rFonts w:ascii="Arial" w:hAnsi="Arial"/>
          <w:sz w:val="19"/>
          <w:szCs w:val="19"/>
        </w:rPr>
      </w:pPr>
    </w:p>
    <w:p w14:paraId="57C89E87" w14:textId="77777777" w:rsidR="00812D93" w:rsidRPr="00812D93" w:rsidRDefault="00812D93" w:rsidP="009D65A6">
      <w:pPr>
        <w:pStyle w:val="BodyText"/>
        <w:spacing w:after="0" w:line="360" w:lineRule="auto"/>
        <w:jc w:val="thaiDistribute"/>
        <w:rPr>
          <w:rFonts w:ascii="Arial" w:hAnsi="Arial"/>
          <w:sz w:val="19"/>
          <w:szCs w:val="19"/>
        </w:rPr>
      </w:pPr>
    </w:p>
    <w:p w14:paraId="50F15CC7" w14:textId="77777777" w:rsidR="0086189B" w:rsidRPr="00812D93" w:rsidRDefault="0086189B" w:rsidP="0086189B">
      <w:pPr>
        <w:pStyle w:val="BodyText"/>
        <w:spacing w:after="0" w:line="360" w:lineRule="auto"/>
        <w:rPr>
          <w:rFonts w:ascii="Arial" w:hAnsi="Arial"/>
          <w:b/>
          <w:bCs/>
          <w:sz w:val="19"/>
          <w:szCs w:val="19"/>
        </w:rPr>
      </w:pPr>
      <w:r w:rsidRPr="00812D93">
        <w:rPr>
          <w:rFonts w:ascii="Arial" w:hAnsi="Arial"/>
          <w:b/>
          <w:bCs/>
          <w:sz w:val="19"/>
          <w:szCs w:val="19"/>
        </w:rPr>
        <w:t>Scope of Review</w:t>
      </w:r>
    </w:p>
    <w:p w14:paraId="56810E3E" w14:textId="77777777" w:rsidR="0086189B" w:rsidRPr="00812D93" w:rsidRDefault="0086189B" w:rsidP="0086189B">
      <w:pPr>
        <w:pStyle w:val="BodyText"/>
        <w:spacing w:after="0" w:line="360" w:lineRule="auto"/>
        <w:rPr>
          <w:rFonts w:ascii="Arial" w:hAnsi="Arial"/>
          <w:sz w:val="19"/>
          <w:szCs w:val="19"/>
        </w:rPr>
      </w:pPr>
    </w:p>
    <w:p w14:paraId="5B841DB7" w14:textId="77777777" w:rsidR="004539C4" w:rsidRPr="00812D93" w:rsidRDefault="004539C4" w:rsidP="004539C4">
      <w:pPr>
        <w:pStyle w:val="BodyText"/>
        <w:spacing w:line="360" w:lineRule="auto"/>
        <w:jc w:val="thaiDistribute"/>
        <w:rPr>
          <w:rFonts w:ascii="Arial" w:hAnsi="Arial"/>
          <w:sz w:val="19"/>
          <w:szCs w:val="19"/>
        </w:rPr>
      </w:pPr>
      <w:r w:rsidRPr="00812D93">
        <w:rPr>
          <w:rFonts w:ascii="Arial" w:hAnsi="Arial"/>
          <w:sz w:val="19"/>
          <w:szCs w:val="19"/>
        </w:rPr>
        <w:t xml:space="preserve">I conducted my review in accordance with Thai Standard on Review Engagements 2410 “Review of Interim Financial Information performed by the Independent Auditor of the Entity”.  A review of interim financial information consists of making </w:t>
      </w:r>
      <w:r w:rsidRPr="00812D93">
        <w:rPr>
          <w:rFonts w:ascii="Arial" w:hAnsi="Arial" w:cs="Browallia New"/>
          <w:sz w:val="19"/>
          <w:szCs w:val="24"/>
          <w:lang w:bidi="th-TH"/>
        </w:rPr>
        <w:t>i</w:t>
      </w:r>
      <w:r w:rsidRPr="00812D93">
        <w:rPr>
          <w:rFonts w:ascii="Arial" w:hAnsi="Arial"/>
          <w:sz w:val="19"/>
          <w:szCs w:val="19"/>
        </w:rPr>
        <w:t>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information.</w:t>
      </w:r>
    </w:p>
    <w:p w14:paraId="6226A98F" w14:textId="0C754255" w:rsidR="0086189B" w:rsidRDefault="0086189B" w:rsidP="002368AA">
      <w:pPr>
        <w:pStyle w:val="BodyText"/>
        <w:spacing w:after="0" w:line="360" w:lineRule="auto"/>
        <w:rPr>
          <w:rFonts w:ascii="Arial" w:hAnsi="Arial"/>
          <w:sz w:val="19"/>
          <w:szCs w:val="19"/>
        </w:rPr>
      </w:pPr>
    </w:p>
    <w:p w14:paraId="74E5849E" w14:textId="77777777" w:rsidR="00E0111C" w:rsidRDefault="00E0111C">
      <w:pPr>
        <w:spacing w:after="0" w:line="240" w:lineRule="auto"/>
        <w:rPr>
          <w:rFonts w:ascii="Arial" w:hAnsi="Arial"/>
          <w:b/>
          <w:bCs/>
          <w:sz w:val="19"/>
          <w:szCs w:val="19"/>
        </w:rPr>
      </w:pPr>
      <w:r>
        <w:rPr>
          <w:rFonts w:ascii="Arial" w:hAnsi="Arial"/>
          <w:b/>
          <w:bCs/>
          <w:sz w:val="19"/>
          <w:szCs w:val="19"/>
        </w:rPr>
        <w:br w:type="page"/>
      </w:r>
    </w:p>
    <w:p w14:paraId="3762486A" w14:textId="5D468191" w:rsidR="0086189B" w:rsidRPr="00795FE8" w:rsidRDefault="0086189B" w:rsidP="0086189B">
      <w:pPr>
        <w:spacing w:after="0" w:line="360" w:lineRule="auto"/>
        <w:jc w:val="thaiDistribute"/>
        <w:rPr>
          <w:rFonts w:ascii="Arial" w:hAnsi="Arial"/>
          <w:b/>
          <w:bCs/>
          <w:sz w:val="19"/>
          <w:szCs w:val="19"/>
        </w:rPr>
      </w:pPr>
      <w:r w:rsidRPr="00795FE8">
        <w:rPr>
          <w:rFonts w:ascii="Arial" w:hAnsi="Arial"/>
          <w:b/>
          <w:bCs/>
          <w:sz w:val="19"/>
          <w:szCs w:val="19"/>
        </w:rPr>
        <w:lastRenderedPageBreak/>
        <w:t>Conclusion</w:t>
      </w:r>
    </w:p>
    <w:p w14:paraId="5080E22C" w14:textId="77777777" w:rsidR="0086189B" w:rsidRPr="00795FE8" w:rsidRDefault="0086189B" w:rsidP="0086189B">
      <w:pPr>
        <w:spacing w:after="0" w:line="360" w:lineRule="auto"/>
        <w:jc w:val="both"/>
        <w:rPr>
          <w:rFonts w:ascii="Arial" w:hAnsi="Arial"/>
          <w:sz w:val="19"/>
          <w:szCs w:val="19"/>
        </w:rPr>
      </w:pPr>
    </w:p>
    <w:p w14:paraId="4AF765F4" w14:textId="77777777" w:rsidR="001D77FD" w:rsidRPr="00336E39" w:rsidRDefault="001D77FD" w:rsidP="001D77FD">
      <w:pPr>
        <w:pStyle w:val="BodyText"/>
        <w:spacing w:line="360" w:lineRule="auto"/>
        <w:jc w:val="thaiDistribute"/>
        <w:rPr>
          <w:rFonts w:ascii="Arial" w:hAnsi="Arial"/>
          <w:sz w:val="19"/>
          <w:szCs w:val="19"/>
        </w:rPr>
      </w:pPr>
      <w:r w:rsidRPr="00336E39">
        <w:rPr>
          <w:rFonts w:ascii="Arial" w:hAnsi="Arial"/>
          <w:sz w:val="19"/>
          <w:szCs w:val="19"/>
        </w:rPr>
        <w:t xml:space="preserve">Based on my review, nothing has come to my attention that causes me to believe that the accompanying interim financial information is not prepared, in all material respects, in accordance with Thai Accounting </w:t>
      </w:r>
      <w:r w:rsidRPr="002A0C86">
        <w:rPr>
          <w:rFonts w:ascii="Arial" w:hAnsi="Arial"/>
          <w:sz w:val="19"/>
          <w:szCs w:val="19"/>
        </w:rPr>
        <w:t xml:space="preserve">Standard </w:t>
      </w:r>
      <w:r w:rsidRPr="000628F6">
        <w:rPr>
          <w:rFonts w:ascii="Arial" w:hAnsi="Arial"/>
          <w:sz w:val="19"/>
          <w:szCs w:val="19"/>
        </w:rPr>
        <w:t>No. 34</w:t>
      </w:r>
      <w:r w:rsidRPr="002A0C86">
        <w:rPr>
          <w:rFonts w:ascii="Arial" w:hAnsi="Arial"/>
          <w:sz w:val="19"/>
          <w:szCs w:val="19"/>
        </w:rPr>
        <w:t>,</w:t>
      </w:r>
      <w:r w:rsidRPr="00336E39">
        <w:rPr>
          <w:rFonts w:ascii="Arial" w:hAnsi="Arial"/>
          <w:sz w:val="19"/>
          <w:szCs w:val="19"/>
        </w:rPr>
        <w:t xml:space="preserve"> “Interim </w:t>
      </w:r>
      <w:r>
        <w:rPr>
          <w:rFonts w:ascii="Arial" w:hAnsi="Arial"/>
          <w:sz w:val="19"/>
          <w:szCs w:val="19"/>
        </w:rPr>
        <w:t>F</w:t>
      </w:r>
      <w:r w:rsidRPr="00336E39">
        <w:rPr>
          <w:rFonts w:ascii="Arial" w:hAnsi="Arial"/>
          <w:sz w:val="19"/>
          <w:szCs w:val="19"/>
        </w:rPr>
        <w:t xml:space="preserve">inancial </w:t>
      </w:r>
      <w:r>
        <w:rPr>
          <w:rFonts w:ascii="Arial" w:hAnsi="Arial"/>
          <w:sz w:val="19"/>
          <w:szCs w:val="19"/>
        </w:rPr>
        <w:t>R</w:t>
      </w:r>
      <w:r w:rsidRPr="00336E39">
        <w:rPr>
          <w:rFonts w:ascii="Arial" w:hAnsi="Arial"/>
          <w:sz w:val="19"/>
          <w:szCs w:val="19"/>
        </w:rPr>
        <w:t>eporting”.</w:t>
      </w:r>
    </w:p>
    <w:p w14:paraId="09AF4693" w14:textId="77777777" w:rsidR="00EE557D" w:rsidRDefault="00EE557D" w:rsidP="00EE557D">
      <w:pPr>
        <w:pStyle w:val="BodyText"/>
        <w:spacing w:after="0" w:line="360" w:lineRule="auto"/>
        <w:jc w:val="thaiDistribute"/>
        <w:rPr>
          <w:rFonts w:ascii="Arial" w:hAnsi="Arial"/>
          <w:b/>
          <w:bCs/>
          <w:color w:val="000000"/>
          <w:sz w:val="19"/>
          <w:szCs w:val="19"/>
        </w:rPr>
      </w:pPr>
    </w:p>
    <w:p w14:paraId="6699DE46" w14:textId="77777777" w:rsidR="00DC7818" w:rsidRDefault="00DC7818" w:rsidP="00DC7818">
      <w:pPr>
        <w:autoSpaceDE w:val="0"/>
        <w:autoSpaceDN w:val="0"/>
        <w:adjustRightInd w:val="0"/>
        <w:spacing w:line="240" w:lineRule="auto"/>
        <w:jc w:val="both"/>
        <w:rPr>
          <w:rFonts w:ascii="Arial" w:hAnsi="Arial"/>
          <w:b/>
          <w:bCs/>
          <w:color w:val="000000" w:themeColor="text1"/>
          <w:sz w:val="19"/>
          <w:szCs w:val="19"/>
        </w:rPr>
      </w:pPr>
      <w:r w:rsidRPr="00B570F9">
        <w:rPr>
          <w:rFonts w:ascii="Arial" w:hAnsi="Arial"/>
          <w:b/>
          <w:bCs/>
          <w:color w:val="000000" w:themeColor="text1"/>
          <w:sz w:val="19"/>
          <w:szCs w:val="19"/>
        </w:rPr>
        <w:t xml:space="preserve">Emphasis of </w:t>
      </w:r>
      <w:r>
        <w:rPr>
          <w:rFonts w:ascii="Arial" w:hAnsi="Arial"/>
          <w:b/>
          <w:bCs/>
          <w:color w:val="000000" w:themeColor="text1"/>
          <w:sz w:val="19"/>
          <w:szCs w:val="19"/>
        </w:rPr>
        <w:t>M</w:t>
      </w:r>
      <w:r w:rsidRPr="00B570F9">
        <w:rPr>
          <w:rFonts w:ascii="Arial" w:hAnsi="Arial"/>
          <w:b/>
          <w:bCs/>
          <w:color w:val="000000" w:themeColor="text1"/>
          <w:sz w:val="19"/>
          <w:szCs w:val="19"/>
        </w:rPr>
        <w:t>atter</w:t>
      </w:r>
      <w:r>
        <w:rPr>
          <w:rFonts w:ascii="Arial" w:hAnsi="Arial"/>
          <w:b/>
          <w:bCs/>
          <w:color w:val="000000" w:themeColor="text1"/>
          <w:sz w:val="19"/>
          <w:szCs w:val="19"/>
        </w:rPr>
        <w:t>s</w:t>
      </w:r>
      <w:r w:rsidRPr="00B570F9">
        <w:rPr>
          <w:rFonts w:ascii="Arial" w:hAnsi="Arial"/>
          <w:b/>
          <w:bCs/>
          <w:color w:val="000000" w:themeColor="text1"/>
          <w:sz w:val="19"/>
          <w:szCs w:val="19"/>
        </w:rPr>
        <w:t xml:space="preserve"> </w:t>
      </w:r>
    </w:p>
    <w:p w14:paraId="37F1085C" w14:textId="77777777" w:rsidR="00DC7818" w:rsidRDefault="00DC7818" w:rsidP="00DC7818">
      <w:pPr>
        <w:autoSpaceDE w:val="0"/>
        <w:autoSpaceDN w:val="0"/>
        <w:adjustRightInd w:val="0"/>
        <w:spacing w:line="240" w:lineRule="auto"/>
        <w:jc w:val="both"/>
        <w:rPr>
          <w:rFonts w:ascii="Arial" w:hAnsi="Arial"/>
          <w:b/>
          <w:bCs/>
          <w:color w:val="000000" w:themeColor="text1"/>
          <w:sz w:val="19"/>
          <w:szCs w:val="19"/>
        </w:rPr>
      </w:pPr>
    </w:p>
    <w:p w14:paraId="34DA7E99" w14:textId="77777777" w:rsidR="00DC7818" w:rsidRPr="00E10434" w:rsidRDefault="00DC7818" w:rsidP="00DC7818">
      <w:pPr>
        <w:autoSpaceDE w:val="0"/>
        <w:autoSpaceDN w:val="0"/>
        <w:adjustRightInd w:val="0"/>
        <w:spacing w:line="240" w:lineRule="auto"/>
        <w:jc w:val="both"/>
        <w:rPr>
          <w:rFonts w:ascii="Arial" w:hAnsi="Arial"/>
          <w:color w:val="000000" w:themeColor="text1"/>
          <w:sz w:val="19"/>
          <w:szCs w:val="19"/>
        </w:rPr>
      </w:pPr>
      <w:r w:rsidRPr="00E10434">
        <w:rPr>
          <w:rFonts w:ascii="Arial" w:hAnsi="Arial"/>
          <w:color w:val="000000" w:themeColor="text1"/>
          <w:sz w:val="19"/>
          <w:szCs w:val="19"/>
        </w:rPr>
        <w:t>I draw attention to below information:</w:t>
      </w:r>
    </w:p>
    <w:p w14:paraId="3D3790DE" w14:textId="77777777" w:rsidR="00DC7818" w:rsidRPr="00B570F9" w:rsidRDefault="00DC7818" w:rsidP="00DC7818">
      <w:pPr>
        <w:autoSpaceDE w:val="0"/>
        <w:autoSpaceDN w:val="0"/>
        <w:adjustRightInd w:val="0"/>
        <w:spacing w:line="240" w:lineRule="auto"/>
        <w:jc w:val="both"/>
        <w:rPr>
          <w:rFonts w:ascii="Arial" w:hAnsi="Arial"/>
          <w:sz w:val="19"/>
          <w:szCs w:val="19"/>
        </w:rPr>
      </w:pPr>
    </w:p>
    <w:p w14:paraId="0787CF61" w14:textId="4E98EC03" w:rsidR="009B2870" w:rsidRPr="00804DAA" w:rsidRDefault="009B2870" w:rsidP="00D60780">
      <w:pPr>
        <w:pStyle w:val="BodyText"/>
        <w:numPr>
          <w:ilvl w:val="0"/>
          <w:numId w:val="34"/>
        </w:numPr>
        <w:spacing w:after="0" w:line="360" w:lineRule="auto"/>
        <w:ind w:left="567" w:hanging="567"/>
        <w:jc w:val="thaiDistribute"/>
        <w:rPr>
          <w:rFonts w:ascii="Arial" w:hAnsi="Arial"/>
          <w:color w:val="000000"/>
          <w:sz w:val="19"/>
          <w:szCs w:val="19"/>
        </w:rPr>
      </w:pPr>
      <w:r w:rsidRPr="00D60780">
        <w:rPr>
          <w:rFonts w:ascii="Arial" w:hAnsi="Arial"/>
          <w:color w:val="000000"/>
          <w:sz w:val="19"/>
          <w:szCs w:val="19"/>
        </w:rPr>
        <w:t xml:space="preserve">As discussed in Note </w:t>
      </w:r>
      <w:r w:rsidR="00344559" w:rsidRPr="00D60780">
        <w:rPr>
          <w:rFonts w:ascii="Arial" w:hAnsi="Arial"/>
          <w:color w:val="000000"/>
          <w:sz w:val="19"/>
          <w:szCs w:val="19"/>
        </w:rPr>
        <w:t>3</w:t>
      </w:r>
      <w:r w:rsidR="00F643FF" w:rsidRPr="00D60780">
        <w:rPr>
          <w:rFonts w:ascii="Arial" w:hAnsi="Arial"/>
          <w:color w:val="000000"/>
          <w:sz w:val="19"/>
          <w:szCs w:val="19"/>
        </w:rPr>
        <w:t>.6</w:t>
      </w:r>
      <w:r w:rsidRPr="00D60780">
        <w:rPr>
          <w:rFonts w:ascii="Arial" w:hAnsi="Arial"/>
          <w:color w:val="000000"/>
          <w:sz w:val="19"/>
          <w:szCs w:val="19"/>
        </w:rPr>
        <w:t xml:space="preserve"> to the </w:t>
      </w:r>
      <w:r w:rsidR="000C1177">
        <w:rPr>
          <w:rFonts w:ascii="Arial" w:hAnsi="Arial"/>
          <w:color w:val="000000"/>
          <w:sz w:val="19"/>
          <w:szCs w:val="19"/>
          <w:lang w:val="en-US"/>
        </w:rPr>
        <w:t xml:space="preserve">interim </w:t>
      </w:r>
      <w:r w:rsidRPr="00D60780">
        <w:rPr>
          <w:rFonts w:ascii="Arial" w:hAnsi="Arial"/>
          <w:color w:val="000000"/>
          <w:sz w:val="19"/>
          <w:szCs w:val="19"/>
        </w:rPr>
        <w:t>financial statements,</w:t>
      </w:r>
      <w:r w:rsidR="001422CE" w:rsidRPr="00D60780">
        <w:rPr>
          <w:rFonts w:ascii="Arial" w:hAnsi="Arial"/>
          <w:color w:val="000000"/>
          <w:sz w:val="19"/>
          <w:szCs w:val="19"/>
        </w:rPr>
        <w:t xml:space="preserve"> </w:t>
      </w:r>
      <w:r w:rsidR="00344559" w:rsidRPr="00D60780">
        <w:rPr>
          <w:rFonts w:ascii="Arial" w:hAnsi="Arial"/>
          <w:color w:val="000000"/>
          <w:sz w:val="19"/>
          <w:szCs w:val="19"/>
        </w:rPr>
        <w:t>the Group has correction of errors of the</w:t>
      </w:r>
      <w:r w:rsidR="00344559" w:rsidRPr="00804DAA">
        <w:rPr>
          <w:rFonts w:ascii="Arial" w:hAnsi="Arial"/>
          <w:sz w:val="19"/>
          <w:szCs w:val="19"/>
        </w:rPr>
        <w:t xml:space="preserve"> previous year financial statements in order </w:t>
      </w:r>
      <w:r w:rsidR="00344559" w:rsidRPr="00AE46E7">
        <w:rPr>
          <w:sz w:val="19"/>
          <w:szCs w:val="19"/>
        </w:rPr>
        <w:t>to</w:t>
      </w:r>
      <w:r w:rsidR="00AE46E7" w:rsidRPr="00AE46E7">
        <w:rPr>
          <w:sz w:val="19"/>
          <w:szCs w:val="19"/>
        </w:rPr>
        <w:t xml:space="preserve"> restate</w:t>
      </w:r>
      <w:r w:rsidR="00057CB4">
        <w:rPr>
          <w:sz w:val="19"/>
          <w:szCs w:val="19"/>
        </w:rPr>
        <w:t xml:space="preserve"> the transaction of</w:t>
      </w:r>
      <w:r w:rsidR="00AE46E7">
        <w:t xml:space="preserve"> </w:t>
      </w:r>
      <w:r w:rsidR="00C94D6D" w:rsidRPr="00AE46E7">
        <w:rPr>
          <w:sz w:val="19"/>
          <w:szCs w:val="19"/>
        </w:rPr>
        <w:t>the subsidiary in Vietnam which held by the Company at 93.34%</w:t>
      </w:r>
      <w:r w:rsidR="00057CB4">
        <w:rPr>
          <w:rFonts w:ascii="Arial" w:hAnsi="Arial"/>
          <w:sz w:val="19"/>
          <w:szCs w:val="19"/>
        </w:rPr>
        <w:t xml:space="preserve">, </w:t>
      </w:r>
      <w:r w:rsidR="00804DAA" w:rsidRPr="00804DAA">
        <w:rPr>
          <w:rFonts w:ascii="Arial" w:hAnsi="Arial"/>
          <w:sz w:val="19"/>
          <w:szCs w:val="19"/>
        </w:rPr>
        <w:t>found the errors from the calculation of cost of construction which impact to</w:t>
      </w:r>
      <w:r w:rsidR="001967C7">
        <w:rPr>
          <w:rFonts w:ascii="Arial" w:hAnsi="Arial"/>
          <w:sz w:val="19"/>
          <w:szCs w:val="19"/>
        </w:rPr>
        <w:t xml:space="preserve"> </w:t>
      </w:r>
      <w:r w:rsidR="006307EA" w:rsidRPr="00804DAA">
        <w:rPr>
          <w:rFonts w:ascii="Arial" w:hAnsi="Arial"/>
          <w:sz w:val="19"/>
          <w:szCs w:val="19"/>
        </w:rPr>
        <w:t xml:space="preserve">overstate </w:t>
      </w:r>
      <w:r w:rsidR="007002BE" w:rsidRPr="00804DAA">
        <w:rPr>
          <w:rFonts w:ascii="Arial" w:hAnsi="Arial"/>
          <w:sz w:val="19"/>
          <w:szCs w:val="19"/>
        </w:rPr>
        <w:t>t</w:t>
      </w:r>
      <w:r w:rsidR="006307EA">
        <w:rPr>
          <w:rFonts w:ascii="Arial" w:hAnsi="Arial"/>
          <w:sz w:val="19"/>
          <w:szCs w:val="19"/>
        </w:rPr>
        <w:t xml:space="preserve">he </w:t>
      </w:r>
      <w:r w:rsidR="006307EA">
        <w:rPr>
          <w:rFonts w:ascii="Arial" w:eastAsia="Arial Unicode MS" w:hAnsi="Arial" w:cs="Browallia New"/>
          <w:sz w:val="19"/>
          <w:szCs w:val="19"/>
          <w:lang w:val="en-US" w:bidi="th-TH"/>
        </w:rPr>
        <w:t>inventor</w:t>
      </w:r>
      <w:r w:rsidR="009C74BE">
        <w:rPr>
          <w:rFonts w:ascii="Arial" w:eastAsia="Arial Unicode MS" w:hAnsi="Arial" w:cs="Browallia New"/>
          <w:sz w:val="19"/>
          <w:szCs w:val="19"/>
          <w:lang w:val="en-US" w:bidi="th-TH"/>
        </w:rPr>
        <w:t>ies</w:t>
      </w:r>
      <w:r w:rsidR="00BA38DA" w:rsidRPr="00804DAA">
        <w:rPr>
          <w:rFonts w:ascii="Arial" w:hAnsi="Arial"/>
          <w:sz w:val="19"/>
          <w:szCs w:val="19"/>
        </w:rPr>
        <w:t xml:space="preserve"> </w:t>
      </w:r>
      <w:r w:rsidR="007002BE" w:rsidRPr="00804DAA">
        <w:rPr>
          <w:rFonts w:ascii="Arial" w:hAnsi="Arial"/>
          <w:sz w:val="19"/>
          <w:szCs w:val="19"/>
        </w:rPr>
        <w:t>amount of Baht</w:t>
      </w:r>
      <w:r w:rsidR="00A561CC">
        <w:rPr>
          <w:rFonts w:ascii="Arial" w:hAnsi="Arial"/>
          <w:sz w:val="19"/>
          <w:szCs w:val="19"/>
        </w:rPr>
        <w:t xml:space="preserve"> 11.80</w:t>
      </w:r>
      <w:r w:rsidR="007002BE" w:rsidRPr="00804DAA">
        <w:rPr>
          <w:rFonts w:ascii="Arial" w:hAnsi="Arial"/>
          <w:sz w:val="19"/>
          <w:szCs w:val="19"/>
        </w:rPr>
        <w:t xml:space="preserve"> million</w:t>
      </w:r>
      <w:r w:rsidR="00A750C9">
        <w:rPr>
          <w:rFonts w:ascii="Arial" w:hAnsi="Arial"/>
          <w:sz w:val="19"/>
          <w:szCs w:val="19"/>
        </w:rPr>
        <w:t>,</w:t>
      </w:r>
      <w:r w:rsidR="007002BE" w:rsidRPr="00804DAA">
        <w:rPr>
          <w:rFonts w:ascii="Arial" w:hAnsi="Arial"/>
          <w:sz w:val="19"/>
          <w:szCs w:val="19"/>
        </w:rPr>
        <w:t xml:space="preserve"> </w:t>
      </w:r>
      <w:r w:rsidR="007A255E" w:rsidRPr="00804DAA">
        <w:rPr>
          <w:rFonts w:ascii="Arial" w:hAnsi="Arial"/>
          <w:sz w:val="19"/>
          <w:szCs w:val="19"/>
        </w:rPr>
        <w:t>understate</w:t>
      </w:r>
      <w:r w:rsidR="008B3152">
        <w:rPr>
          <w:rFonts w:ascii="Arial" w:hAnsi="Arial"/>
          <w:sz w:val="19"/>
          <w:szCs w:val="19"/>
        </w:rPr>
        <w:t>d</w:t>
      </w:r>
      <w:r w:rsidR="007A255E">
        <w:rPr>
          <w:rFonts w:ascii="Arial" w:hAnsi="Arial"/>
          <w:sz w:val="19"/>
          <w:szCs w:val="19"/>
        </w:rPr>
        <w:t xml:space="preserve"> </w:t>
      </w:r>
      <w:r w:rsidR="007002BE" w:rsidRPr="00804DAA">
        <w:rPr>
          <w:rFonts w:ascii="Arial" w:hAnsi="Arial"/>
          <w:sz w:val="19"/>
          <w:szCs w:val="19"/>
        </w:rPr>
        <w:t xml:space="preserve">the </w:t>
      </w:r>
      <w:r w:rsidR="00733290">
        <w:rPr>
          <w:rFonts w:ascii="Arial" w:hAnsi="Arial" w:cs="Browallia New"/>
          <w:sz w:val="19"/>
          <w:szCs w:val="24"/>
          <w:lang w:val="en-US" w:bidi="th-TH"/>
        </w:rPr>
        <w:t>a</w:t>
      </w:r>
      <w:proofErr w:type="spellStart"/>
      <w:r w:rsidR="00733290" w:rsidRPr="00733290">
        <w:rPr>
          <w:rFonts w:ascii="Arial" w:hAnsi="Arial"/>
          <w:sz w:val="19"/>
          <w:szCs w:val="19"/>
        </w:rPr>
        <w:t>ccrued</w:t>
      </w:r>
      <w:proofErr w:type="spellEnd"/>
      <w:r w:rsidR="00733290" w:rsidRPr="00733290">
        <w:rPr>
          <w:rFonts w:ascii="Arial" w:hAnsi="Arial"/>
          <w:sz w:val="19"/>
          <w:szCs w:val="19"/>
        </w:rPr>
        <w:t xml:space="preserve"> construction costs </w:t>
      </w:r>
      <w:r w:rsidR="007002BE" w:rsidRPr="00804DAA">
        <w:rPr>
          <w:rFonts w:ascii="Arial" w:hAnsi="Arial"/>
          <w:sz w:val="19"/>
          <w:szCs w:val="19"/>
        </w:rPr>
        <w:t xml:space="preserve">amount of Baht </w:t>
      </w:r>
      <w:r w:rsidR="00A561CC">
        <w:rPr>
          <w:rFonts w:ascii="Arial" w:hAnsi="Arial"/>
          <w:sz w:val="19"/>
          <w:szCs w:val="19"/>
        </w:rPr>
        <w:t>69.80</w:t>
      </w:r>
      <w:r w:rsidR="007002BE" w:rsidRPr="00804DAA">
        <w:rPr>
          <w:rFonts w:ascii="Arial" w:hAnsi="Arial"/>
          <w:sz w:val="19"/>
          <w:szCs w:val="19"/>
        </w:rPr>
        <w:t xml:space="preserve"> million</w:t>
      </w:r>
      <w:r w:rsidR="002E71E2">
        <w:rPr>
          <w:rFonts w:ascii="Arial" w:hAnsi="Arial"/>
          <w:sz w:val="19"/>
          <w:szCs w:val="19"/>
        </w:rPr>
        <w:t xml:space="preserve"> </w:t>
      </w:r>
      <w:r w:rsidR="00A750C9">
        <w:rPr>
          <w:rFonts w:ascii="Arial" w:hAnsi="Arial"/>
          <w:sz w:val="19"/>
          <w:szCs w:val="19"/>
        </w:rPr>
        <w:t xml:space="preserve">and </w:t>
      </w:r>
      <w:r w:rsidR="00A750C9" w:rsidRPr="00804DAA">
        <w:rPr>
          <w:rFonts w:ascii="Arial" w:hAnsi="Arial"/>
          <w:sz w:val="19"/>
          <w:szCs w:val="19"/>
        </w:rPr>
        <w:t>understate</w:t>
      </w:r>
      <w:r w:rsidR="00FB5D56">
        <w:rPr>
          <w:rFonts w:ascii="Arial" w:hAnsi="Arial" w:cs="Browallia New"/>
          <w:sz w:val="19"/>
          <w:szCs w:val="24"/>
          <w:lang w:val="en-US" w:bidi="th-TH"/>
        </w:rPr>
        <w:t>d</w:t>
      </w:r>
      <w:r w:rsidR="00A750C9">
        <w:rPr>
          <w:rFonts w:ascii="Arial" w:hAnsi="Arial"/>
          <w:sz w:val="19"/>
          <w:szCs w:val="19"/>
        </w:rPr>
        <w:t xml:space="preserve"> </w:t>
      </w:r>
      <w:r w:rsidR="00A750C9" w:rsidRPr="00804DAA">
        <w:rPr>
          <w:rFonts w:ascii="Arial" w:hAnsi="Arial"/>
          <w:sz w:val="19"/>
          <w:szCs w:val="19"/>
        </w:rPr>
        <w:t xml:space="preserve">the </w:t>
      </w:r>
      <w:r w:rsidR="00A750C9">
        <w:rPr>
          <w:rFonts w:ascii="Arial" w:hAnsi="Arial"/>
          <w:sz w:val="19"/>
          <w:szCs w:val="19"/>
        </w:rPr>
        <w:t>d</w:t>
      </w:r>
      <w:r w:rsidR="00A750C9">
        <w:rPr>
          <w:rFonts w:ascii="Arial" w:eastAsia="Arial Unicode MS" w:hAnsi="Arial"/>
          <w:sz w:val="19"/>
          <w:szCs w:val="19"/>
        </w:rPr>
        <w:t>eficits</w:t>
      </w:r>
      <w:r w:rsidR="00A750C9" w:rsidRPr="00804DAA">
        <w:rPr>
          <w:rFonts w:ascii="Arial" w:hAnsi="Arial"/>
          <w:sz w:val="19"/>
          <w:szCs w:val="19"/>
        </w:rPr>
        <w:t xml:space="preserve"> amount of Baht </w:t>
      </w:r>
      <w:r w:rsidR="008D4145">
        <w:rPr>
          <w:rFonts w:ascii="Arial" w:hAnsi="Arial"/>
          <w:sz w:val="19"/>
          <w:szCs w:val="19"/>
        </w:rPr>
        <w:t>81.6</w:t>
      </w:r>
      <w:r w:rsidR="00A750C9">
        <w:rPr>
          <w:rFonts w:ascii="Arial" w:hAnsi="Arial"/>
          <w:sz w:val="19"/>
          <w:szCs w:val="19"/>
        </w:rPr>
        <w:t>0</w:t>
      </w:r>
      <w:r w:rsidR="00A750C9" w:rsidRPr="00804DAA">
        <w:rPr>
          <w:rFonts w:ascii="Arial" w:hAnsi="Arial"/>
          <w:sz w:val="19"/>
          <w:szCs w:val="19"/>
        </w:rPr>
        <w:t xml:space="preserve"> million</w:t>
      </w:r>
      <w:r w:rsidR="002E71E2">
        <w:rPr>
          <w:rFonts w:ascii="Arial" w:hAnsi="Arial"/>
          <w:sz w:val="19"/>
          <w:szCs w:val="19"/>
        </w:rPr>
        <w:t xml:space="preserve"> </w:t>
      </w:r>
      <w:r w:rsidR="00EE1059">
        <w:rPr>
          <w:rFonts w:ascii="Arial" w:hAnsi="Arial" w:cstheme="minorBidi"/>
          <w:sz w:val="19"/>
          <w:szCs w:val="24"/>
          <w:lang w:val="en-US" w:bidi="th-TH"/>
        </w:rPr>
        <w:t>presented in s</w:t>
      </w:r>
      <w:proofErr w:type="spellStart"/>
      <w:r w:rsidR="00EE1059" w:rsidRPr="00AF1831">
        <w:rPr>
          <w:rFonts w:ascii="Arial" w:hAnsi="Arial"/>
          <w:sz w:val="19"/>
          <w:szCs w:val="19"/>
        </w:rPr>
        <w:t>tatement</w:t>
      </w:r>
      <w:proofErr w:type="spellEnd"/>
      <w:r w:rsidR="00EE1059" w:rsidRPr="00AF1831">
        <w:rPr>
          <w:rFonts w:ascii="Arial" w:hAnsi="Arial"/>
          <w:sz w:val="19"/>
          <w:szCs w:val="19"/>
        </w:rPr>
        <w:t xml:space="preserve"> of financial position as at </w:t>
      </w:r>
      <w:r w:rsidR="00A20D3D">
        <w:rPr>
          <w:rFonts w:ascii="Arial" w:hAnsi="Arial"/>
          <w:sz w:val="19"/>
          <w:szCs w:val="19"/>
        </w:rPr>
        <w:br/>
      </w:r>
      <w:r w:rsidR="00EE1059" w:rsidRPr="00AF1831">
        <w:rPr>
          <w:rFonts w:ascii="Arial" w:hAnsi="Arial"/>
          <w:sz w:val="19"/>
          <w:szCs w:val="19"/>
        </w:rPr>
        <w:t>31 December 2020</w:t>
      </w:r>
      <w:r w:rsidR="00EE1059">
        <w:rPr>
          <w:rFonts w:ascii="Arial" w:hAnsi="Arial" w:cstheme="minorBidi" w:hint="cs"/>
          <w:sz w:val="19"/>
          <w:szCs w:val="24"/>
          <w:cs/>
          <w:lang w:bidi="th-TH"/>
        </w:rPr>
        <w:t xml:space="preserve"> </w:t>
      </w:r>
      <w:r w:rsidR="000C62FE">
        <w:rPr>
          <w:rFonts w:ascii="Arial" w:hAnsi="Arial"/>
          <w:color w:val="000000"/>
          <w:sz w:val="19"/>
          <w:szCs w:val="19"/>
        </w:rPr>
        <w:t xml:space="preserve">and </w:t>
      </w:r>
      <w:r w:rsidR="001967C7" w:rsidRPr="00804DAA">
        <w:rPr>
          <w:rFonts w:ascii="Arial" w:hAnsi="Arial"/>
          <w:sz w:val="19"/>
          <w:szCs w:val="19"/>
        </w:rPr>
        <w:t>understate</w:t>
      </w:r>
      <w:r w:rsidR="00FB5D56">
        <w:rPr>
          <w:rFonts w:ascii="Arial" w:hAnsi="Arial"/>
          <w:sz w:val="19"/>
          <w:szCs w:val="19"/>
        </w:rPr>
        <w:t>d</w:t>
      </w:r>
      <w:r w:rsidR="001967C7" w:rsidRPr="00804DAA">
        <w:rPr>
          <w:rFonts w:ascii="Arial" w:hAnsi="Arial"/>
          <w:sz w:val="19"/>
          <w:szCs w:val="19"/>
        </w:rPr>
        <w:t xml:space="preserve"> the</w:t>
      </w:r>
      <w:r w:rsidR="00804DAA" w:rsidRPr="00804DAA">
        <w:rPr>
          <w:rFonts w:ascii="Arial" w:hAnsi="Arial"/>
          <w:sz w:val="19"/>
          <w:szCs w:val="19"/>
        </w:rPr>
        <w:t xml:space="preserve"> </w:t>
      </w:r>
      <w:r w:rsidR="00F31408">
        <w:rPr>
          <w:rFonts w:ascii="Arial" w:hAnsi="Arial"/>
          <w:sz w:val="19"/>
          <w:szCs w:val="19"/>
        </w:rPr>
        <w:t>c</w:t>
      </w:r>
      <w:r w:rsidR="00F31408" w:rsidRPr="00F31408">
        <w:rPr>
          <w:rFonts w:ascii="Arial" w:hAnsi="Arial"/>
          <w:sz w:val="19"/>
          <w:szCs w:val="19"/>
        </w:rPr>
        <w:t>osts of construction and services</w:t>
      </w:r>
      <w:r w:rsidR="00AF1831">
        <w:rPr>
          <w:rFonts w:ascii="Arial" w:hAnsi="Arial"/>
          <w:sz w:val="19"/>
          <w:szCs w:val="19"/>
        </w:rPr>
        <w:t xml:space="preserve"> </w:t>
      </w:r>
      <w:r w:rsidR="00AF1831" w:rsidRPr="00804DAA">
        <w:rPr>
          <w:rFonts w:ascii="Arial" w:hAnsi="Arial"/>
          <w:sz w:val="19"/>
          <w:szCs w:val="19"/>
        </w:rPr>
        <w:t>amount of Baht</w:t>
      </w:r>
      <w:r w:rsidR="00AF1831">
        <w:rPr>
          <w:rFonts w:ascii="Arial" w:hAnsi="Arial"/>
          <w:sz w:val="19"/>
          <w:szCs w:val="19"/>
        </w:rPr>
        <w:t xml:space="preserve"> 20.40</w:t>
      </w:r>
      <w:r w:rsidR="00AF1831" w:rsidRPr="00804DAA">
        <w:rPr>
          <w:rFonts w:ascii="Arial" w:hAnsi="Arial"/>
          <w:sz w:val="19"/>
          <w:szCs w:val="19"/>
        </w:rPr>
        <w:t xml:space="preserve"> million</w:t>
      </w:r>
      <w:r w:rsidR="00EE1059">
        <w:rPr>
          <w:rFonts w:ascii="Arial" w:hAnsi="Arial" w:hint="cs"/>
          <w:sz w:val="19"/>
          <w:szCs w:val="19"/>
          <w:cs/>
        </w:rPr>
        <w:t xml:space="preserve"> </w:t>
      </w:r>
      <w:r w:rsidR="00535092">
        <w:rPr>
          <w:rFonts w:ascii="Arial" w:hAnsi="Arial"/>
          <w:sz w:val="19"/>
          <w:szCs w:val="19"/>
        </w:rPr>
        <w:t xml:space="preserve">included </w:t>
      </w:r>
      <w:r w:rsidR="002F6D2C">
        <w:rPr>
          <w:rFonts w:ascii="Arial" w:hAnsi="Arial"/>
          <w:sz w:val="19"/>
          <w:szCs w:val="19"/>
        </w:rPr>
        <w:t>b</w:t>
      </w:r>
      <w:r w:rsidR="002F6D2C" w:rsidRPr="002F6D2C">
        <w:rPr>
          <w:rFonts w:ascii="Arial" w:hAnsi="Arial"/>
          <w:sz w:val="19"/>
          <w:szCs w:val="19"/>
        </w:rPr>
        <w:t>asic earnings per share</w:t>
      </w:r>
      <w:r w:rsidR="00610F6D">
        <w:rPr>
          <w:rFonts w:ascii="Arial" w:hAnsi="Arial" w:cstheme="minorBidi" w:hint="cs"/>
          <w:sz w:val="19"/>
          <w:szCs w:val="24"/>
          <w:cs/>
          <w:lang w:bidi="th-TH"/>
        </w:rPr>
        <w:t xml:space="preserve"> </w:t>
      </w:r>
      <w:r w:rsidR="00610F6D">
        <w:rPr>
          <w:rFonts w:ascii="Arial" w:hAnsi="Arial" w:cstheme="minorBidi"/>
          <w:sz w:val="19"/>
          <w:szCs w:val="24"/>
          <w:lang w:val="en-US" w:bidi="th-TH"/>
        </w:rPr>
        <w:t>and d</w:t>
      </w:r>
      <w:r w:rsidR="00610F6D" w:rsidRPr="00610F6D">
        <w:rPr>
          <w:rFonts w:ascii="Arial" w:hAnsi="Arial" w:cstheme="minorBidi"/>
          <w:sz w:val="19"/>
          <w:szCs w:val="24"/>
          <w:lang w:val="en-US" w:bidi="th-TH"/>
        </w:rPr>
        <w:t>iluted earnings per share</w:t>
      </w:r>
      <w:r w:rsidR="00EE1059">
        <w:rPr>
          <w:rFonts w:ascii="Arial" w:hAnsi="Arial" w:cstheme="minorBidi" w:hint="cs"/>
          <w:sz w:val="19"/>
          <w:szCs w:val="24"/>
          <w:cs/>
          <w:lang w:bidi="th-TH"/>
        </w:rPr>
        <w:t xml:space="preserve"> </w:t>
      </w:r>
      <w:r w:rsidR="000C1177">
        <w:rPr>
          <w:rFonts w:ascii="Arial" w:hAnsi="Arial" w:cstheme="minorBidi"/>
          <w:sz w:val="19"/>
          <w:szCs w:val="24"/>
          <w:lang w:bidi="th-TH"/>
        </w:rPr>
        <w:t xml:space="preserve">Baht </w:t>
      </w:r>
      <w:r w:rsidR="00831C50">
        <w:rPr>
          <w:rFonts w:ascii="Arial" w:hAnsi="Arial"/>
          <w:sz w:val="19"/>
          <w:szCs w:val="19"/>
        </w:rPr>
        <w:t>0.03</w:t>
      </w:r>
      <w:r w:rsidR="003A31B7" w:rsidRPr="009767BE">
        <w:rPr>
          <w:rFonts w:ascii="Arial" w:hAnsi="Arial"/>
          <w:sz w:val="19"/>
          <w:szCs w:val="19"/>
        </w:rPr>
        <w:t xml:space="preserve"> </w:t>
      </w:r>
      <w:r w:rsidR="006E424D">
        <w:rPr>
          <w:rFonts w:ascii="Arial" w:hAnsi="Arial" w:cs="Browallia New"/>
          <w:sz w:val="19"/>
          <w:szCs w:val="24"/>
          <w:lang w:val="en-US" w:bidi="th-TH"/>
        </w:rPr>
        <w:t xml:space="preserve">per </w:t>
      </w:r>
      <w:r w:rsidR="006E424D" w:rsidRPr="00A20D3D">
        <w:rPr>
          <w:rFonts w:ascii="Arial" w:hAnsi="Arial" w:cs="Browallia New"/>
          <w:spacing w:val="-4"/>
          <w:sz w:val="19"/>
          <w:szCs w:val="24"/>
          <w:lang w:val="en-US" w:bidi="th-TH"/>
        </w:rPr>
        <w:t xml:space="preserve">share </w:t>
      </w:r>
      <w:r w:rsidR="00EE1059" w:rsidRPr="00A20D3D">
        <w:rPr>
          <w:rFonts w:ascii="Arial" w:hAnsi="Arial" w:cstheme="minorBidi"/>
          <w:spacing w:val="-4"/>
          <w:sz w:val="19"/>
          <w:szCs w:val="24"/>
          <w:lang w:val="en-US" w:bidi="th-TH"/>
        </w:rPr>
        <w:t>presented in statement of profit or loss</w:t>
      </w:r>
      <w:r w:rsidR="00EE1059" w:rsidRPr="00A20D3D">
        <w:rPr>
          <w:rFonts w:ascii="Arial" w:hAnsi="Arial"/>
          <w:spacing w:val="-4"/>
          <w:sz w:val="19"/>
          <w:szCs w:val="19"/>
        </w:rPr>
        <w:t xml:space="preserve"> for the three-month period ended 31 March 2020</w:t>
      </w:r>
      <w:r w:rsidR="005E690E" w:rsidRPr="00A20D3D">
        <w:rPr>
          <w:rFonts w:ascii="Arial" w:hAnsi="Arial"/>
          <w:spacing w:val="-4"/>
          <w:sz w:val="19"/>
          <w:szCs w:val="19"/>
        </w:rPr>
        <w:t>.</w:t>
      </w:r>
      <w:r w:rsidR="005E690E">
        <w:rPr>
          <w:rFonts w:ascii="Arial" w:hAnsi="Arial"/>
          <w:sz w:val="19"/>
          <w:szCs w:val="19"/>
        </w:rPr>
        <w:t xml:space="preserve"> </w:t>
      </w:r>
      <w:r w:rsidR="00804DAA" w:rsidRPr="00804DAA">
        <w:rPr>
          <w:rFonts w:ascii="Arial" w:hAnsi="Arial"/>
          <w:sz w:val="19"/>
          <w:szCs w:val="19"/>
        </w:rPr>
        <w:t xml:space="preserve">The Group has made the retrospective adjustments in the </w:t>
      </w:r>
      <w:r w:rsidR="006A5E6D">
        <w:rPr>
          <w:rFonts w:ascii="Arial" w:hAnsi="Arial" w:cs="Browallia New"/>
          <w:sz w:val="19"/>
          <w:szCs w:val="24"/>
          <w:lang w:val="en-US" w:bidi="th-TH"/>
        </w:rPr>
        <w:t>c</w:t>
      </w:r>
      <w:proofErr w:type="spellStart"/>
      <w:r w:rsidR="006A5E6D" w:rsidRPr="00AA0268">
        <w:rPr>
          <w:rFonts w:ascii="Arial" w:hAnsi="Arial"/>
          <w:sz w:val="19"/>
          <w:szCs w:val="19"/>
        </w:rPr>
        <w:t>onsolidated</w:t>
      </w:r>
      <w:proofErr w:type="spellEnd"/>
      <w:r w:rsidR="006A5E6D" w:rsidRPr="00AA0268">
        <w:rPr>
          <w:rFonts w:ascii="Arial" w:hAnsi="Arial"/>
          <w:sz w:val="19"/>
          <w:szCs w:val="19"/>
        </w:rPr>
        <w:t xml:space="preserve"> </w:t>
      </w:r>
      <w:r w:rsidR="004C284B" w:rsidRPr="00A946F1">
        <w:rPr>
          <w:rFonts w:ascii="Arial" w:hAnsi="Arial"/>
          <w:sz w:val="19"/>
          <w:szCs w:val="19"/>
        </w:rPr>
        <w:t>financial statements</w:t>
      </w:r>
      <w:r w:rsidR="00E753A3">
        <w:rPr>
          <w:rFonts w:ascii="Arial" w:hAnsi="Arial"/>
          <w:sz w:val="19"/>
          <w:szCs w:val="19"/>
        </w:rPr>
        <w:t>.</w:t>
      </w:r>
    </w:p>
    <w:p w14:paraId="240A2196" w14:textId="77777777" w:rsidR="00804DAA" w:rsidRPr="00804DAA" w:rsidRDefault="00804DAA" w:rsidP="00804DAA">
      <w:pPr>
        <w:pStyle w:val="BodyText"/>
        <w:spacing w:after="0" w:line="360" w:lineRule="auto"/>
        <w:ind w:left="567"/>
        <w:jc w:val="thaiDistribute"/>
        <w:rPr>
          <w:rFonts w:ascii="Arial" w:hAnsi="Arial"/>
          <w:color w:val="000000"/>
          <w:sz w:val="19"/>
          <w:szCs w:val="19"/>
        </w:rPr>
      </w:pPr>
    </w:p>
    <w:p w14:paraId="1C8A18C6" w14:textId="1DE7E45B" w:rsidR="002D4F10" w:rsidRDefault="002D4F10" w:rsidP="002D4F10">
      <w:pPr>
        <w:pStyle w:val="BodyText"/>
        <w:numPr>
          <w:ilvl w:val="0"/>
          <w:numId w:val="34"/>
        </w:numPr>
        <w:spacing w:after="0" w:line="360" w:lineRule="auto"/>
        <w:ind w:left="567" w:hanging="567"/>
        <w:jc w:val="thaiDistribute"/>
        <w:rPr>
          <w:rFonts w:ascii="Arial" w:hAnsi="Arial"/>
          <w:color w:val="000000"/>
          <w:sz w:val="19"/>
          <w:szCs w:val="19"/>
        </w:rPr>
      </w:pPr>
      <w:r w:rsidRPr="00B4599F">
        <w:rPr>
          <w:rFonts w:ascii="Arial" w:hAnsi="Arial"/>
          <w:color w:val="000000"/>
          <w:sz w:val="19"/>
          <w:szCs w:val="19"/>
        </w:rPr>
        <w:t>As discussed in Notes</w:t>
      </w:r>
      <w:r>
        <w:rPr>
          <w:rFonts w:ascii="Arial" w:hAnsi="Arial"/>
          <w:color w:val="000000"/>
          <w:sz w:val="19"/>
          <w:szCs w:val="19"/>
        </w:rPr>
        <w:t xml:space="preserve"> </w:t>
      </w:r>
      <w:r w:rsidR="002B0C5C">
        <w:rPr>
          <w:rFonts w:ascii="Arial" w:hAnsi="Arial"/>
          <w:color w:val="000000"/>
          <w:sz w:val="19"/>
          <w:szCs w:val="19"/>
        </w:rPr>
        <w:t>7</w:t>
      </w:r>
      <w:r w:rsidRPr="00B4599F">
        <w:rPr>
          <w:rFonts w:ascii="Arial" w:hAnsi="Arial"/>
          <w:color w:val="000000"/>
          <w:sz w:val="19"/>
          <w:szCs w:val="19"/>
        </w:rPr>
        <w:t xml:space="preserve"> and </w:t>
      </w:r>
      <w:r w:rsidR="002B0C5C">
        <w:rPr>
          <w:rFonts w:ascii="Arial" w:hAnsi="Arial"/>
          <w:color w:val="000000"/>
          <w:sz w:val="19"/>
          <w:szCs w:val="19"/>
        </w:rPr>
        <w:t>8</w:t>
      </w:r>
      <w:r w:rsidRPr="00B4599F">
        <w:rPr>
          <w:rFonts w:ascii="Arial" w:hAnsi="Arial"/>
          <w:color w:val="000000"/>
          <w:sz w:val="19"/>
          <w:szCs w:val="19"/>
        </w:rPr>
        <w:t xml:space="preserve"> of the </w:t>
      </w:r>
      <w:r w:rsidR="000C1177">
        <w:rPr>
          <w:rFonts w:ascii="Arial" w:hAnsi="Arial"/>
          <w:color w:val="000000"/>
          <w:sz w:val="19"/>
          <w:szCs w:val="19"/>
        </w:rPr>
        <w:t xml:space="preserve">interim </w:t>
      </w:r>
      <w:r w:rsidRPr="00B4599F">
        <w:rPr>
          <w:rFonts w:ascii="Arial" w:hAnsi="Arial"/>
          <w:color w:val="000000"/>
          <w:sz w:val="19"/>
          <w:szCs w:val="19"/>
        </w:rPr>
        <w:t xml:space="preserve">financial </w:t>
      </w:r>
      <w:r>
        <w:rPr>
          <w:rFonts w:ascii="Arial" w:hAnsi="Arial"/>
          <w:color w:val="000000"/>
          <w:sz w:val="19"/>
          <w:szCs w:val="19"/>
        </w:rPr>
        <w:t>statements</w:t>
      </w:r>
      <w:r w:rsidRPr="00B4599F">
        <w:rPr>
          <w:rFonts w:ascii="Arial" w:hAnsi="Arial"/>
          <w:color w:val="000000"/>
          <w:sz w:val="19"/>
          <w:szCs w:val="19"/>
        </w:rPr>
        <w:t xml:space="preserve">, which describe the estimation of allowance for </w:t>
      </w:r>
      <w:r w:rsidRPr="00B4599F">
        <w:rPr>
          <w:rFonts w:ascii="Arial" w:hAnsi="Arial" w:cs="Leelawadee UI"/>
          <w:color w:val="000000"/>
          <w:sz w:val="19"/>
          <w:szCs w:val="24"/>
          <w:lang w:val="en-US" w:bidi="th-TH"/>
        </w:rPr>
        <w:t>impairment losses</w:t>
      </w:r>
      <w:r w:rsidRPr="00B4599F">
        <w:rPr>
          <w:rFonts w:ascii="Arial" w:hAnsi="Arial"/>
          <w:color w:val="000000"/>
          <w:sz w:val="19"/>
          <w:szCs w:val="19"/>
        </w:rPr>
        <w:t xml:space="preserve"> for an account receivable and contract </w:t>
      </w:r>
      <w:r w:rsidRPr="00B4599F">
        <w:rPr>
          <w:rFonts w:ascii="Arial" w:hAnsi="Arial"/>
          <w:color w:val="000000"/>
          <w:sz w:val="19"/>
          <w:szCs w:val="19"/>
          <w:lang w:val="en-US"/>
        </w:rPr>
        <w:t xml:space="preserve">assets </w:t>
      </w:r>
      <w:r w:rsidRPr="00B4599F">
        <w:rPr>
          <w:rFonts w:ascii="Arial" w:hAnsi="Arial"/>
          <w:color w:val="000000"/>
          <w:sz w:val="19"/>
          <w:szCs w:val="19"/>
        </w:rPr>
        <w:t xml:space="preserve">overdue more than 12 months of the construction Rock Salt project in Laos People’s Democratic Republic engaged by the </w:t>
      </w:r>
      <w:r w:rsidRPr="00B4599F">
        <w:rPr>
          <w:rFonts w:ascii="Arial" w:hAnsi="Arial"/>
          <w:color w:val="000000"/>
          <w:spacing w:val="-2"/>
          <w:sz w:val="19"/>
          <w:szCs w:val="19"/>
        </w:rPr>
        <w:t>State Enterprise in an overseas. The Group’s management used the assumptions and significant judgment</w:t>
      </w:r>
      <w:r w:rsidRPr="00B4599F">
        <w:rPr>
          <w:rFonts w:ascii="Arial" w:hAnsi="Arial"/>
          <w:color w:val="000000"/>
          <w:sz w:val="19"/>
          <w:szCs w:val="19"/>
        </w:rPr>
        <w:t xml:space="preserve"> to estimate the allowance for </w:t>
      </w:r>
      <w:r w:rsidRPr="00B4599F">
        <w:rPr>
          <w:rFonts w:ascii="Arial" w:hAnsi="Arial" w:cs="Leelawadee UI"/>
          <w:color w:val="000000"/>
          <w:sz w:val="19"/>
          <w:szCs w:val="24"/>
          <w:lang w:val="en-US" w:bidi="th-TH"/>
        </w:rPr>
        <w:t>impairment losses</w:t>
      </w:r>
      <w:r w:rsidRPr="00B4599F">
        <w:rPr>
          <w:rFonts w:ascii="Arial" w:hAnsi="Arial"/>
          <w:color w:val="000000"/>
          <w:sz w:val="19"/>
          <w:szCs w:val="19"/>
        </w:rPr>
        <w:t xml:space="preserve"> for these account receivable and contract </w:t>
      </w:r>
      <w:r w:rsidRPr="00B4599F">
        <w:rPr>
          <w:rFonts w:ascii="Arial" w:hAnsi="Arial"/>
          <w:color w:val="000000"/>
          <w:spacing w:val="-4"/>
          <w:sz w:val="19"/>
          <w:szCs w:val="19"/>
        </w:rPr>
        <w:t xml:space="preserve">assets to </w:t>
      </w:r>
      <w:r w:rsidRPr="00B4599F">
        <w:rPr>
          <w:rFonts w:ascii="Arial" w:hAnsi="Arial"/>
          <w:color w:val="000000"/>
          <w:sz w:val="19"/>
          <w:szCs w:val="19"/>
        </w:rPr>
        <w:t>ensure that the estimation is adequate and appropriate with the current situation</w:t>
      </w:r>
      <w:r>
        <w:rPr>
          <w:rFonts w:ascii="Arial" w:hAnsi="Arial"/>
          <w:color w:val="000000"/>
          <w:sz w:val="19"/>
          <w:szCs w:val="19"/>
        </w:rPr>
        <w:t>.</w:t>
      </w:r>
    </w:p>
    <w:p w14:paraId="5A1659A4" w14:textId="77777777" w:rsidR="00DC7818" w:rsidRDefault="00DC7818" w:rsidP="00DC7818">
      <w:pPr>
        <w:pStyle w:val="BodyText"/>
        <w:spacing w:after="0" w:line="360" w:lineRule="auto"/>
        <w:ind w:left="567"/>
        <w:jc w:val="thaiDistribute"/>
        <w:rPr>
          <w:rFonts w:ascii="Arial" w:hAnsi="Arial"/>
          <w:color w:val="000000"/>
          <w:sz w:val="19"/>
          <w:szCs w:val="19"/>
        </w:rPr>
      </w:pPr>
    </w:p>
    <w:p w14:paraId="1EDADC0D" w14:textId="1C6AF72B" w:rsidR="002D4F10" w:rsidRPr="002D4F10" w:rsidRDefault="002D4F10" w:rsidP="002D4F10">
      <w:pPr>
        <w:pStyle w:val="BodyText"/>
        <w:numPr>
          <w:ilvl w:val="0"/>
          <w:numId w:val="34"/>
        </w:numPr>
        <w:spacing w:after="0" w:line="360" w:lineRule="auto"/>
        <w:ind w:left="567" w:hanging="567"/>
        <w:jc w:val="thaiDistribute"/>
        <w:rPr>
          <w:rFonts w:ascii="Arial" w:hAnsi="Arial"/>
          <w:i/>
          <w:iCs/>
          <w:sz w:val="19"/>
          <w:szCs w:val="19"/>
        </w:rPr>
      </w:pPr>
      <w:r w:rsidRPr="002D4F10">
        <w:rPr>
          <w:rFonts w:ascii="Arial" w:hAnsi="Arial"/>
          <w:color w:val="000000"/>
          <w:sz w:val="19"/>
          <w:szCs w:val="19"/>
        </w:rPr>
        <w:t xml:space="preserve">As discussed in Note </w:t>
      </w:r>
      <w:r w:rsidR="00F45F83">
        <w:rPr>
          <w:rFonts w:ascii="Arial" w:hAnsi="Arial"/>
          <w:color w:val="000000"/>
          <w:sz w:val="19"/>
          <w:szCs w:val="19"/>
        </w:rPr>
        <w:t>10</w:t>
      </w:r>
      <w:r w:rsidRPr="002D4F10">
        <w:rPr>
          <w:rFonts w:ascii="Arial" w:hAnsi="Arial"/>
          <w:color w:val="000000"/>
          <w:sz w:val="19"/>
          <w:szCs w:val="19"/>
        </w:rPr>
        <w:t xml:space="preserve"> of the interim financial statements, during the three-month ended </w:t>
      </w:r>
      <w:r w:rsidR="00A20D3D">
        <w:rPr>
          <w:rFonts w:ascii="Arial" w:hAnsi="Arial"/>
          <w:color w:val="000000"/>
          <w:sz w:val="19"/>
          <w:szCs w:val="19"/>
        </w:rPr>
        <w:br/>
      </w:r>
      <w:r w:rsidRPr="002D4F10">
        <w:rPr>
          <w:rFonts w:ascii="Arial" w:hAnsi="Arial"/>
          <w:color w:val="000000"/>
          <w:sz w:val="19"/>
          <w:szCs w:val="19"/>
        </w:rPr>
        <w:t>31 March 2021, the Company acquired a company which engages in Torrefaction Technology License Provider. Management considered this transaction was business combination</w:t>
      </w:r>
      <w:r w:rsidRPr="002D4F10">
        <w:rPr>
          <w:rFonts w:ascii="Arial" w:hAnsi="Arial" w:cstheme="minorBidi" w:hint="cs"/>
          <w:color w:val="000000"/>
          <w:sz w:val="19"/>
          <w:szCs w:val="24"/>
          <w:cs/>
          <w:lang w:bidi="th-TH"/>
        </w:rPr>
        <w:t xml:space="preserve"> </w:t>
      </w:r>
      <w:r w:rsidRPr="002D4F10">
        <w:rPr>
          <w:rFonts w:ascii="Arial" w:hAnsi="Arial" w:cstheme="minorBidi"/>
          <w:color w:val="000000"/>
          <w:sz w:val="19"/>
          <w:szCs w:val="24"/>
          <w:lang w:val="en-US" w:bidi="th-TH"/>
        </w:rPr>
        <w:t>in according to the Thai Financial Reporting Standards</w:t>
      </w:r>
      <w:r w:rsidRPr="002D4F10">
        <w:rPr>
          <w:rFonts w:ascii="Arial" w:hAnsi="Arial"/>
          <w:color w:val="000000"/>
          <w:sz w:val="19"/>
          <w:szCs w:val="19"/>
        </w:rPr>
        <w:t xml:space="preserve">. The Company is in the process of assessing the fair value of identifiable assets acquired and liabilities assumed at the acquisition date </w:t>
      </w:r>
      <w:proofErr w:type="gramStart"/>
      <w:r w:rsidRPr="002D4F10">
        <w:rPr>
          <w:rFonts w:ascii="Arial" w:hAnsi="Arial"/>
          <w:color w:val="000000"/>
          <w:sz w:val="19"/>
          <w:szCs w:val="19"/>
        </w:rPr>
        <w:t>in order to</w:t>
      </w:r>
      <w:proofErr w:type="gramEnd"/>
      <w:r w:rsidRPr="002D4F10">
        <w:rPr>
          <w:rFonts w:ascii="Arial" w:hAnsi="Arial"/>
          <w:color w:val="000000"/>
          <w:sz w:val="19"/>
          <w:szCs w:val="19"/>
        </w:rPr>
        <w:t xml:space="preserve"> make proper classification of assets and liabilities in the accounts. </w:t>
      </w:r>
    </w:p>
    <w:p w14:paraId="62F4FADE" w14:textId="47FA7849" w:rsidR="00B67125" w:rsidRDefault="00B67125" w:rsidP="00FB368E">
      <w:pPr>
        <w:pStyle w:val="BodyText"/>
        <w:spacing w:line="360" w:lineRule="auto"/>
        <w:jc w:val="thaiDistribute"/>
        <w:rPr>
          <w:rFonts w:ascii="Arial" w:hAnsi="Arial"/>
          <w:sz w:val="19"/>
          <w:szCs w:val="19"/>
        </w:rPr>
      </w:pPr>
    </w:p>
    <w:p w14:paraId="6E9CB061" w14:textId="7FFC1A20" w:rsidR="00DC7818" w:rsidRDefault="00DC7818" w:rsidP="00DC7818">
      <w:pPr>
        <w:pStyle w:val="BodyText"/>
        <w:spacing w:after="0" w:line="360" w:lineRule="auto"/>
        <w:ind w:left="567" w:hanging="567"/>
        <w:jc w:val="thaiDistribute"/>
        <w:rPr>
          <w:rFonts w:ascii="Arial" w:hAnsi="Arial"/>
          <w:color w:val="000000"/>
          <w:sz w:val="19"/>
          <w:szCs w:val="19"/>
        </w:rPr>
      </w:pPr>
      <w:r w:rsidRPr="00F15E55">
        <w:rPr>
          <w:rFonts w:ascii="Arial" w:hAnsi="Arial"/>
          <w:color w:val="000000"/>
          <w:sz w:val="19"/>
          <w:szCs w:val="19"/>
        </w:rPr>
        <w:t>My conclusion is not</w:t>
      </w:r>
      <w:r>
        <w:rPr>
          <w:rFonts w:ascii="Arial" w:hAnsi="Arial"/>
          <w:color w:val="000000"/>
          <w:sz w:val="19"/>
          <w:szCs w:val="19"/>
        </w:rPr>
        <w:t xml:space="preserve"> modif</w:t>
      </w:r>
      <w:r w:rsidRPr="00F15E55">
        <w:rPr>
          <w:rFonts w:ascii="Arial" w:hAnsi="Arial"/>
          <w:color w:val="000000"/>
          <w:sz w:val="19"/>
          <w:szCs w:val="19"/>
        </w:rPr>
        <w:t>ied in respect of</w:t>
      </w:r>
      <w:r>
        <w:rPr>
          <w:rFonts w:ascii="Arial" w:hAnsi="Arial"/>
          <w:color w:val="000000"/>
          <w:sz w:val="19"/>
          <w:szCs w:val="19"/>
        </w:rPr>
        <w:t xml:space="preserve"> </w:t>
      </w:r>
      <w:r w:rsidR="00EE613C">
        <w:rPr>
          <w:rFonts w:ascii="Arial" w:hAnsi="Arial" w:cs="Browallia New"/>
          <w:color w:val="000000"/>
          <w:sz w:val="19"/>
          <w:szCs w:val="24"/>
          <w:lang w:val="en-US" w:bidi="th-TH"/>
        </w:rPr>
        <w:t>th</w:t>
      </w:r>
      <w:r w:rsidR="00F4051F">
        <w:rPr>
          <w:rFonts w:ascii="Arial" w:hAnsi="Arial" w:cs="Browallia New"/>
          <w:color w:val="000000"/>
          <w:sz w:val="19"/>
          <w:szCs w:val="24"/>
          <w:lang w:val="en-US" w:bidi="th-TH"/>
        </w:rPr>
        <w:t>ese</w:t>
      </w:r>
      <w:r w:rsidRPr="00F15E55">
        <w:rPr>
          <w:rFonts w:ascii="Arial" w:hAnsi="Arial"/>
          <w:color w:val="000000"/>
          <w:sz w:val="19"/>
          <w:szCs w:val="19"/>
        </w:rPr>
        <w:t xml:space="preserve"> matter</w:t>
      </w:r>
      <w:r>
        <w:rPr>
          <w:rFonts w:ascii="Arial" w:hAnsi="Arial"/>
          <w:color w:val="000000"/>
          <w:sz w:val="19"/>
          <w:szCs w:val="19"/>
        </w:rPr>
        <w:t>s</w:t>
      </w:r>
      <w:r w:rsidRPr="00F15E55">
        <w:rPr>
          <w:rFonts w:ascii="Arial" w:hAnsi="Arial"/>
          <w:color w:val="000000"/>
          <w:sz w:val="19"/>
          <w:szCs w:val="19"/>
        </w:rPr>
        <w:t>.</w:t>
      </w:r>
    </w:p>
    <w:p w14:paraId="3AB632D5" w14:textId="77777777" w:rsidR="00F471F7" w:rsidRDefault="00F471F7">
      <w:pPr>
        <w:spacing w:after="0" w:line="240" w:lineRule="auto"/>
        <w:rPr>
          <w:rFonts w:ascii="Arial" w:hAnsi="Arial"/>
          <w:b/>
          <w:bCs/>
          <w:color w:val="000000"/>
          <w:sz w:val="19"/>
          <w:szCs w:val="19"/>
        </w:rPr>
      </w:pPr>
      <w:r>
        <w:rPr>
          <w:rFonts w:ascii="Arial" w:hAnsi="Arial"/>
          <w:b/>
          <w:bCs/>
          <w:color w:val="000000"/>
          <w:sz w:val="19"/>
          <w:szCs w:val="19"/>
        </w:rPr>
        <w:br w:type="page"/>
      </w:r>
    </w:p>
    <w:p w14:paraId="056466B7" w14:textId="22373342" w:rsidR="00DC7818" w:rsidRPr="006A09D6" w:rsidRDefault="00DC7818" w:rsidP="00DC7818">
      <w:pPr>
        <w:pStyle w:val="BodyText"/>
        <w:spacing w:after="0" w:line="360" w:lineRule="auto"/>
        <w:jc w:val="thaiDistribute"/>
        <w:rPr>
          <w:rFonts w:ascii="Arial" w:hAnsi="Arial"/>
          <w:b/>
          <w:bCs/>
          <w:sz w:val="19"/>
          <w:szCs w:val="19"/>
        </w:rPr>
      </w:pPr>
      <w:r w:rsidRPr="00AD567E">
        <w:rPr>
          <w:rFonts w:ascii="Arial" w:hAnsi="Arial"/>
          <w:b/>
          <w:bCs/>
          <w:color w:val="000000"/>
          <w:sz w:val="19"/>
          <w:szCs w:val="19"/>
        </w:rPr>
        <w:lastRenderedPageBreak/>
        <w:t>Other matter</w:t>
      </w:r>
    </w:p>
    <w:p w14:paraId="77C52902" w14:textId="77777777" w:rsidR="00DC7818" w:rsidRDefault="00DC7818" w:rsidP="00DC7818">
      <w:pPr>
        <w:pStyle w:val="BodyText"/>
        <w:spacing w:after="0" w:line="360" w:lineRule="auto"/>
        <w:jc w:val="thaiDistribute"/>
        <w:rPr>
          <w:rFonts w:ascii="Arial" w:hAnsi="Arial"/>
          <w:sz w:val="19"/>
          <w:szCs w:val="19"/>
        </w:rPr>
      </w:pPr>
    </w:p>
    <w:p w14:paraId="17373675" w14:textId="5607C01A" w:rsidR="00DC7818" w:rsidRDefault="00DC7818" w:rsidP="00DC7818">
      <w:pPr>
        <w:pStyle w:val="BodyText"/>
        <w:spacing w:after="0" w:line="360" w:lineRule="auto"/>
        <w:jc w:val="thaiDistribute"/>
        <w:rPr>
          <w:rFonts w:ascii="Arial" w:hAnsi="Arial"/>
          <w:sz w:val="19"/>
          <w:szCs w:val="19"/>
        </w:rPr>
      </w:pPr>
      <w:r w:rsidRPr="006A09D6">
        <w:rPr>
          <w:rFonts w:ascii="Arial" w:hAnsi="Arial"/>
          <w:sz w:val="19"/>
          <w:szCs w:val="19"/>
        </w:rPr>
        <w:t>The</w:t>
      </w:r>
      <w:r>
        <w:rPr>
          <w:rFonts w:ascii="Arial" w:hAnsi="Arial" w:cstheme="minorBidi" w:hint="cs"/>
          <w:sz w:val="19"/>
          <w:szCs w:val="24"/>
          <w:cs/>
          <w:lang w:bidi="th-TH"/>
        </w:rPr>
        <w:t xml:space="preserve"> </w:t>
      </w:r>
      <w:r>
        <w:rPr>
          <w:rFonts w:ascii="Arial" w:hAnsi="Arial" w:cstheme="minorBidi"/>
          <w:sz w:val="19"/>
          <w:szCs w:val="24"/>
          <w:lang w:val="en-US" w:bidi="th-TH"/>
        </w:rPr>
        <w:t>consolidated and separate</w:t>
      </w:r>
      <w:r w:rsidR="006028CD">
        <w:rPr>
          <w:rFonts w:ascii="Arial" w:hAnsi="Arial"/>
          <w:sz w:val="19"/>
          <w:szCs w:val="19"/>
        </w:rPr>
        <w:t xml:space="preserve"> </w:t>
      </w:r>
      <w:r w:rsidRPr="006A09D6">
        <w:rPr>
          <w:rFonts w:ascii="Arial" w:hAnsi="Arial"/>
          <w:sz w:val="19"/>
          <w:szCs w:val="19"/>
        </w:rPr>
        <w:t xml:space="preserve">statements </w:t>
      </w:r>
      <w:r>
        <w:rPr>
          <w:rFonts w:ascii="Arial" w:hAnsi="Arial"/>
          <w:sz w:val="19"/>
          <w:szCs w:val="19"/>
        </w:rPr>
        <w:t xml:space="preserve">of financial position </w:t>
      </w:r>
      <w:r w:rsidRPr="006A09D6">
        <w:rPr>
          <w:rFonts w:ascii="Arial" w:hAnsi="Arial"/>
          <w:sz w:val="19"/>
          <w:szCs w:val="19"/>
        </w:rPr>
        <w:t xml:space="preserve">of TTCL Public Company Limited </w:t>
      </w:r>
      <w:r>
        <w:rPr>
          <w:rFonts w:ascii="Arial" w:hAnsi="Arial"/>
          <w:sz w:val="19"/>
          <w:szCs w:val="19"/>
        </w:rPr>
        <w:t xml:space="preserve">and subsidiaries </w:t>
      </w:r>
      <w:r>
        <w:rPr>
          <w:rFonts w:ascii="Arial" w:hAnsi="Arial" w:cs="Browallia New"/>
          <w:sz w:val="19"/>
          <w:szCs w:val="24"/>
          <w:lang w:val="en-US" w:bidi="th-TH"/>
        </w:rPr>
        <w:t>as at</w:t>
      </w:r>
      <w:r w:rsidRPr="006A09D6">
        <w:rPr>
          <w:rFonts w:ascii="Arial" w:hAnsi="Arial"/>
          <w:sz w:val="19"/>
          <w:szCs w:val="19"/>
        </w:rPr>
        <w:t xml:space="preserve"> </w:t>
      </w:r>
      <w:r>
        <w:rPr>
          <w:rFonts w:ascii="Arial" w:hAnsi="Arial"/>
          <w:sz w:val="19"/>
          <w:szCs w:val="19"/>
        </w:rPr>
        <w:t>31 December 2020</w:t>
      </w:r>
      <w:r w:rsidRPr="006A09D6">
        <w:rPr>
          <w:rFonts w:ascii="Arial" w:hAnsi="Arial"/>
          <w:sz w:val="19"/>
          <w:szCs w:val="19"/>
        </w:rPr>
        <w:t xml:space="preserve">, presented as comparative information, </w:t>
      </w:r>
      <w:r w:rsidRPr="00834F96">
        <w:rPr>
          <w:rFonts w:ascii="Arial" w:hAnsi="Arial"/>
          <w:sz w:val="19"/>
          <w:szCs w:val="19"/>
        </w:rPr>
        <w:t>were audited by another auditor from the same firm as mine</w:t>
      </w:r>
      <w:r>
        <w:rPr>
          <w:rFonts w:ascii="Arial" w:hAnsi="Arial"/>
          <w:sz w:val="19"/>
          <w:szCs w:val="19"/>
        </w:rPr>
        <w:t>,</w:t>
      </w:r>
      <w:r w:rsidRPr="006A09D6">
        <w:rPr>
          <w:rFonts w:ascii="Arial" w:hAnsi="Arial"/>
          <w:sz w:val="19"/>
          <w:szCs w:val="19"/>
        </w:rPr>
        <w:t xml:space="preserve"> who </w:t>
      </w:r>
      <w:r w:rsidRPr="009E4237">
        <w:rPr>
          <w:rFonts w:ascii="Arial" w:hAnsi="Arial"/>
          <w:sz w:val="19"/>
          <w:szCs w:val="19"/>
        </w:rPr>
        <w:t xml:space="preserve">expressed an unmodified opinion </w:t>
      </w:r>
      <w:r w:rsidR="006028CD">
        <w:rPr>
          <w:rFonts w:ascii="Arial" w:hAnsi="Arial"/>
          <w:sz w:val="19"/>
          <w:szCs w:val="19"/>
        </w:rPr>
        <w:t>with</w:t>
      </w:r>
      <w:r w:rsidR="006028CD" w:rsidRPr="006028CD">
        <w:rPr>
          <w:rFonts w:ascii="Arial" w:hAnsi="Arial"/>
          <w:sz w:val="19"/>
          <w:szCs w:val="19"/>
        </w:rPr>
        <w:t xml:space="preserve"> emphasis of matters about</w:t>
      </w:r>
      <w:r w:rsidRPr="009E4237">
        <w:rPr>
          <w:rFonts w:ascii="Arial" w:hAnsi="Arial"/>
          <w:sz w:val="19"/>
          <w:szCs w:val="19"/>
        </w:rPr>
        <w:t xml:space="preserve"> the estimation of allowance for doubtful accounts for an account receivable and unbilled contract revenue overdue more than 12 months of the construction Rock Salt project in Laos People’s Democratic Republic engaged by the State Enterprise in an overseas</w:t>
      </w:r>
      <w:r w:rsidR="006028CD">
        <w:rPr>
          <w:rFonts w:ascii="Arial" w:hAnsi="Arial"/>
          <w:sz w:val="19"/>
          <w:szCs w:val="19"/>
        </w:rPr>
        <w:t xml:space="preserve"> </w:t>
      </w:r>
      <w:r w:rsidR="006028CD" w:rsidRPr="006028CD">
        <w:rPr>
          <w:rFonts w:ascii="Arial" w:hAnsi="Arial"/>
          <w:sz w:val="19"/>
          <w:szCs w:val="19"/>
        </w:rPr>
        <w:t>and the Company acquired a company which engages in Torrefaction Technology license provider. Management considered this transaction was business combination in according to the Thai Financial Reporting Standards on these statements according to the report dated 1 March 2021.</w:t>
      </w:r>
    </w:p>
    <w:p w14:paraId="55019779" w14:textId="77777777" w:rsidR="00EB7298" w:rsidRPr="009E4237" w:rsidRDefault="00EB7298" w:rsidP="00DC7818">
      <w:pPr>
        <w:pStyle w:val="BodyText"/>
        <w:spacing w:after="0" w:line="360" w:lineRule="auto"/>
        <w:jc w:val="thaiDistribute"/>
        <w:rPr>
          <w:rFonts w:ascii="Arial" w:hAnsi="Arial"/>
          <w:sz w:val="19"/>
          <w:szCs w:val="19"/>
        </w:rPr>
      </w:pPr>
    </w:p>
    <w:p w14:paraId="3974E05D" w14:textId="03C15A04" w:rsidR="00DC7818" w:rsidRPr="00E717F7" w:rsidRDefault="00DC7818" w:rsidP="00DC7818">
      <w:pPr>
        <w:pStyle w:val="BodyText"/>
        <w:spacing w:after="0" w:line="360" w:lineRule="auto"/>
        <w:jc w:val="thaiDistribute"/>
        <w:rPr>
          <w:rFonts w:ascii="Arial" w:hAnsi="Arial"/>
          <w:sz w:val="19"/>
          <w:szCs w:val="19"/>
        </w:rPr>
      </w:pPr>
      <w:r w:rsidRPr="009E4237">
        <w:rPr>
          <w:rFonts w:ascii="Arial" w:hAnsi="Arial"/>
          <w:sz w:val="19"/>
          <w:szCs w:val="19"/>
        </w:rPr>
        <w:t>The consolidated and separate statements of profit or loss and other comprehensive income,</w:t>
      </w:r>
      <w:r>
        <w:rPr>
          <w:rFonts w:ascii="Arial" w:hAnsi="Arial"/>
          <w:sz w:val="19"/>
          <w:szCs w:val="19"/>
        </w:rPr>
        <w:t xml:space="preserve">                   </w:t>
      </w:r>
      <w:r w:rsidRPr="009E4237">
        <w:rPr>
          <w:rFonts w:ascii="Arial" w:hAnsi="Arial"/>
          <w:sz w:val="19"/>
          <w:szCs w:val="19"/>
        </w:rPr>
        <w:t xml:space="preserve">changes in shareholders’ equity and cash flows for the </w:t>
      </w:r>
      <w:r>
        <w:rPr>
          <w:rFonts w:ascii="Arial" w:hAnsi="Arial"/>
          <w:sz w:val="19"/>
          <w:szCs w:val="19"/>
        </w:rPr>
        <w:t>three</w:t>
      </w:r>
      <w:r w:rsidRPr="009E4237">
        <w:rPr>
          <w:rFonts w:ascii="Arial" w:hAnsi="Arial"/>
          <w:sz w:val="19"/>
          <w:szCs w:val="19"/>
        </w:rPr>
        <w:t xml:space="preserve">-month period </w:t>
      </w:r>
      <w:r>
        <w:rPr>
          <w:rFonts w:ascii="Arial" w:hAnsi="Arial"/>
          <w:sz w:val="19"/>
          <w:szCs w:val="19"/>
        </w:rPr>
        <w:t>en</w:t>
      </w:r>
      <w:r w:rsidRPr="009E4237">
        <w:rPr>
          <w:rFonts w:ascii="Arial" w:hAnsi="Arial"/>
          <w:sz w:val="19"/>
          <w:szCs w:val="19"/>
        </w:rPr>
        <w:t>ded</w:t>
      </w:r>
      <w:r>
        <w:rPr>
          <w:rFonts w:ascii="Arial" w:hAnsi="Arial"/>
          <w:sz w:val="19"/>
          <w:szCs w:val="19"/>
        </w:rPr>
        <w:t xml:space="preserve"> 31 March 2020</w:t>
      </w:r>
      <w:r w:rsidRPr="009E4237">
        <w:rPr>
          <w:rFonts w:ascii="Arial" w:hAnsi="Arial"/>
          <w:sz w:val="19"/>
          <w:szCs w:val="19"/>
        </w:rPr>
        <w:t>,</w:t>
      </w:r>
      <w:r>
        <w:rPr>
          <w:rFonts w:ascii="Arial" w:hAnsi="Arial"/>
          <w:sz w:val="19"/>
          <w:szCs w:val="19"/>
        </w:rPr>
        <w:t xml:space="preserve"> present as comparative information,</w:t>
      </w:r>
      <w:r w:rsidRPr="009E4237">
        <w:rPr>
          <w:rFonts w:ascii="Arial" w:hAnsi="Arial"/>
          <w:sz w:val="19"/>
          <w:szCs w:val="19"/>
        </w:rPr>
        <w:t xml:space="preserve"> were reviewed </w:t>
      </w:r>
      <w:r w:rsidRPr="00EB52A9">
        <w:rPr>
          <w:rFonts w:ascii="Arial" w:hAnsi="Arial"/>
          <w:sz w:val="19"/>
          <w:szCs w:val="19"/>
        </w:rPr>
        <w:t>by the aforementioned auditor, who</w:t>
      </w:r>
      <w:r>
        <w:rPr>
          <w:rFonts w:ascii="Arial" w:hAnsi="Arial"/>
          <w:sz w:val="19"/>
          <w:szCs w:val="19"/>
        </w:rPr>
        <w:t xml:space="preserve"> concluded that nothing has come to h</w:t>
      </w:r>
      <w:r w:rsidR="00AD567E">
        <w:rPr>
          <w:rFonts w:ascii="Arial" w:hAnsi="Arial"/>
          <w:sz w:val="19"/>
          <w:szCs w:val="19"/>
        </w:rPr>
        <w:t>er</w:t>
      </w:r>
      <w:r>
        <w:rPr>
          <w:rFonts w:ascii="Arial" w:hAnsi="Arial"/>
          <w:sz w:val="19"/>
          <w:szCs w:val="19"/>
        </w:rPr>
        <w:t xml:space="preserve"> attention that caused h</w:t>
      </w:r>
      <w:r w:rsidR="00AD567E">
        <w:rPr>
          <w:rFonts w:ascii="Arial" w:hAnsi="Arial"/>
          <w:sz w:val="19"/>
          <w:szCs w:val="19"/>
        </w:rPr>
        <w:t>er</w:t>
      </w:r>
      <w:r>
        <w:rPr>
          <w:rFonts w:ascii="Arial" w:hAnsi="Arial"/>
          <w:sz w:val="19"/>
          <w:szCs w:val="19"/>
        </w:rPr>
        <w:t xml:space="preserve"> to believe that the interim financial information was not prepare, in all material respects, in accordance with Thai Accounting Standard No. 34 “Interim financial reporting” </w:t>
      </w:r>
      <w:r w:rsidR="00AD567E">
        <w:rPr>
          <w:rFonts w:ascii="Arial" w:hAnsi="Arial"/>
          <w:sz w:val="19"/>
          <w:szCs w:val="19"/>
        </w:rPr>
        <w:t xml:space="preserve">with emphasis of matter about </w:t>
      </w:r>
      <w:r w:rsidRPr="009E4237">
        <w:rPr>
          <w:rFonts w:ascii="Arial" w:hAnsi="Arial"/>
          <w:sz w:val="19"/>
          <w:szCs w:val="19"/>
        </w:rPr>
        <w:t>the estimation of allowance for doubtful accounts for an account receivable and unbilled contract revenue overdue more than 12 months of the construction Rock Salt project in Laos People’s Democratic Republic engaged by the State Enterprise in an overseas</w:t>
      </w:r>
      <w:r w:rsidR="00AD567E">
        <w:rPr>
          <w:rFonts w:ascii="Arial" w:hAnsi="Arial"/>
          <w:sz w:val="19"/>
          <w:szCs w:val="19"/>
        </w:rPr>
        <w:t xml:space="preserve"> </w:t>
      </w:r>
      <w:r w:rsidR="00C460C3" w:rsidRPr="006028CD">
        <w:rPr>
          <w:rFonts w:ascii="Arial" w:hAnsi="Arial"/>
          <w:sz w:val="19"/>
          <w:szCs w:val="19"/>
        </w:rPr>
        <w:t>and the Company acquired a company which engages in Torrefaction Technology license provider. Management considered this transaction was business combination in according to the Thai Financial Reporting Standards</w:t>
      </w:r>
      <w:r w:rsidR="00B01879">
        <w:rPr>
          <w:rFonts w:ascii="Arial" w:hAnsi="Arial" w:cs="Browallia New"/>
          <w:sz w:val="19"/>
          <w:szCs w:val="24"/>
          <w:lang w:val="en-US" w:bidi="th-TH"/>
        </w:rPr>
        <w:t>.</w:t>
      </w:r>
      <w:r w:rsidR="00C460C3" w:rsidRPr="006028CD">
        <w:rPr>
          <w:rFonts w:ascii="Arial" w:hAnsi="Arial"/>
          <w:sz w:val="19"/>
          <w:szCs w:val="19"/>
        </w:rPr>
        <w:t xml:space="preserve"> </w:t>
      </w:r>
      <w:r w:rsidR="00B01879" w:rsidRPr="00B01879">
        <w:rPr>
          <w:rFonts w:ascii="Arial" w:hAnsi="Arial"/>
          <w:sz w:val="19"/>
          <w:szCs w:val="19"/>
        </w:rPr>
        <w:t xml:space="preserve">The Company is in the process of assessing the fair value of identifiable assets acquired and liabilities assumed at the acquisition date </w:t>
      </w:r>
      <w:proofErr w:type="gramStart"/>
      <w:r w:rsidR="00B01879" w:rsidRPr="00B01879">
        <w:rPr>
          <w:rFonts w:ascii="Arial" w:hAnsi="Arial"/>
          <w:sz w:val="19"/>
          <w:szCs w:val="19"/>
        </w:rPr>
        <w:t>in order to</w:t>
      </w:r>
      <w:proofErr w:type="gramEnd"/>
      <w:r w:rsidR="00B01879" w:rsidRPr="00B01879">
        <w:rPr>
          <w:rFonts w:ascii="Arial" w:hAnsi="Arial"/>
          <w:sz w:val="19"/>
          <w:szCs w:val="19"/>
        </w:rPr>
        <w:t xml:space="preserve"> make proper classification of assets and liabilities in the accounts </w:t>
      </w:r>
      <w:r w:rsidR="00AD567E">
        <w:rPr>
          <w:rFonts w:ascii="Arial" w:hAnsi="Arial"/>
          <w:sz w:val="19"/>
          <w:szCs w:val="19"/>
        </w:rPr>
        <w:t xml:space="preserve">according to the report date </w:t>
      </w:r>
      <w:r w:rsidR="00A20D3D">
        <w:rPr>
          <w:rFonts w:ascii="Arial" w:hAnsi="Arial"/>
          <w:sz w:val="19"/>
          <w:szCs w:val="19"/>
        </w:rPr>
        <w:br/>
      </w:r>
      <w:r w:rsidR="00AD567E">
        <w:rPr>
          <w:rFonts w:ascii="Arial" w:hAnsi="Arial"/>
          <w:sz w:val="19"/>
          <w:szCs w:val="19"/>
        </w:rPr>
        <w:t>30 July 2020</w:t>
      </w:r>
      <w:r w:rsidRPr="009E4237">
        <w:rPr>
          <w:rFonts w:ascii="Arial" w:hAnsi="Arial"/>
          <w:sz w:val="19"/>
          <w:szCs w:val="19"/>
        </w:rPr>
        <w:t>.</w:t>
      </w:r>
    </w:p>
    <w:p w14:paraId="78E0B2C3" w14:textId="5F36C8E4" w:rsidR="00C460C3" w:rsidRDefault="00C460C3" w:rsidP="00FB368E">
      <w:pPr>
        <w:pStyle w:val="BodyText"/>
        <w:spacing w:line="360" w:lineRule="auto"/>
        <w:jc w:val="thaiDistribute"/>
        <w:rPr>
          <w:rFonts w:ascii="Arial" w:hAnsi="Arial"/>
          <w:sz w:val="19"/>
          <w:szCs w:val="19"/>
        </w:rPr>
      </w:pPr>
    </w:p>
    <w:p w14:paraId="53C5BBF4" w14:textId="77777777" w:rsidR="00C460C3" w:rsidRPr="00795FE8" w:rsidRDefault="00C460C3" w:rsidP="0073152F">
      <w:pPr>
        <w:pStyle w:val="BodyText"/>
        <w:spacing w:after="240" w:line="360" w:lineRule="auto"/>
        <w:jc w:val="thaiDistribute"/>
        <w:rPr>
          <w:rFonts w:ascii="Arial" w:hAnsi="Arial"/>
          <w:sz w:val="19"/>
          <w:szCs w:val="19"/>
        </w:rPr>
      </w:pPr>
    </w:p>
    <w:p w14:paraId="29B41873" w14:textId="6FFFF841" w:rsidR="00DC7818" w:rsidRPr="00E717F7" w:rsidRDefault="00A20D3D" w:rsidP="00DC7818">
      <w:pPr>
        <w:pStyle w:val="BodyText"/>
        <w:spacing w:after="0" w:line="360" w:lineRule="auto"/>
        <w:rPr>
          <w:rFonts w:ascii="Arial" w:hAnsi="Arial"/>
          <w:b/>
          <w:bCs/>
          <w:sz w:val="19"/>
          <w:szCs w:val="19"/>
        </w:rPr>
      </w:pPr>
      <w:r>
        <w:rPr>
          <w:rFonts w:ascii="Arial" w:hAnsi="Arial"/>
          <w:b/>
          <w:bCs/>
          <w:sz w:val="19"/>
          <w:szCs w:val="19"/>
        </w:rPr>
        <w:t xml:space="preserve">Ms. </w:t>
      </w:r>
      <w:proofErr w:type="spellStart"/>
      <w:r w:rsidR="00DC7818" w:rsidRPr="000946F3">
        <w:rPr>
          <w:rFonts w:ascii="Arial" w:hAnsi="Arial"/>
          <w:b/>
          <w:bCs/>
          <w:sz w:val="19"/>
          <w:szCs w:val="19"/>
        </w:rPr>
        <w:t>Luxsamee</w:t>
      </w:r>
      <w:proofErr w:type="spellEnd"/>
      <w:r w:rsidR="00DC7818" w:rsidRPr="000946F3">
        <w:rPr>
          <w:rFonts w:ascii="Arial" w:hAnsi="Arial"/>
          <w:b/>
          <w:bCs/>
          <w:sz w:val="19"/>
          <w:szCs w:val="19"/>
        </w:rPr>
        <w:t xml:space="preserve"> </w:t>
      </w:r>
      <w:proofErr w:type="spellStart"/>
      <w:r w:rsidR="00DC7818" w:rsidRPr="000946F3">
        <w:rPr>
          <w:rFonts w:ascii="Arial" w:hAnsi="Arial"/>
          <w:b/>
          <w:bCs/>
          <w:sz w:val="19"/>
          <w:szCs w:val="19"/>
        </w:rPr>
        <w:t>Deetrakulwattanapol</w:t>
      </w:r>
      <w:proofErr w:type="spellEnd"/>
    </w:p>
    <w:p w14:paraId="7D1AB0D7" w14:textId="77777777" w:rsidR="00DC7818" w:rsidRPr="00E717F7" w:rsidRDefault="00DC7818" w:rsidP="00DC7818">
      <w:pPr>
        <w:pStyle w:val="BodyText"/>
        <w:spacing w:after="0" w:line="360" w:lineRule="auto"/>
        <w:rPr>
          <w:rFonts w:ascii="Arial" w:hAnsi="Arial"/>
          <w:sz w:val="19"/>
          <w:szCs w:val="19"/>
        </w:rPr>
      </w:pPr>
      <w:r w:rsidRPr="00E717F7">
        <w:rPr>
          <w:rFonts w:ascii="Arial" w:hAnsi="Arial"/>
          <w:sz w:val="19"/>
          <w:szCs w:val="19"/>
        </w:rPr>
        <w:t>Certified Public Accountant</w:t>
      </w:r>
    </w:p>
    <w:p w14:paraId="03FF29BC" w14:textId="77777777" w:rsidR="00DC7818" w:rsidRPr="00E717F7" w:rsidRDefault="00DC7818" w:rsidP="00DC7818">
      <w:pPr>
        <w:pStyle w:val="BodyText"/>
        <w:spacing w:after="0" w:line="360" w:lineRule="auto"/>
        <w:rPr>
          <w:rFonts w:ascii="Arial" w:hAnsi="Arial"/>
          <w:sz w:val="19"/>
          <w:szCs w:val="19"/>
        </w:rPr>
      </w:pPr>
      <w:r w:rsidRPr="00E717F7">
        <w:rPr>
          <w:rFonts w:ascii="Arial" w:hAnsi="Arial"/>
          <w:sz w:val="19"/>
          <w:szCs w:val="19"/>
        </w:rPr>
        <w:t xml:space="preserve">Registration No. </w:t>
      </w:r>
      <w:r>
        <w:rPr>
          <w:rFonts w:ascii="Arial" w:hAnsi="Arial"/>
          <w:sz w:val="19"/>
          <w:szCs w:val="19"/>
        </w:rPr>
        <w:t>9056</w:t>
      </w:r>
    </w:p>
    <w:p w14:paraId="6EF0CE10" w14:textId="77777777" w:rsidR="00DC7818" w:rsidRPr="00E717F7" w:rsidRDefault="00DC7818" w:rsidP="00DC7818">
      <w:pPr>
        <w:pStyle w:val="BodyText"/>
        <w:spacing w:after="0" w:line="360" w:lineRule="auto"/>
        <w:rPr>
          <w:rFonts w:ascii="Arial" w:hAnsi="Arial"/>
          <w:sz w:val="19"/>
          <w:szCs w:val="19"/>
        </w:rPr>
      </w:pPr>
    </w:p>
    <w:p w14:paraId="271E2191" w14:textId="77777777" w:rsidR="00DC7818" w:rsidRPr="00E717F7" w:rsidRDefault="00DC7818" w:rsidP="00DC7818">
      <w:pPr>
        <w:pStyle w:val="BodyText"/>
        <w:spacing w:after="0" w:line="360" w:lineRule="auto"/>
        <w:rPr>
          <w:rFonts w:ascii="Arial" w:hAnsi="Arial"/>
          <w:sz w:val="19"/>
          <w:szCs w:val="19"/>
        </w:rPr>
      </w:pPr>
      <w:r w:rsidRPr="00E717F7">
        <w:rPr>
          <w:rFonts w:ascii="Arial" w:hAnsi="Arial"/>
          <w:sz w:val="19"/>
          <w:szCs w:val="19"/>
        </w:rPr>
        <w:t>Grant Thornton Limited</w:t>
      </w:r>
    </w:p>
    <w:p w14:paraId="362A24A4" w14:textId="49FA84ED" w:rsidR="00C10298" w:rsidRPr="00795FE8" w:rsidRDefault="00DC7818" w:rsidP="00DC7818">
      <w:pPr>
        <w:spacing w:after="0" w:line="360" w:lineRule="auto"/>
        <w:rPr>
          <w:rFonts w:ascii="Arial" w:hAnsi="Arial"/>
          <w:sz w:val="19"/>
          <w:szCs w:val="19"/>
          <w:cs/>
          <w:lang w:bidi="th-TH"/>
        </w:rPr>
      </w:pPr>
      <w:r w:rsidRPr="00E717F7">
        <w:rPr>
          <w:rFonts w:ascii="Arial" w:hAnsi="Arial"/>
          <w:sz w:val="19"/>
          <w:szCs w:val="19"/>
        </w:rPr>
        <w:t>Bangkok</w:t>
      </w:r>
    </w:p>
    <w:p w14:paraId="09CC65EC" w14:textId="4F63E179" w:rsidR="00C10298" w:rsidRPr="00795FE8" w:rsidRDefault="001A741C" w:rsidP="002368AA">
      <w:pPr>
        <w:spacing w:after="0" w:line="360" w:lineRule="auto"/>
        <w:jc w:val="thaiDistribute"/>
        <w:rPr>
          <w:rFonts w:ascii="Arial" w:hAnsi="Arial"/>
          <w:sz w:val="19"/>
          <w:szCs w:val="19"/>
        </w:rPr>
      </w:pPr>
      <w:r w:rsidRPr="001A741C">
        <w:rPr>
          <w:rFonts w:ascii="Arial" w:hAnsi="Arial" w:cs="Browallia New"/>
          <w:sz w:val="19"/>
          <w:szCs w:val="24"/>
          <w:lang w:bidi="th-TH"/>
        </w:rPr>
        <w:t>1</w:t>
      </w:r>
      <w:r w:rsidR="00DC7818">
        <w:rPr>
          <w:rFonts w:ascii="Arial" w:hAnsi="Arial" w:cs="Browallia New"/>
          <w:sz w:val="19"/>
          <w:szCs w:val="24"/>
          <w:lang w:bidi="th-TH"/>
        </w:rPr>
        <w:t>7</w:t>
      </w:r>
      <w:r w:rsidR="0022452B" w:rsidRPr="001A741C">
        <w:rPr>
          <w:rFonts w:ascii="Arial" w:hAnsi="Arial" w:cs="Browallia New"/>
          <w:sz w:val="19"/>
          <w:szCs w:val="24"/>
          <w:lang w:bidi="th-TH"/>
        </w:rPr>
        <w:t xml:space="preserve"> May 2021</w:t>
      </w:r>
    </w:p>
    <w:p w14:paraId="166B4696" w14:textId="77777777" w:rsidR="00D15EA5" w:rsidRPr="00E32428" w:rsidRDefault="00D15EA5" w:rsidP="00D15EA5">
      <w:pPr>
        <w:pStyle w:val="BodyText"/>
        <w:rPr>
          <w:sz w:val="19"/>
          <w:szCs w:val="19"/>
        </w:rPr>
      </w:pPr>
    </w:p>
    <w:p w14:paraId="2C7FAFFA" w14:textId="77777777" w:rsidR="00D15EA5" w:rsidRDefault="00D15EA5" w:rsidP="00D15EA5">
      <w:pPr>
        <w:pStyle w:val="BodyText"/>
      </w:pPr>
    </w:p>
    <w:p w14:paraId="5EE5BB16" w14:textId="77777777" w:rsidR="00D15EA5" w:rsidRDefault="00D15EA5" w:rsidP="00D15EA5">
      <w:pPr>
        <w:pStyle w:val="BodyText"/>
      </w:pPr>
    </w:p>
    <w:sectPr w:rsidR="00D15EA5" w:rsidSect="008719C2">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28D7D6" w14:textId="77777777" w:rsidR="003C7E88" w:rsidRDefault="003C7E88">
      <w:r>
        <w:separator/>
      </w:r>
    </w:p>
  </w:endnote>
  <w:endnote w:type="continuationSeparator" w:id="0">
    <w:p w14:paraId="3591EC4E" w14:textId="77777777" w:rsidR="003C7E88" w:rsidRDefault="003C7E88">
      <w:r>
        <w:continuationSeparator/>
      </w:r>
    </w:p>
  </w:endnote>
  <w:endnote w:type="continuationNotice" w:id="1">
    <w:p w14:paraId="72400C72" w14:textId="77777777" w:rsidR="003C7E88" w:rsidRDefault="003C7E8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Leelawadee UI">
    <w:panose1 w:val="020B0502040204020203"/>
    <w:charset w:val="00"/>
    <w:family w:val="swiss"/>
    <w:pitch w:val="variable"/>
    <w:sig w:usb0="A3000003" w:usb1="00000000" w:usb2="00010000" w:usb3="00000000" w:csb0="000101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B0DDFD" w14:textId="77777777" w:rsidR="003C7E88" w:rsidRDefault="003C7E88">
      <w:bookmarkStart w:id="0" w:name="_Hlk482348182"/>
      <w:bookmarkEnd w:id="0"/>
      <w:r>
        <w:separator/>
      </w:r>
    </w:p>
  </w:footnote>
  <w:footnote w:type="continuationSeparator" w:id="0">
    <w:p w14:paraId="54F4010F" w14:textId="77777777" w:rsidR="003C7E88" w:rsidRDefault="003C7E88">
      <w:r>
        <w:continuationSeparator/>
      </w:r>
    </w:p>
  </w:footnote>
  <w:footnote w:type="continuationNotice" w:id="1">
    <w:p w14:paraId="4633F431" w14:textId="77777777" w:rsidR="003C7E88" w:rsidRDefault="003C7E8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13D7E" w14:textId="77777777" w:rsidR="0007420C" w:rsidRDefault="0007420C"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CCF5E" w14:textId="394E7412" w:rsidR="0007420C" w:rsidRDefault="0007420C" w:rsidP="00D96128">
    <w:pPr>
      <w:pStyle w:val="Header"/>
      <w:jc w:val="right"/>
    </w:pPr>
  </w:p>
  <w:p w14:paraId="138C1A99" w14:textId="77777777" w:rsidR="0007420C" w:rsidRPr="0079502D" w:rsidRDefault="0007420C"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EBE5E5" w14:textId="77777777" w:rsidR="0007420C" w:rsidRDefault="0007420C" w:rsidP="00D15EA5">
    <w:pPr>
      <w:pStyle w:val="Header"/>
      <w:tabs>
        <w:tab w:val="clear" w:pos="8562"/>
        <w:tab w:val="left" w:pos="5328"/>
      </w:tabs>
      <w:spacing w:after="1418"/>
    </w:pPr>
  </w:p>
  <w:p w14:paraId="2CDF52D1" w14:textId="17AAEF41" w:rsidR="0007420C" w:rsidRPr="006932D7" w:rsidRDefault="0007420C" w:rsidP="00551365">
    <w:pPr>
      <w:pStyle w:val="Header"/>
      <w:tabs>
        <w:tab w:val="clear" w:pos="8562"/>
        <w:tab w:val="left" w:pos="5328"/>
      </w:tabs>
      <w:spacing w:line="360" w:lineRule="auto"/>
      <w:rPr>
        <w:rFonts w:cs="Browallia New"/>
        <w:color w:val="4F2D7F"/>
        <w:sz w:val="32"/>
        <w:szCs w:val="32"/>
        <w:lang w:val="en-US" w:bidi="th-TH"/>
      </w:rPr>
    </w:pPr>
    <w:r w:rsidRPr="00551365">
      <w:rPr>
        <w:rFonts w:cs="Browallia New"/>
        <w:color w:val="auto"/>
        <w:sz w:val="24"/>
        <w:szCs w:val="24"/>
        <w:lang w:val="en-US" w:bidi="th-TH"/>
      </w:rPr>
      <w:t xml:space="preserve">INDEPENDENT AUDITOR’S REPORT ON REVIEW OF </w:t>
    </w:r>
    <w:r w:rsidR="0013485A">
      <w:rPr>
        <w:rFonts w:cs="Browallia New"/>
        <w:color w:val="auto"/>
        <w:sz w:val="24"/>
        <w:szCs w:val="24"/>
        <w:lang w:val="en-US" w:bidi="th-TH"/>
      </w:rPr>
      <w:t xml:space="preserve">THE </w:t>
    </w:r>
    <w:r w:rsidRPr="00551365">
      <w:rPr>
        <w:rFonts w:cs="Browallia New"/>
        <w:color w:val="auto"/>
        <w:sz w:val="24"/>
        <w:szCs w:val="24"/>
        <w:lang w:val="en-US" w:bidi="th-TH"/>
      </w:rPr>
      <w:t>INTERIM</w:t>
    </w:r>
    <w:r w:rsidRPr="00551365">
      <w:rPr>
        <w:rFonts w:cs="Browallia New"/>
        <w:color w:val="auto"/>
        <w:sz w:val="28"/>
        <w:szCs w:val="28"/>
        <w:lang w:val="en-US" w:bidi="th-TH"/>
      </w:rPr>
      <w:t xml:space="preserve"> </w:t>
    </w:r>
    <w:r w:rsidRPr="00551365">
      <w:rPr>
        <w:rFonts w:cs="Browallia New"/>
        <w:color w:val="auto"/>
        <w:sz w:val="24"/>
        <w:szCs w:val="24"/>
        <w:lang w:val="en-US" w:bidi="th-TH"/>
      </w:rPr>
      <w:t>FINANCIAL INFORMATION</w:t>
    </w:r>
  </w:p>
  <w:p w14:paraId="0E78E07D" w14:textId="77777777" w:rsidR="0007420C" w:rsidRDefault="0007420C" w:rsidP="00D15EA5">
    <w:pPr>
      <w:pStyle w:val="Header"/>
    </w:pPr>
    <w:bookmarkStart w:id="1" w:name="Footer3_tbl"/>
    <w:bookmarkEnd w:id="1"/>
  </w:p>
  <w:p w14:paraId="4E48D69A" w14:textId="7CA6B8A2" w:rsidR="0007420C" w:rsidRPr="0001415A" w:rsidRDefault="0007420C" w:rsidP="00D96128">
    <w:pPr>
      <w:pStyle w:val="Header"/>
      <w:jc w:val="righ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lvlText w:val=""/>
      <w:lvlJc w:val="left"/>
      <w:pPr>
        <w:tabs>
          <w:tab w:val="num" w:pos="567"/>
        </w:tabs>
        <w:ind w:left="567" w:hanging="283"/>
      </w:pPr>
      <w:rPr>
        <w:rFonts w:ascii="Symbol" w:hAnsi="Symbol" w:hint="default"/>
        <w:color w:val="808080" w:themeColor="background1" w:themeShade="80"/>
      </w:rPr>
    </w:lvl>
    <w:lvl w:ilvl="2">
      <w:start w:val="1"/>
      <w:numFmt w:val="bullet"/>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lvlText w:val="%2"/>
      <w:lvlJc w:val="left"/>
      <w:pPr>
        <w:tabs>
          <w:tab w:val="num" w:pos="567"/>
        </w:tabs>
        <w:ind w:left="567" w:hanging="283"/>
      </w:pPr>
      <w:rPr>
        <w:rFonts w:hint="default"/>
      </w:rPr>
    </w:lvl>
    <w:lvl w:ilvl="2">
      <w:start w:val="1"/>
      <w:numFmt w:val="lowerRoman"/>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lvlText w:val="%1"/>
      <w:lvlJc w:val="left"/>
      <w:pPr>
        <w:tabs>
          <w:tab w:val="num" w:pos="284"/>
        </w:tabs>
        <w:ind w:left="284" w:hanging="284"/>
      </w:pPr>
      <w:rPr>
        <w:rFonts w:hint="default"/>
      </w:rPr>
    </w:lvl>
    <w:lvl w:ilvl="1">
      <w:start w:val="1"/>
      <w:numFmt w:val="lowerLetter"/>
      <w:lvlText w:val="%2"/>
      <w:lvlJc w:val="left"/>
      <w:pPr>
        <w:tabs>
          <w:tab w:val="num" w:pos="567"/>
        </w:tabs>
        <w:ind w:left="567" w:hanging="283"/>
      </w:pPr>
      <w:rPr>
        <w:rFonts w:hint="default"/>
      </w:rPr>
    </w:lvl>
    <w:lvl w:ilvl="2">
      <w:start w:val="1"/>
      <w:numFmt w:val="lowerRoman"/>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rPr>
    </w:lvl>
    <w:lvl w:ilvl="2">
      <w:start w:val="1"/>
      <w:numFmt w:val="bullet"/>
      <w:lvlRestart w:val="0"/>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0A670D0"/>
    <w:multiLevelType w:val="hybridMultilevel"/>
    <w:tmpl w:val="4B069858"/>
    <w:lvl w:ilvl="0" w:tplc="0BB68FB4">
      <w:start w:val="1"/>
      <w:numFmt w:val="decimal"/>
      <w:lvlText w:val="%1)"/>
      <w:lvlJc w:val="left"/>
      <w:pPr>
        <w:ind w:left="72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10"/>
  </w:num>
  <w:num w:numId="8">
    <w:abstractNumId w:val="17"/>
  </w:num>
  <w:num w:numId="9">
    <w:abstractNumId w:val="5"/>
  </w:num>
  <w:num w:numId="10">
    <w:abstractNumId w:val="15"/>
  </w:num>
  <w:num w:numId="11">
    <w:abstractNumId w:val="13"/>
  </w:num>
  <w:num w:numId="12">
    <w:abstractNumId w:val="4"/>
  </w:num>
  <w:num w:numId="13">
    <w:abstractNumId w:val="8"/>
  </w:num>
  <w:num w:numId="14">
    <w:abstractNumId w:val="7"/>
  </w:num>
  <w:num w:numId="15">
    <w:abstractNumId w:val="8"/>
  </w:num>
  <w:num w:numId="16">
    <w:abstractNumId w:val="9"/>
  </w:num>
  <w:num w:numId="17">
    <w:abstractNumId w:val="11"/>
  </w:num>
  <w:num w:numId="18">
    <w:abstractNumId w:val="15"/>
  </w:num>
  <w:num w:numId="19">
    <w:abstractNumId w:val="13"/>
  </w:num>
  <w:num w:numId="20">
    <w:abstractNumId w:val="4"/>
  </w:num>
  <w:num w:numId="21">
    <w:abstractNumId w:val="8"/>
  </w:num>
  <w:num w:numId="22">
    <w:abstractNumId w:val="7"/>
  </w:num>
  <w:num w:numId="23">
    <w:abstractNumId w:val="7"/>
  </w:num>
  <w:num w:numId="24">
    <w:abstractNumId w:val="7"/>
  </w:num>
  <w:num w:numId="25">
    <w:abstractNumId w:val="8"/>
  </w:num>
  <w:num w:numId="26">
    <w:abstractNumId w:val="8"/>
  </w:num>
  <w:num w:numId="27">
    <w:abstractNumId w:val="8"/>
  </w:num>
  <w:num w:numId="28">
    <w:abstractNumId w:val="14"/>
  </w:num>
  <w:num w:numId="29">
    <w:abstractNumId w:val="14"/>
  </w:num>
  <w:num w:numId="30">
    <w:abstractNumId w:val="14"/>
  </w:num>
  <w:num w:numId="31">
    <w:abstractNumId w:val="12"/>
  </w:num>
  <w:num w:numId="32">
    <w:abstractNumId w:val="12"/>
  </w:num>
  <w:num w:numId="33">
    <w:abstractNumId w:val="12"/>
  </w:num>
  <w:num w:numId="34">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8193"/>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1415A"/>
    <w:rsid w:val="000162B0"/>
    <w:rsid w:val="00027DE7"/>
    <w:rsid w:val="0003023B"/>
    <w:rsid w:val="00031D17"/>
    <w:rsid w:val="00043824"/>
    <w:rsid w:val="00044ACE"/>
    <w:rsid w:val="0004550E"/>
    <w:rsid w:val="00052614"/>
    <w:rsid w:val="00057CB4"/>
    <w:rsid w:val="000605E9"/>
    <w:rsid w:val="000723F7"/>
    <w:rsid w:val="0007420C"/>
    <w:rsid w:val="00074485"/>
    <w:rsid w:val="00075F07"/>
    <w:rsid w:val="000828F1"/>
    <w:rsid w:val="00082F59"/>
    <w:rsid w:val="00094333"/>
    <w:rsid w:val="00097FAB"/>
    <w:rsid w:val="000A059C"/>
    <w:rsid w:val="000A6546"/>
    <w:rsid w:val="000B65E3"/>
    <w:rsid w:val="000B6A73"/>
    <w:rsid w:val="000B7090"/>
    <w:rsid w:val="000C1177"/>
    <w:rsid w:val="000C62FE"/>
    <w:rsid w:val="000E52CE"/>
    <w:rsid w:val="000E6680"/>
    <w:rsid w:val="000F3AAB"/>
    <w:rsid w:val="000F6E25"/>
    <w:rsid w:val="001011DF"/>
    <w:rsid w:val="001075BE"/>
    <w:rsid w:val="00112B69"/>
    <w:rsid w:val="001316D3"/>
    <w:rsid w:val="0013485A"/>
    <w:rsid w:val="001422CE"/>
    <w:rsid w:val="001554CD"/>
    <w:rsid w:val="00155A91"/>
    <w:rsid w:val="001613E2"/>
    <w:rsid w:val="0016459D"/>
    <w:rsid w:val="00167017"/>
    <w:rsid w:val="001808B5"/>
    <w:rsid w:val="00183AEE"/>
    <w:rsid w:val="0018585A"/>
    <w:rsid w:val="0019210D"/>
    <w:rsid w:val="001967C7"/>
    <w:rsid w:val="001A3BFB"/>
    <w:rsid w:val="001A3C20"/>
    <w:rsid w:val="001A741C"/>
    <w:rsid w:val="001B198C"/>
    <w:rsid w:val="001B7388"/>
    <w:rsid w:val="001D2302"/>
    <w:rsid w:val="001D77FD"/>
    <w:rsid w:val="001D7BB3"/>
    <w:rsid w:val="001E12A6"/>
    <w:rsid w:val="001E498F"/>
    <w:rsid w:val="001F502E"/>
    <w:rsid w:val="001F7290"/>
    <w:rsid w:val="00202090"/>
    <w:rsid w:val="0022163F"/>
    <w:rsid w:val="0022452B"/>
    <w:rsid w:val="0022518C"/>
    <w:rsid w:val="00226123"/>
    <w:rsid w:val="002368AA"/>
    <w:rsid w:val="00237A7E"/>
    <w:rsid w:val="00241F16"/>
    <w:rsid w:val="00247969"/>
    <w:rsid w:val="0026182A"/>
    <w:rsid w:val="00265555"/>
    <w:rsid w:val="002749F4"/>
    <w:rsid w:val="00276C62"/>
    <w:rsid w:val="00277EBE"/>
    <w:rsid w:val="002800FD"/>
    <w:rsid w:val="002827CF"/>
    <w:rsid w:val="002838FB"/>
    <w:rsid w:val="00285249"/>
    <w:rsid w:val="00295892"/>
    <w:rsid w:val="002A23F2"/>
    <w:rsid w:val="002A252E"/>
    <w:rsid w:val="002B0C5C"/>
    <w:rsid w:val="002C623D"/>
    <w:rsid w:val="002D4F10"/>
    <w:rsid w:val="002D5A0F"/>
    <w:rsid w:val="002D6E25"/>
    <w:rsid w:val="002E02F4"/>
    <w:rsid w:val="002E71E2"/>
    <w:rsid w:val="002E7F1E"/>
    <w:rsid w:val="002F2DEB"/>
    <w:rsid w:val="002F3903"/>
    <w:rsid w:val="002F4A52"/>
    <w:rsid w:val="002F6D2C"/>
    <w:rsid w:val="002F7D90"/>
    <w:rsid w:val="0030026A"/>
    <w:rsid w:val="003017EF"/>
    <w:rsid w:val="00305173"/>
    <w:rsid w:val="00321A76"/>
    <w:rsid w:val="0032758F"/>
    <w:rsid w:val="00327E2F"/>
    <w:rsid w:val="003318EA"/>
    <w:rsid w:val="00335E5B"/>
    <w:rsid w:val="00336E39"/>
    <w:rsid w:val="00342038"/>
    <w:rsid w:val="00344559"/>
    <w:rsid w:val="00354F5D"/>
    <w:rsid w:val="00365ECE"/>
    <w:rsid w:val="003744DA"/>
    <w:rsid w:val="0038141D"/>
    <w:rsid w:val="00384904"/>
    <w:rsid w:val="00387A52"/>
    <w:rsid w:val="00396DFE"/>
    <w:rsid w:val="003978B3"/>
    <w:rsid w:val="003A31B7"/>
    <w:rsid w:val="003B4CCD"/>
    <w:rsid w:val="003B4DED"/>
    <w:rsid w:val="003C12C5"/>
    <w:rsid w:val="003C27EF"/>
    <w:rsid w:val="003C32E9"/>
    <w:rsid w:val="003C3898"/>
    <w:rsid w:val="003C7E88"/>
    <w:rsid w:val="003D2605"/>
    <w:rsid w:val="003D64D6"/>
    <w:rsid w:val="003E034A"/>
    <w:rsid w:val="003E3E21"/>
    <w:rsid w:val="003F40BE"/>
    <w:rsid w:val="00416281"/>
    <w:rsid w:val="00422353"/>
    <w:rsid w:val="00426915"/>
    <w:rsid w:val="00433F63"/>
    <w:rsid w:val="00435788"/>
    <w:rsid w:val="004359E6"/>
    <w:rsid w:val="00443CE3"/>
    <w:rsid w:val="00452E7B"/>
    <w:rsid w:val="004539C4"/>
    <w:rsid w:val="004546FA"/>
    <w:rsid w:val="00481FE7"/>
    <w:rsid w:val="0048347F"/>
    <w:rsid w:val="00483D74"/>
    <w:rsid w:val="0048532C"/>
    <w:rsid w:val="0049103F"/>
    <w:rsid w:val="004A0DFE"/>
    <w:rsid w:val="004A3C62"/>
    <w:rsid w:val="004A6579"/>
    <w:rsid w:val="004B73BE"/>
    <w:rsid w:val="004C0971"/>
    <w:rsid w:val="004C0C25"/>
    <w:rsid w:val="004C2111"/>
    <w:rsid w:val="004C284B"/>
    <w:rsid w:val="004C732E"/>
    <w:rsid w:val="004D1F57"/>
    <w:rsid w:val="004D20AE"/>
    <w:rsid w:val="004D3578"/>
    <w:rsid w:val="004D5CA2"/>
    <w:rsid w:val="004E2C73"/>
    <w:rsid w:val="004F1A16"/>
    <w:rsid w:val="004F207F"/>
    <w:rsid w:val="004F5D91"/>
    <w:rsid w:val="004F77C6"/>
    <w:rsid w:val="005070FA"/>
    <w:rsid w:val="0051574B"/>
    <w:rsid w:val="0052186A"/>
    <w:rsid w:val="005321DA"/>
    <w:rsid w:val="00535092"/>
    <w:rsid w:val="00542E2A"/>
    <w:rsid w:val="00547541"/>
    <w:rsid w:val="00551365"/>
    <w:rsid w:val="00551D42"/>
    <w:rsid w:val="005520AB"/>
    <w:rsid w:val="005613C9"/>
    <w:rsid w:val="00561EFE"/>
    <w:rsid w:val="005627FF"/>
    <w:rsid w:val="005760E1"/>
    <w:rsid w:val="00577D61"/>
    <w:rsid w:val="0058148A"/>
    <w:rsid w:val="005822AC"/>
    <w:rsid w:val="005A66D8"/>
    <w:rsid w:val="005B405A"/>
    <w:rsid w:val="005C2CCB"/>
    <w:rsid w:val="005C6479"/>
    <w:rsid w:val="005C69FD"/>
    <w:rsid w:val="005D45A3"/>
    <w:rsid w:val="005D7025"/>
    <w:rsid w:val="005E2D67"/>
    <w:rsid w:val="005E5578"/>
    <w:rsid w:val="005E5818"/>
    <w:rsid w:val="005E690E"/>
    <w:rsid w:val="005F4D62"/>
    <w:rsid w:val="006028CD"/>
    <w:rsid w:val="00610ED7"/>
    <w:rsid w:val="00610F6D"/>
    <w:rsid w:val="00620CE3"/>
    <w:rsid w:val="00621086"/>
    <w:rsid w:val="0062286C"/>
    <w:rsid w:val="006307EA"/>
    <w:rsid w:val="006365A1"/>
    <w:rsid w:val="00636AA2"/>
    <w:rsid w:val="0065083A"/>
    <w:rsid w:val="00666764"/>
    <w:rsid w:val="0066694B"/>
    <w:rsid w:val="00667DB6"/>
    <w:rsid w:val="006771E8"/>
    <w:rsid w:val="00677C01"/>
    <w:rsid w:val="006807CC"/>
    <w:rsid w:val="00683CC7"/>
    <w:rsid w:val="00692CA5"/>
    <w:rsid w:val="006932D7"/>
    <w:rsid w:val="006A1A65"/>
    <w:rsid w:val="006A5E6D"/>
    <w:rsid w:val="006B06A2"/>
    <w:rsid w:val="006B52B9"/>
    <w:rsid w:val="006C3D37"/>
    <w:rsid w:val="006C6376"/>
    <w:rsid w:val="006D0D86"/>
    <w:rsid w:val="006D6FF5"/>
    <w:rsid w:val="006E1276"/>
    <w:rsid w:val="006E424D"/>
    <w:rsid w:val="006F1B19"/>
    <w:rsid w:val="006F29ED"/>
    <w:rsid w:val="006F4F77"/>
    <w:rsid w:val="007002BE"/>
    <w:rsid w:val="0070147C"/>
    <w:rsid w:val="007077CD"/>
    <w:rsid w:val="00714FD6"/>
    <w:rsid w:val="007265F7"/>
    <w:rsid w:val="00730B6E"/>
    <w:rsid w:val="0073152F"/>
    <w:rsid w:val="00731894"/>
    <w:rsid w:val="00733290"/>
    <w:rsid w:val="00746796"/>
    <w:rsid w:val="00746D91"/>
    <w:rsid w:val="007508C7"/>
    <w:rsid w:val="0075598A"/>
    <w:rsid w:val="0076009F"/>
    <w:rsid w:val="00761813"/>
    <w:rsid w:val="00771B85"/>
    <w:rsid w:val="00775DA6"/>
    <w:rsid w:val="00777CE7"/>
    <w:rsid w:val="0078170A"/>
    <w:rsid w:val="00790956"/>
    <w:rsid w:val="0079502D"/>
    <w:rsid w:val="00795FE8"/>
    <w:rsid w:val="007A0755"/>
    <w:rsid w:val="007A255E"/>
    <w:rsid w:val="007A31D9"/>
    <w:rsid w:val="007A7215"/>
    <w:rsid w:val="007A74F9"/>
    <w:rsid w:val="007D41A1"/>
    <w:rsid w:val="007D4D84"/>
    <w:rsid w:val="007E44C3"/>
    <w:rsid w:val="007E7192"/>
    <w:rsid w:val="00800C9E"/>
    <w:rsid w:val="008033D0"/>
    <w:rsid w:val="00803FB6"/>
    <w:rsid w:val="00804DAA"/>
    <w:rsid w:val="008059EF"/>
    <w:rsid w:val="008128F7"/>
    <w:rsid w:val="00812938"/>
    <w:rsid w:val="00812D93"/>
    <w:rsid w:val="00815698"/>
    <w:rsid w:val="00827B71"/>
    <w:rsid w:val="00830DAC"/>
    <w:rsid w:val="0083134C"/>
    <w:rsid w:val="00831C50"/>
    <w:rsid w:val="00832F51"/>
    <w:rsid w:val="00843100"/>
    <w:rsid w:val="00847054"/>
    <w:rsid w:val="00850F25"/>
    <w:rsid w:val="008534AA"/>
    <w:rsid w:val="0086189B"/>
    <w:rsid w:val="008679E9"/>
    <w:rsid w:val="008719C2"/>
    <w:rsid w:val="008723F1"/>
    <w:rsid w:val="008762D6"/>
    <w:rsid w:val="00884FF7"/>
    <w:rsid w:val="00885287"/>
    <w:rsid w:val="00887357"/>
    <w:rsid w:val="00894ACE"/>
    <w:rsid w:val="008965EA"/>
    <w:rsid w:val="008A4140"/>
    <w:rsid w:val="008B19D9"/>
    <w:rsid w:val="008B1FD3"/>
    <w:rsid w:val="008B204B"/>
    <w:rsid w:val="008B3152"/>
    <w:rsid w:val="008C49AE"/>
    <w:rsid w:val="008C59F7"/>
    <w:rsid w:val="008D4145"/>
    <w:rsid w:val="008E51B9"/>
    <w:rsid w:val="008E6C91"/>
    <w:rsid w:val="008E7687"/>
    <w:rsid w:val="008E7AFC"/>
    <w:rsid w:val="008F0E3C"/>
    <w:rsid w:val="008F11FA"/>
    <w:rsid w:val="008F33AE"/>
    <w:rsid w:val="008F4ACA"/>
    <w:rsid w:val="008F6BF3"/>
    <w:rsid w:val="00912F98"/>
    <w:rsid w:val="00917FBB"/>
    <w:rsid w:val="009219CA"/>
    <w:rsid w:val="009223D3"/>
    <w:rsid w:val="00926867"/>
    <w:rsid w:val="00931D7A"/>
    <w:rsid w:val="00935D8D"/>
    <w:rsid w:val="00942FE8"/>
    <w:rsid w:val="009554ED"/>
    <w:rsid w:val="00957E70"/>
    <w:rsid w:val="00970DAB"/>
    <w:rsid w:val="00972FF6"/>
    <w:rsid w:val="0097321D"/>
    <w:rsid w:val="00992531"/>
    <w:rsid w:val="00995CD5"/>
    <w:rsid w:val="009A1787"/>
    <w:rsid w:val="009A4F5A"/>
    <w:rsid w:val="009B1F44"/>
    <w:rsid w:val="009B2870"/>
    <w:rsid w:val="009B4573"/>
    <w:rsid w:val="009B7037"/>
    <w:rsid w:val="009C002A"/>
    <w:rsid w:val="009C0DBC"/>
    <w:rsid w:val="009C74BE"/>
    <w:rsid w:val="009C795A"/>
    <w:rsid w:val="009D65A6"/>
    <w:rsid w:val="009E278C"/>
    <w:rsid w:val="009F6EDC"/>
    <w:rsid w:val="00A02A9B"/>
    <w:rsid w:val="00A035CE"/>
    <w:rsid w:val="00A0537F"/>
    <w:rsid w:val="00A0602E"/>
    <w:rsid w:val="00A06C1F"/>
    <w:rsid w:val="00A07FFA"/>
    <w:rsid w:val="00A11FB4"/>
    <w:rsid w:val="00A1550B"/>
    <w:rsid w:val="00A20D3D"/>
    <w:rsid w:val="00A35782"/>
    <w:rsid w:val="00A35E01"/>
    <w:rsid w:val="00A362F9"/>
    <w:rsid w:val="00A43EE6"/>
    <w:rsid w:val="00A55352"/>
    <w:rsid w:val="00A561CC"/>
    <w:rsid w:val="00A60F49"/>
    <w:rsid w:val="00A61E15"/>
    <w:rsid w:val="00A62910"/>
    <w:rsid w:val="00A66F91"/>
    <w:rsid w:val="00A70229"/>
    <w:rsid w:val="00A750C9"/>
    <w:rsid w:val="00A918D1"/>
    <w:rsid w:val="00A93A9A"/>
    <w:rsid w:val="00AA1C6E"/>
    <w:rsid w:val="00AA5C16"/>
    <w:rsid w:val="00AC0CD4"/>
    <w:rsid w:val="00AC31D4"/>
    <w:rsid w:val="00AC4164"/>
    <w:rsid w:val="00AC6098"/>
    <w:rsid w:val="00AD077B"/>
    <w:rsid w:val="00AD567E"/>
    <w:rsid w:val="00AE2BF6"/>
    <w:rsid w:val="00AE3370"/>
    <w:rsid w:val="00AE46E7"/>
    <w:rsid w:val="00AE64CA"/>
    <w:rsid w:val="00AF1831"/>
    <w:rsid w:val="00AF2123"/>
    <w:rsid w:val="00AF229B"/>
    <w:rsid w:val="00AF7092"/>
    <w:rsid w:val="00AF7F2F"/>
    <w:rsid w:val="00B01879"/>
    <w:rsid w:val="00B06E81"/>
    <w:rsid w:val="00B1324D"/>
    <w:rsid w:val="00B13EE1"/>
    <w:rsid w:val="00B157E2"/>
    <w:rsid w:val="00B17C2E"/>
    <w:rsid w:val="00B22634"/>
    <w:rsid w:val="00B24A45"/>
    <w:rsid w:val="00B25B92"/>
    <w:rsid w:val="00B26948"/>
    <w:rsid w:val="00B34D51"/>
    <w:rsid w:val="00B36A0E"/>
    <w:rsid w:val="00B36BA1"/>
    <w:rsid w:val="00B40D67"/>
    <w:rsid w:val="00B43C45"/>
    <w:rsid w:val="00B4793D"/>
    <w:rsid w:val="00B55EE8"/>
    <w:rsid w:val="00B56E6C"/>
    <w:rsid w:val="00B63D0E"/>
    <w:rsid w:val="00B647BC"/>
    <w:rsid w:val="00B67125"/>
    <w:rsid w:val="00B83039"/>
    <w:rsid w:val="00B91171"/>
    <w:rsid w:val="00BA38DA"/>
    <w:rsid w:val="00BA5B00"/>
    <w:rsid w:val="00BB1A07"/>
    <w:rsid w:val="00BB33A1"/>
    <w:rsid w:val="00BB6DAD"/>
    <w:rsid w:val="00BB7346"/>
    <w:rsid w:val="00BC1555"/>
    <w:rsid w:val="00BC60A9"/>
    <w:rsid w:val="00BC7F39"/>
    <w:rsid w:val="00BD14BD"/>
    <w:rsid w:val="00BD2D05"/>
    <w:rsid w:val="00BE0C8A"/>
    <w:rsid w:val="00BE334D"/>
    <w:rsid w:val="00BE4988"/>
    <w:rsid w:val="00BF1C24"/>
    <w:rsid w:val="00BF5E73"/>
    <w:rsid w:val="00C04010"/>
    <w:rsid w:val="00C06939"/>
    <w:rsid w:val="00C10298"/>
    <w:rsid w:val="00C142C6"/>
    <w:rsid w:val="00C21942"/>
    <w:rsid w:val="00C21E3B"/>
    <w:rsid w:val="00C3572B"/>
    <w:rsid w:val="00C35B1A"/>
    <w:rsid w:val="00C41C7D"/>
    <w:rsid w:val="00C460C3"/>
    <w:rsid w:val="00C50CFF"/>
    <w:rsid w:val="00C63023"/>
    <w:rsid w:val="00C63743"/>
    <w:rsid w:val="00C76C6C"/>
    <w:rsid w:val="00C804DE"/>
    <w:rsid w:val="00C80EC5"/>
    <w:rsid w:val="00C86BB9"/>
    <w:rsid w:val="00C8772C"/>
    <w:rsid w:val="00C94D6D"/>
    <w:rsid w:val="00C95DBE"/>
    <w:rsid w:val="00CA43FD"/>
    <w:rsid w:val="00CB18EB"/>
    <w:rsid w:val="00CB441E"/>
    <w:rsid w:val="00CC5FCC"/>
    <w:rsid w:val="00CC72E9"/>
    <w:rsid w:val="00CD25C2"/>
    <w:rsid w:val="00CE24E5"/>
    <w:rsid w:val="00CE41DB"/>
    <w:rsid w:val="00CE4D96"/>
    <w:rsid w:val="00CF0009"/>
    <w:rsid w:val="00D078C4"/>
    <w:rsid w:val="00D1564F"/>
    <w:rsid w:val="00D15EA5"/>
    <w:rsid w:val="00D166E9"/>
    <w:rsid w:val="00D20EC7"/>
    <w:rsid w:val="00D2100B"/>
    <w:rsid w:val="00D23D11"/>
    <w:rsid w:val="00D3089E"/>
    <w:rsid w:val="00D31D7A"/>
    <w:rsid w:val="00D33E60"/>
    <w:rsid w:val="00D3699C"/>
    <w:rsid w:val="00D420A1"/>
    <w:rsid w:val="00D4589A"/>
    <w:rsid w:val="00D460E7"/>
    <w:rsid w:val="00D46D75"/>
    <w:rsid w:val="00D60780"/>
    <w:rsid w:val="00D63ABC"/>
    <w:rsid w:val="00D675F1"/>
    <w:rsid w:val="00D67C6F"/>
    <w:rsid w:val="00D73B96"/>
    <w:rsid w:val="00D80807"/>
    <w:rsid w:val="00D86917"/>
    <w:rsid w:val="00D900C6"/>
    <w:rsid w:val="00D92E3D"/>
    <w:rsid w:val="00D92F9A"/>
    <w:rsid w:val="00D9427D"/>
    <w:rsid w:val="00D96128"/>
    <w:rsid w:val="00DA280B"/>
    <w:rsid w:val="00DA303A"/>
    <w:rsid w:val="00DA36EE"/>
    <w:rsid w:val="00DA452E"/>
    <w:rsid w:val="00DA5128"/>
    <w:rsid w:val="00DA7444"/>
    <w:rsid w:val="00DA76D1"/>
    <w:rsid w:val="00DB308D"/>
    <w:rsid w:val="00DB5F40"/>
    <w:rsid w:val="00DC7818"/>
    <w:rsid w:val="00DD1E47"/>
    <w:rsid w:val="00DD42B1"/>
    <w:rsid w:val="00DD61A9"/>
    <w:rsid w:val="00DD6EF1"/>
    <w:rsid w:val="00DE4958"/>
    <w:rsid w:val="00DF71EE"/>
    <w:rsid w:val="00DF7E4A"/>
    <w:rsid w:val="00E0111C"/>
    <w:rsid w:val="00E04361"/>
    <w:rsid w:val="00E064FD"/>
    <w:rsid w:val="00E1053A"/>
    <w:rsid w:val="00E11F4A"/>
    <w:rsid w:val="00E12D82"/>
    <w:rsid w:val="00E13896"/>
    <w:rsid w:val="00E26AF3"/>
    <w:rsid w:val="00E276E0"/>
    <w:rsid w:val="00E314EA"/>
    <w:rsid w:val="00E32428"/>
    <w:rsid w:val="00E33C6C"/>
    <w:rsid w:val="00E33FDA"/>
    <w:rsid w:val="00E3550F"/>
    <w:rsid w:val="00E406D5"/>
    <w:rsid w:val="00E42EAF"/>
    <w:rsid w:val="00E56701"/>
    <w:rsid w:val="00E61306"/>
    <w:rsid w:val="00E625A5"/>
    <w:rsid w:val="00E62754"/>
    <w:rsid w:val="00E64626"/>
    <w:rsid w:val="00E64D2D"/>
    <w:rsid w:val="00E6607B"/>
    <w:rsid w:val="00E753A3"/>
    <w:rsid w:val="00E85D50"/>
    <w:rsid w:val="00E86B53"/>
    <w:rsid w:val="00E9110B"/>
    <w:rsid w:val="00E925B5"/>
    <w:rsid w:val="00E936EC"/>
    <w:rsid w:val="00EA2B6F"/>
    <w:rsid w:val="00EA5B04"/>
    <w:rsid w:val="00EB3478"/>
    <w:rsid w:val="00EB4B39"/>
    <w:rsid w:val="00EB6FE3"/>
    <w:rsid w:val="00EB7298"/>
    <w:rsid w:val="00EE0F65"/>
    <w:rsid w:val="00EE1059"/>
    <w:rsid w:val="00EE557D"/>
    <w:rsid w:val="00EE613C"/>
    <w:rsid w:val="00F01557"/>
    <w:rsid w:val="00F246A1"/>
    <w:rsid w:val="00F31408"/>
    <w:rsid w:val="00F37917"/>
    <w:rsid w:val="00F4051F"/>
    <w:rsid w:val="00F45F83"/>
    <w:rsid w:val="00F46F51"/>
    <w:rsid w:val="00F471F7"/>
    <w:rsid w:val="00F5513E"/>
    <w:rsid w:val="00F55AE7"/>
    <w:rsid w:val="00F572E2"/>
    <w:rsid w:val="00F63F3F"/>
    <w:rsid w:val="00F643FF"/>
    <w:rsid w:val="00F64616"/>
    <w:rsid w:val="00F66FA5"/>
    <w:rsid w:val="00F71678"/>
    <w:rsid w:val="00F730E3"/>
    <w:rsid w:val="00F755E9"/>
    <w:rsid w:val="00F909CD"/>
    <w:rsid w:val="00F974D1"/>
    <w:rsid w:val="00FA16E0"/>
    <w:rsid w:val="00FB368E"/>
    <w:rsid w:val="00FB5D56"/>
    <w:rsid w:val="00FC4397"/>
    <w:rsid w:val="00FD049D"/>
    <w:rsid w:val="00FD05AD"/>
    <w:rsid w:val="00FD0666"/>
    <w:rsid w:val="00FD1AE1"/>
    <w:rsid w:val="00FD4FAC"/>
    <w:rsid w:val="00FD7295"/>
    <w:rsid w:val="00FE10A1"/>
    <w:rsid w:val="00FE2187"/>
    <w:rsid w:val="00FE2924"/>
    <w:rsid w:val="00FE32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5128EA51"/>
  <w15:docId w15:val="{C1669CF9-C6AB-4459-A722-18E05A6EE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tabs>
        <w:tab w:val="num" w:pos="284"/>
      </w:tabs>
      <w:ind w:left="284" w:hanging="284"/>
    </w:pPr>
  </w:style>
  <w:style w:type="paragraph" w:styleId="ListNumber">
    <w:name w:val="List Number"/>
    <w:basedOn w:val="Normal"/>
    <w:uiPriority w:val="1"/>
    <w:qFormat/>
    <w:rsid w:val="00894ACE"/>
    <w:pPr>
      <w:tabs>
        <w:tab w:val="num" w:pos="284"/>
      </w:tabs>
      <w:ind w:left="284" w:hanging="284"/>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tabs>
        <w:tab w:val="num" w:pos="567"/>
      </w:tabs>
      <w:ind w:left="567" w:hanging="283"/>
    </w:pPr>
  </w:style>
  <w:style w:type="paragraph" w:styleId="ListNumber2">
    <w:name w:val="List Number 2"/>
    <w:basedOn w:val="Normal"/>
    <w:uiPriority w:val="1"/>
    <w:qFormat/>
    <w:rsid w:val="00894ACE"/>
    <w:pPr>
      <w:tabs>
        <w:tab w:val="num" w:pos="567"/>
      </w:tabs>
      <w:ind w:left="567" w:hanging="283"/>
    </w:pPr>
  </w:style>
  <w:style w:type="paragraph" w:styleId="ListNumber3">
    <w:name w:val="List Number 3"/>
    <w:basedOn w:val="Normal"/>
    <w:uiPriority w:val="1"/>
    <w:qFormat/>
    <w:rsid w:val="00894ACE"/>
    <w:pPr>
      <w:tabs>
        <w:tab w:val="num" w:pos="1134"/>
      </w:tabs>
      <w:ind w:left="1134" w:hanging="567"/>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tabs>
        <w:tab w:val="num" w:pos="851"/>
      </w:tabs>
      <w:ind w:left="851" w:hanging="284"/>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tabs>
        <w:tab w:val="clear" w:pos="567"/>
        <w:tab w:val="num" w:pos="284"/>
      </w:tabs>
      <w:spacing w:before="60" w:after="60"/>
      <w:ind w:left="284" w:hanging="284"/>
    </w:pPr>
  </w:style>
  <w:style w:type="paragraph" w:customStyle="1" w:styleId="TableBullet3">
    <w:name w:val="Table Bullet 3"/>
    <w:basedOn w:val="ListBullet3"/>
    <w:uiPriority w:val="9"/>
    <w:qFormat/>
    <w:rsid w:val="00894ACE"/>
    <w:pPr>
      <w:tabs>
        <w:tab w:val="clear" w:pos="851"/>
        <w:tab w:val="num" w:pos="284"/>
      </w:tabs>
      <w:spacing w:before="60" w:after="60"/>
      <w:ind w:left="284"/>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tabs>
        <w:tab w:val="clear" w:pos="567"/>
        <w:tab w:val="num" w:pos="284"/>
      </w:tabs>
      <w:spacing w:before="60" w:after="60"/>
      <w:ind w:left="284" w:hanging="284"/>
    </w:pPr>
  </w:style>
  <w:style w:type="paragraph" w:customStyle="1" w:styleId="TableNumber3">
    <w:name w:val="Table Number 3"/>
    <w:basedOn w:val="ListNumber3"/>
    <w:uiPriority w:val="9"/>
    <w:qFormat/>
    <w:rsid w:val="00894ACE"/>
    <w:pPr>
      <w:tabs>
        <w:tab w:val="clear" w:pos="1134"/>
        <w:tab w:val="num" w:pos="284"/>
      </w:tabs>
      <w:spacing w:before="60" w:after="60"/>
      <w:ind w:left="284" w:hanging="284"/>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C10298"/>
    <w:pPr>
      <w:spacing w:after="0" w:line="240" w:lineRule="auto"/>
      <w:jc w:val="both"/>
    </w:pPr>
    <w:rPr>
      <w:rFonts w:ascii="Times New Roman" w:hAnsi="Times New Roman" w:cs="Times New Roman"/>
      <w:sz w:val="22"/>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600237">
      <w:bodyDiv w:val="1"/>
      <w:marLeft w:val="0"/>
      <w:marRight w:val="0"/>
      <w:marTop w:val="0"/>
      <w:marBottom w:val="0"/>
      <w:divBdr>
        <w:top w:val="none" w:sz="0" w:space="0" w:color="auto"/>
        <w:left w:val="none" w:sz="0" w:space="0" w:color="auto"/>
        <w:bottom w:val="none" w:sz="0" w:space="0" w:color="auto"/>
        <w:right w:val="none" w:sz="0" w:space="0" w:color="auto"/>
      </w:divBdr>
      <w:divsChild>
        <w:div w:id="364840480">
          <w:marLeft w:val="0"/>
          <w:marRight w:val="0"/>
          <w:marTop w:val="0"/>
          <w:marBottom w:val="0"/>
          <w:divBdr>
            <w:top w:val="none" w:sz="0" w:space="0" w:color="auto"/>
            <w:left w:val="none" w:sz="0" w:space="0" w:color="auto"/>
            <w:bottom w:val="none" w:sz="0" w:space="0" w:color="auto"/>
            <w:right w:val="none" w:sz="0" w:space="0" w:color="auto"/>
          </w:divBdr>
        </w:div>
      </w:divsChild>
    </w:div>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657998846">
      <w:bodyDiv w:val="1"/>
      <w:marLeft w:val="0"/>
      <w:marRight w:val="0"/>
      <w:marTop w:val="0"/>
      <w:marBottom w:val="0"/>
      <w:divBdr>
        <w:top w:val="none" w:sz="0" w:space="0" w:color="auto"/>
        <w:left w:val="none" w:sz="0" w:space="0" w:color="auto"/>
        <w:bottom w:val="none" w:sz="0" w:space="0" w:color="auto"/>
        <w:right w:val="none" w:sz="0" w:space="0" w:color="auto"/>
      </w:divBdr>
    </w:div>
    <w:div w:id="787964822">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058283255">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33202644">
      <w:bodyDiv w:val="1"/>
      <w:marLeft w:val="0"/>
      <w:marRight w:val="0"/>
      <w:marTop w:val="0"/>
      <w:marBottom w:val="0"/>
      <w:divBdr>
        <w:top w:val="none" w:sz="0" w:space="0" w:color="auto"/>
        <w:left w:val="none" w:sz="0" w:space="0" w:color="auto"/>
        <w:bottom w:val="none" w:sz="0" w:space="0" w:color="auto"/>
        <w:right w:val="none" w:sz="0" w:space="0" w:color="auto"/>
      </w:divBdr>
      <w:divsChild>
        <w:div w:id="1402479694">
          <w:marLeft w:val="0"/>
          <w:marRight w:val="0"/>
          <w:marTop w:val="0"/>
          <w:marBottom w:val="0"/>
          <w:divBdr>
            <w:top w:val="none" w:sz="0" w:space="0" w:color="auto"/>
            <w:left w:val="none" w:sz="0" w:space="0" w:color="auto"/>
            <w:bottom w:val="none" w:sz="0" w:space="0" w:color="auto"/>
            <w:right w:val="none" w:sz="0" w:space="0" w:color="auto"/>
          </w:divBdr>
        </w:div>
      </w:divsChild>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537887108">
      <w:bodyDiv w:val="1"/>
      <w:marLeft w:val="0"/>
      <w:marRight w:val="0"/>
      <w:marTop w:val="0"/>
      <w:marBottom w:val="0"/>
      <w:divBdr>
        <w:top w:val="none" w:sz="0" w:space="0" w:color="auto"/>
        <w:left w:val="none" w:sz="0" w:space="0" w:color="auto"/>
        <w:bottom w:val="none" w:sz="0" w:space="0" w:color="auto"/>
        <w:right w:val="none" w:sz="0" w:space="0" w:color="auto"/>
      </w:divBdr>
      <w:divsChild>
        <w:div w:id="1836605115">
          <w:marLeft w:val="0"/>
          <w:marRight w:val="0"/>
          <w:marTop w:val="0"/>
          <w:marBottom w:val="0"/>
          <w:divBdr>
            <w:top w:val="none" w:sz="0" w:space="0" w:color="auto"/>
            <w:left w:val="none" w:sz="0" w:space="0" w:color="auto"/>
            <w:bottom w:val="none" w:sz="0" w:space="0" w:color="auto"/>
            <w:right w:val="none" w:sz="0" w:space="0" w:color="auto"/>
          </w:divBdr>
        </w:div>
      </w:divsChild>
    </w:div>
    <w:div w:id="1796437180">
      <w:bodyDiv w:val="1"/>
      <w:marLeft w:val="0"/>
      <w:marRight w:val="0"/>
      <w:marTop w:val="0"/>
      <w:marBottom w:val="0"/>
      <w:divBdr>
        <w:top w:val="none" w:sz="0" w:space="0" w:color="auto"/>
        <w:left w:val="none" w:sz="0" w:space="0" w:color="auto"/>
        <w:bottom w:val="none" w:sz="0" w:space="0" w:color="auto"/>
        <w:right w:val="none" w:sz="0" w:space="0" w:color="auto"/>
      </w:divBdr>
    </w:div>
    <w:div w:id="1800997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222D6EB6211D84499C632DF07FA977E" ma:contentTypeVersion="8" ma:contentTypeDescription="Create a new document." ma:contentTypeScope="" ma:versionID="b40cdfa63860d7d45dba15ebf793ab04">
  <xsd:schema xmlns:xsd="http://www.w3.org/2001/XMLSchema" xmlns:xs="http://www.w3.org/2001/XMLSchema" xmlns:p="http://schemas.microsoft.com/office/2006/metadata/properties" xmlns:ns2="c2d9b97a-c637-426a-b193-bfdf938e1ab3" targetNamespace="http://schemas.microsoft.com/office/2006/metadata/properties" ma:root="true" ma:fieldsID="d9ecf1e9b8b3c8c042a76f70bab62cc3" ns2:_="">
    <xsd:import namespace="c2d9b97a-c637-426a-b193-bfdf938e1ab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d9b97a-c637-426a-b193-bfdf938e1a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14B7B83-B611-4AC9-89FB-A2371B236E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d9b97a-c637-426a-b193-bfdf938e1a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69F9ECC-1EE6-4257-8BF3-8A3C9221A653}">
  <ds:schemaRefs>
    <ds:schemaRef ds:uri="http://schemas.openxmlformats.org/officeDocument/2006/bibliography"/>
  </ds:schemaRefs>
</ds:datastoreItem>
</file>

<file path=customXml/itemProps3.xml><?xml version="1.0" encoding="utf-8"?>
<ds:datastoreItem xmlns:ds="http://schemas.openxmlformats.org/officeDocument/2006/customXml" ds:itemID="{781DC936-687B-4BBB-BE7A-7C72BB7DEA82}">
  <ds:schemaRefs>
    <ds:schemaRef ds:uri="http://schemas.microsoft.com/sharepoint/v3/contenttype/forms"/>
  </ds:schemaRefs>
</ds:datastoreItem>
</file>

<file path=customXml/itemProps4.xml><?xml version="1.0" encoding="utf-8"?>
<ds:datastoreItem xmlns:ds="http://schemas.openxmlformats.org/officeDocument/2006/customXml" ds:itemID="{10A6344D-406E-4F9D-A187-C82D88F2FF69}">
  <ds:schemaRefs>
    <ds:schemaRef ds:uri="http://purl.org/dc/terms/"/>
    <ds:schemaRef ds:uri="http://schemas.openxmlformats.org/package/2006/metadata/core-properties"/>
    <ds:schemaRef ds:uri="c2d9b97a-c637-426a-b193-bfdf938e1ab3"/>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Letter_GTSL.dotm</Template>
  <TotalTime>363</TotalTime>
  <Pages>3</Pages>
  <Words>938</Words>
  <Characters>5355</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6281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Pornarin Jarudech</cp:lastModifiedBy>
  <cp:revision>131</cp:revision>
  <cp:lastPrinted>2020-11-04T10:58:00Z</cp:lastPrinted>
  <dcterms:created xsi:type="dcterms:W3CDTF">2019-03-12T07:27:00Z</dcterms:created>
  <dcterms:modified xsi:type="dcterms:W3CDTF">2021-05-17T04:40:00Z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0x010100E222D6EB6211D84499C632DF07FA977E</vt:lpwstr>
  </property>
</Properties>
</file>