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bookmarkStart w:id="0" w:name="_GoBack"/>
      <w:bookmarkEnd w:id="0"/>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Millcon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0A207DE9"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45008B">
        <w:rPr>
          <w:rFonts w:asciiTheme="minorHAnsi" w:hAnsiTheme="minorHAnsi" w:cstheme="minorHAnsi"/>
          <w:spacing w:val="6"/>
          <w:szCs w:val="22"/>
        </w:rPr>
        <w:t>31 March 2021</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period ended </w:t>
      </w:r>
      <w:r w:rsidR="0045008B">
        <w:rPr>
          <w:rFonts w:asciiTheme="minorHAnsi" w:hAnsiTheme="minorHAnsi" w:cstheme="minorHAnsi"/>
          <w:spacing w:val="6"/>
          <w:szCs w:val="22"/>
        </w:rPr>
        <w:t>31 March 2021</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Pr="00D517BC">
        <w:rPr>
          <w:rFonts w:asciiTheme="minorHAnsi" w:hAnsiTheme="minorHAnsi" w:cstheme="minorHAnsi"/>
          <w:szCs w:val="22"/>
        </w:rPr>
        <w:t xml:space="preserve">period then ended, as well as the condensed notes to the interim financial information of </w:t>
      </w:r>
      <w:r w:rsidRPr="00D517BC">
        <w:rPr>
          <w:rFonts w:asciiTheme="minorHAnsi" w:eastAsia="Cordia New" w:hAnsiTheme="minorHAnsi" w:cstheme="minorHAnsi"/>
          <w:szCs w:val="22"/>
          <w:lang w:eastAsia="zh-CN"/>
        </w:rPr>
        <w:t>Millcon Steel Public Company Limited</w:t>
      </w:r>
      <w:r w:rsidRPr="00D517BC">
        <w:rPr>
          <w:rFonts w:asciiTheme="minorHAnsi" w:hAnsiTheme="minorHAnsi" w:cstheme="minorHAnsi"/>
          <w:szCs w:val="22"/>
        </w:rPr>
        <w:t xml:space="preserve"> and its subsidiaries and of </w:t>
      </w:r>
      <w:r w:rsidRPr="00D517BC">
        <w:rPr>
          <w:rFonts w:asciiTheme="minorHAnsi" w:eastAsia="Cordia New" w:hAnsiTheme="minorHAnsi" w:cstheme="minorHAnsi"/>
          <w:szCs w:val="22"/>
          <w:lang w:eastAsia="zh-CN"/>
        </w:rPr>
        <w:t>Millcon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55EE9993" w14:textId="06E96BF0" w:rsidR="00352B5B" w:rsidRPr="00D517BC" w:rsidRDefault="008E39EC" w:rsidP="009E3056">
      <w:pPr>
        <w:spacing w:before="0" w:after="0" w:line="240" w:lineRule="auto"/>
        <w:ind w:left="0" w:firstLine="0"/>
        <w:rPr>
          <w:rFonts w:asciiTheme="minorHAnsi" w:eastAsia="Cordia New" w:hAnsiTheme="minorHAnsi" w:cstheme="minorHAnsi"/>
          <w:szCs w:val="22"/>
          <w:lang w:eastAsia="zh-CN"/>
        </w:rPr>
      </w:pPr>
      <w:r>
        <w:rPr>
          <w:rFonts w:asciiTheme="minorHAnsi" w:hAnsiTheme="minorHAnsi" w:cstheme="minorHAnsi"/>
          <w:szCs w:val="22"/>
        </w:rPr>
        <w:t xml:space="preserve">Except as explained in the following paragraph, </w:t>
      </w:r>
      <w:r w:rsidR="00D33EE0"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B159FB" w:rsidRPr="00D517BC">
        <w:rPr>
          <w:rFonts w:asciiTheme="minorHAnsi" w:hAnsiTheme="minorHAnsi" w:cstheme="minorHAnsi"/>
          <w:szCs w:val="22"/>
        </w:rPr>
        <w:t xml:space="preserve"> </w:t>
      </w:r>
      <w:r w:rsidR="00635DAC" w:rsidRPr="00D517BC">
        <w:rPr>
          <w:rFonts w:asciiTheme="minorHAnsi" w:hAnsiTheme="minorHAnsi" w:cstheme="minorHAnsi"/>
          <w:szCs w:val="22"/>
        </w:rPr>
        <w:t>Thai Standard</w:t>
      </w:r>
      <w:r w:rsidR="00A9491C">
        <w:rPr>
          <w:rFonts w:asciiTheme="minorHAnsi" w:hAnsiTheme="minorHAnsi" w:cstheme="minorHAnsi"/>
          <w:szCs w:val="22"/>
        </w:rPr>
        <w:t>s</w:t>
      </w:r>
      <w:r w:rsidR="00635DAC" w:rsidRPr="00D517BC">
        <w:rPr>
          <w:rFonts w:asciiTheme="minorHAnsi" w:hAnsiTheme="minorHAnsi" w:cstheme="minorHAnsi"/>
          <w:szCs w:val="22"/>
        </w:rPr>
        <w:t xml:space="preserve"> on Auditing </w:t>
      </w:r>
      <w:r w:rsidR="00D33EE0" w:rsidRPr="00D517BC">
        <w:rPr>
          <w:rFonts w:asciiTheme="minorHAnsi" w:hAnsiTheme="minorHAnsi" w:cstheme="minorHAnsi"/>
          <w:szCs w:val="22"/>
        </w:rPr>
        <w:t>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6CF11D7C" w14:textId="4E8AF77E" w:rsidR="00352B5B"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Basi</w:t>
      </w:r>
      <w:r w:rsidR="00C830F0">
        <w:rPr>
          <w:rFonts w:asciiTheme="minorHAnsi" w:eastAsia="Cordia New" w:hAnsiTheme="minorHAnsi" w:cstheme="minorHAnsi"/>
          <w:b/>
          <w:bCs/>
          <w:szCs w:val="22"/>
          <w:lang w:eastAsia="zh-CN"/>
        </w:rPr>
        <w:t>s</w:t>
      </w:r>
      <w:r>
        <w:rPr>
          <w:rFonts w:asciiTheme="minorHAnsi" w:eastAsia="Cordia New" w:hAnsiTheme="minorHAnsi" w:cstheme="minorHAnsi"/>
          <w:b/>
          <w:bCs/>
          <w:szCs w:val="22"/>
          <w:lang w:eastAsia="zh-CN"/>
        </w:rPr>
        <w:t xml:space="preserve"> for Qualified </w:t>
      </w:r>
      <w:r w:rsidR="00352B5B" w:rsidRPr="00D517BC">
        <w:rPr>
          <w:rFonts w:asciiTheme="minorHAnsi" w:eastAsia="Cordia New" w:hAnsiTheme="minorHAnsi" w:cstheme="minorHAnsi"/>
          <w:b/>
          <w:bCs/>
          <w:szCs w:val="22"/>
          <w:lang w:eastAsia="zh-CN"/>
        </w:rPr>
        <w:t>Conclusion</w:t>
      </w:r>
      <w:r w:rsidR="00352B5B" w:rsidRPr="00D517BC">
        <w:rPr>
          <w:rFonts w:asciiTheme="minorHAnsi" w:eastAsia="Cordia New" w:hAnsiTheme="minorHAnsi" w:cstheme="minorHAnsi"/>
          <w:b/>
          <w:bCs/>
          <w:szCs w:val="22"/>
          <w:lang w:eastAsia="zh-CN"/>
        </w:rPr>
        <w:tab/>
      </w:r>
    </w:p>
    <w:p w14:paraId="290A5BF9" w14:textId="0D773747" w:rsidR="00950E67"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2B99BF9E" w14:textId="720E274F" w:rsidR="00917277" w:rsidRPr="0093086D" w:rsidRDefault="0047542D" w:rsidP="007F03B0">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HAnsi"/>
          <w:szCs w:val="22"/>
          <w:lang w:eastAsia="zh-CN"/>
        </w:rPr>
        <w:t>I was unable to review the</w:t>
      </w:r>
      <w:r w:rsidR="002D0FBA">
        <w:rPr>
          <w:rFonts w:asciiTheme="minorHAnsi" w:eastAsia="Cordia New" w:hAnsiTheme="minorHAnsi" w:cstheme="minorHAnsi"/>
          <w:szCs w:val="22"/>
          <w:lang w:eastAsia="zh-CN"/>
        </w:rPr>
        <w:t xml:space="preserve"> investments in associated company under the equity method as at 31 March </w:t>
      </w:r>
      <w:r w:rsidR="002D0FBA" w:rsidRPr="0093086D">
        <w:rPr>
          <w:rFonts w:asciiTheme="minorHAnsi" w:eastAsia="Cordia New" w:hAnsiTheme="minorHAnsi" w:cstheme="minorHAnsi"/>
          <w:szCs w:val="22"/>
          <w:lang w:eastAsia="zh-CN"/>
        </w:rPr>
        <w:t>2021 of Baht 2</w:t>
      </w:r>
      <w:r w:rsidR="003960CE" w:rsidRPr="0093086D">
        <w:rPr>
          <w:rFonts w:asciiTheme="minorHAnsi" w:eastAsia="Cordia New" w:hAnsiTheme="minorHAnsi" w:cstheme="minorHAnsi"/>
          <w:szCs w:val="22"/>
          <w:lang w:eastAsia="zh-CN"/>
        </w:rPr>
        <w:t>5</w:t>
      </w:r>
      <w:r w:rsidR="002D0FBA" w:rsidRPr="0093086D">
        <w:rPr>
          <w:rFonts w:asciiTheme="minorHAnsi" w:eastAsia="Cordia New" w:hAnsiTheme="minorHAnsi" w:cstheme="minorHAnsi"/>
          <w:szCs w:val="22"/>
          <w:lang w:eastAsia="zh-CN"/>
        </w:rPr>
        <w:t>1.</w:t>
      </w:r>
      <w:r w:rsidR="003960CE" w:rsidRPr="0093086D">
        <w:rPr>
          <w:rFonts w:asciiTheme="minorHAnsi" w:eastAsia="Cordia New" w:hAnsiTheme="minorHAnsi" w:cstheme="minorHAnsi"/>
          <w:szCs w:val="22"/>
          <w:lang w:eastAsia="zh-CN"/>
        </w:rPr>
        <w:t>30</w:t>
      </w:r>
      <w:r w:rsidR="002D0FBA" w:rsidRPr="0093086D">
        <w:rPr>
          <w:rFonts w:asciiTheme="minorHAnsi" w:eastAsia="Cordia New" w:hAnsiTheme="minorHAnsi" w:cstheme="minorHAnsi"/>
          <w:szCs w:val="22"/>
          <w:lang w:eastAsia="zh-CN"/>
        </w:rPr>
        <w:t xml:space="preserve"> million</w:t>
      </w:r>
      <w:r w:rsidR="00B17296" w:rsidRPr="0093086D">
        <w:rPr>
          <w:rFonts w:asciiTheme="minorHAnsi" w:eastAsia="Cordia New" w:hAnsiTheme="minorHAnsi" w:cstheme="minorHAnsi"/>
          <w:szCs w:val="22"/>
          <w:lang w:eastAsia="zh-CN"/>
        </w:rPr>
        <w:t xml:space="preserve"> </w:t>
      </w:r>
      <w:r w:rsidR="00B17296" w:rsidRPr="0093086D">
        <w:rPr>
          <w:rFonts w:asciiTheme="minorHAnsi" w:eastAsia="Cordia New" w:hAnsiTheme="minorHAnsi" w:cstheme="minorHAnsi"/>
          <w:i/>
          <w:iCs/>
          <w:szCs w:val="22"/>
          <w:lang w:eastAsia="zh-CN"/>
        </w:rPr>
        <w:t>(31 December 2020: Baht 227.82 million)</w:t>
      </w:r>
      <w:r w:rsidR="002D0FBA" w:rsidRPr="0093086D">
        <w:rPr>
          <w:rFonts w:asciiTheme="minorHAnsi" w:eastAsia="Cordia New" w:hAnsiTheme="minorHAnsi" w:cstheme="minorHAnsi"/>
          <w:szCs w:val="22"/>
          <w:lang w:eastAsia="zh-CN"/>
        </w:rPr>
        <w:t xml:space="preserve"> and share of profit from associated company </w:t>
      </w:r>
      <w:r w:rsidR="007D12A7" w:rsidRPr="0093086D">
        <w:rPr>
          <w:rFonts w:asciiTheme="minorHAnsi" w:eastAsia="Cordia New" w:hAnsiTheme="minorHAnsi" w:cstheme="minorHAnsi"/>
          <w:szCs w:val="22"/>
          <w:lang w:eastAsia="zh-CN"/>
        </w:rPr>
        <w:t xml:space="preserve">under the equity method for the three-month period then ended of Baht </w:t>
      </w:r>
      <w:r w:rsidR="0045216F" w:rsidRPr="0093086D">
        <w:rPr>
          <w:rFonts w:asciiTheme="minorHAnsi" w:eastAsia="Cordia New" w:hAnsiTheme="minorHAnsi" w:cstheme="minorHAnsi"/>
          <w:szCs w:val="22"/>
          <w:lang w:eastAsia="zh-CN"/>
        </w:rPr>
        <w:t>2</w:t>
      </w:r>
      <w:r w:rsidR="007D12A7" w:rsidRPr="0093086D">
        <w:rPr>
          <w:rFonts w:asciiTheme="minorHAnsi" w:eastAsia="Cordia New" w:hAnsiTheme="minorHAnsi" w:cstheme="minorHAnsi"/>
          <w:szCs w:val="22"/>
          <w:lang w:eastAsia="zh-CN"/>
        </w:rPr>
        <w:t>3.</w:t>
      </w:r>
      <w:r w:rsidR="0045216F" w:rsidRPr="0093086D">
        <w:rPr>
          <w:rFonts w:asciiTheme="minorHAnsi" w:eastAsia="Cordia New" w:hAnsiTheme="minorHAnsi" w:cstheme="minorHAnsi"/>
          <w:szCs w:val="22"/>
          <w:lang w:eastAsia="zh-CN"/>
        </w:rPr>
        <w:t>48</w:t>
      </w:r>
      <w:r w:rsidR="007D12A7" w:rsidRPr="0093086D">
        <w:rPr>
          <w:rFonts w:asciiTheme="minorHAnsi" w:eastAsia="Cordia New" w:hAnsiTheme="minorHAnsi" w:cstheme="minorHAnsi"/>
          <w:szCs w:val="22"/>
          <w:lang w:eastAsia="zh-CN"/>
        </w:rPr>
        <w:t xml:space="preserve"> million</w:t>
      </w:r>
      <w:r w:rsidR="002A6FC6" w:rsidRPr="0093086D">
        <w:rPr>
          <w:rFonts w:asciiTheme="minorHAnsi" w:eastAsia="Cordia New" w:hAnsiTheme="minorHAnsi" w:cstheme="minorHAnsi"/>
          <w:szCs w:val="22"/>
          <w:lang w:eastAsia="zh-CN"/>
        </w:rPr>
        <w:t xml:space="preserve"> </w:t>
      </w:r>
      <w:r w:rsidR="002A6FC6" w:rsidRPr="0093086D">
        <w:rPr>
          <w:rFonts w:asciiTheme="minorHAnsi" w:eastAsia="Cordia New" w:hAnsiTheme="minorHAnsi" w:cstheme="minorHAnsi"/>
          <w:i/>
          <w:iCs/>
          <w:szCs w:val="22"/>
          <w:lang w:eastAsia="zh-CN"/>
        </w:rPr>
        <w:t xml:space="preserve">(31 March 2020: </w:t>
      </w:r>
      <w:r w:rsidR="009F7137" w:rsidRPr="0093086D">
        <w:rPr>
          <w:rFonts w:asciiTheme="minorHAnsi" w:eastAsia="Cordia New" w:hAnsiTheme="minorHAnsi" w:cs="Browallia New"/>
          <w:i/>
          <w:iCs/>
          <w:lang w:eastAsia="zh-CN"/>
        </w:rPr>
        <w:t xml:space="preserve">Share of loss </w:t>
      </w:r>
      <w:r w:rsidR="002A6FC6" w:rsidRPr="0093086D">
        <w:rPr>
          <w:rFonts w:asciiTheme="minorHAnsi" w:eastAsia="Cordia New" w:hAnsiTheme="minorHAnsi" w:cstheme="minorHAnsi"/>
          <w:i/>
          <w:iCs/>
          <w:szCs w:val="22"/>
          <w:lang w:eastAsia="zh-CN"/>
        </w:rPr>
        <w:t xml:space="preserve">Baht </w:t>
      </w:r>
      <w:r w:rsidR="007E26A5" w:rsidRPr="0093086D">
        <w:rPr>
          <w:rFonts w:asciiTheme="minorHAnsi" w:eastAsia="Cordia New" w:hAnsiTheme="minorHAnsi" w:cstheme="minorHAnsi"/>
          <w:i/>
          <w:iCs/>
          <w:szCs w:val="22"/>
          <w:lang w:eastAsia="zh-CN"/>
        </w:rPr>
        <w:t>2.04</w:t>
      </w:r>
      <w:r w:rsidR="002A6FC6" w:rsidRPr="0093086D">
        <w:rPr>
          <w:rFonts w:asciiTheme="minorHAnsi" w:eastAsia="Cordia New" w:hAnsiTheme="minorHAnsi" w:cstheme="minorHAnsi"/>
          <w:i/>
          <w:iCs/>
          <w:szCs w:val="22"/>
          <w:lang w:eastAsia="zh-CN"/>
        </w:rPr>
        <w:t xml:space="preserve"> million)</w:t>
      </w:r>
      <w:r w:rsidR="007D12A7" w:rsidRPr="0093086D">
        <w:rPr>
          <w:rFonts w:asciiTheme="minorHAnsi" w:eastAsia="Cordia New" w:hAnsiTheme="minorHAnsi" w:cstheme="minorHAnsi"/>
          <w:i/>
          <w:iCs/>
          <w:szCs w:val="22"/>
          <w:lang w:eastAsia="zh-CN"/>
        </w:rPr>
        <w:t xml:space="preserve"> </w:t>
      </w:r>
      <w:r w:rsidR="00917277" w:rsidRPr="0093086D">
        <w:rPr>
          <w:color w:val="000000"/>
          <w:szCs w:val="22"/>
        </w:rPr>
        <w:t xml:space="preserve">since the component auditor of </w:t>
      </w:r>
      <w:r w:rsidR="00097F55" w:rsidRPr="0093086D">
        <w:rPr>
          <w:color w:val="000000"/>
          <w:szCs w:val="22"/>
        </w:rPr>
        <w:t xml:space="preserve">the </w:t>
      </w:r>
      <w:r w:rsidR="00917277" w:rsidRPr="0093086D">
        <w:rPr>
          <w:color w:val="000000"/>
          <w:szCs w:val="22"/>
        </w:rPr>
        <w:t xml:space="preserve">associate expressed </w:t>
      </w:r>
      <w:r w:rsidR="00F35EC8" w:rsidRPr="0093086D">
        <w:rPr>
          <w:color w:val="000000"/>
          <w:szCs w:val="22"/>
        </w:rPr>
        <w:t xml:space="preserve">a </w:t>
      </w:r>
      <w:r w:rsidR="00917277" w:rsidRPr="0093086D">
        <w:rPr>
          <w:color w:val="000000"/>
          <w:szCs w:val="22"/>
        </w:rPr>
        <w:t xml:space="preserve">qualified conclusion  from limitation of scope by circumstances due to component auditor </w:t>
      </w:r>
      <w:r w:rsidR="00D400CD" w:rsidRPr="0093086D">
        <w:rPr>
          <w:color w:val="000000"/>
          <w:szCs w:val="22"/>
        </w:rPr>
        <w:t xml:space="preserve">was </w:t>
      </w:r>
      <w:r w:rsidR="00917277" w:rsidRPr="0093086D">
        <w:rPr>
          <w:color w:val="000000"/>
          <w:szCs w:val="22"/>
        </w:rPr>
        <w:t xml:space="preserve">unable to </w:t>
      </w:r>
      <w:r w:rsidR="00083DED" w:rsidRPr="0093086D">
        <w:rPr>
          <w:color w:val="000000"/>
          <w:szCs w:val="22"/>
        </w:rPr>
        <w:t xml:space="preserve">assess the potential impact </w:t>
      </w:r>
      <w:r w:rsidR="00917277" w:rsidRPr="0093086D">
        <w:rPr>
          <w:color w:val="000000"/>
          <w:szCs w:val="22"/>
        </w:rPr>
        <w:t>for significant items in the financial statements of associate on valuation of investment in associate and</w:t>
      </w:r>
      <w:r w:rsidR="005D7EED" w:rsidRPr="0093086D">
        <w:rPr>
          <w:color w:val="000000"/>
          <w:szCs w:val="22"/>
        </w:rPr>
        <w:t xml:space="preserve"> the</w:t>
      </w:r>
      <w:r w:rsidR="00917277" w:rsidRPr="0093086D">
        <w:rPr>
          <w:color w:val="000000"/>
          <w:szCs w:val="22"/>
        </w:rPr>
        <w:t xml:space="preserve"> associate has not considered expected credit losses from loan to its associate. Consequently, I was unable to determine whether any adjustments were necessary for the investment in associate and share of loss from associate under the equity method.</w:t>
      </w: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4EC1838D" w14:textId="77777777" w:rsidR="00A62165" w:rsidRPr="00D517BC" w:rsidRDefault="00A62165" w:rsidP="00352B5B">
      <w:pPr>
        <w:spacing w:before="0" w:after="0" w:line="240" w:lineRule="auto"/>
        <w:ind w:left="0" w:firstLine="0"/>
        <w:jc w:val="left"/>
        <w:rPr>
          <w:rFonts w:asciiTheme="minorHAnsi" w:eastAsia="Cordia New" w:hAnsiTheme="minorHAnsi" w:cstheme="minorHAnsi"/>
          <w:szCs w:val="22"/>
          <w:lang w:eastAsia="zh-CN"/>
        </w:rPr>
      </w:pPr>
    </w:p>
    <w:p w14:paraId="7904FD47" w14:textId="56D04775" w:rsidR="00352B5B" w:rsidRPr="00D517BC" w:rsidRDefault="007F02FA" w:rsidP="009E3056">
      <w:pPr>
        <w:spacing w:before="0" w:after="0" w:line="240" w:lineRule="auto"/>
        <w:ind w:left="0" w:firstLine="0"/>
        <w:rPr>
          <w:rFonts w:asciiTheme="minorHAnsi" w:eastAsia="Cordia New" w:hAnsiTheme="minorHAnsi" w:cstheme="minorHAnsi"/>
          <w:szCs w:val="22"/>
          <w:lang w:eastAsia="zh-CN"/>
        </w:rPr>
      </w:pPr>
      <w:r w:rsidRPr="00FD33DE">
        <w:rPr>
          <w:rFonts w:asciiTheme="minorHAnsi" w:eastAsia="Cordia New" w:hAnsiTheme="minorHAnsi" w:cstheme="minorHAnsi"/>
          <w:szCs w:val="22"/>
          <w:lang w:eastAsia="zh-CN"/>
        </w:rPr>
        <w:t>Except for the adjustments to the interim financial information that I might have become aware of had it not been for the</w:t>
      </w:r>
      <w:r w:rsidR="004C2597">
        <w:rPr>
          <w:rFonts w:asciiTheme="minorHAnsi" w:eastAsia="Cordia New" w:hAnsiTheme="minorHAnsi" w:cstheme="minorHAnsi"/>
          <w:szCs w:val="22"/>
          <w:lang w:eastAsia="zh-CN"/>
        </w:rPr>
        <w:t xml:space="preserve"> matter described in the Basis for Qualified Conclusion section of my</w:t>
      </w:r>
      <w:r w:rsidR="00FD33DE" w:rsidRPr="00FD33DE">
        <w:rPr>
          <w:rFonts w:asciiTheme="minorHAnsi" w:eastAsia="Cordia New" w:hAnsiTheme="minorHAnsi" w:cstheme="minorHAnsi"/>
          <w:szCs w:val="22"/>
          <w:lang w:eastAsia="zh-CN"/>
        </w:rPr>
        <w:t xml:space="preserve">, </w:t>
      </w:r>
      <w:r w:rsidR="00FD33DE">
        <w:rPr>
          <w:rFonts w:asciiTheme="minorHAnsi" w:eastAsia="Cordia New" w:hAnsiTheme="minorHAnsi" w:cstheme="minorHAnsi"/>
          <w:szCs w:val="22"/>
          <w:lang w:eastAsia="zh-CN"/>
        </w:rPr>
        <w:t>b</w:t>
      </w:r>
      <w:r w:rsidR="00D33EE0" w:rsidRPr="00FD33DE">
        <w:rPr>
          <w:rFonts w:asciiTheme="minorHAnsi" w:eastAsia="Cordia New" w:hAnsiTheme="minorHAnsi" w:cstheme="minorHAnsi"/>
          <w:szCs w:val="22"/>
          <w:lang w:eastAsia="zh-CN"/>
        </w:rPr>
        <w:t xml:space="preserve">ased on my review, nothing has come to my attention that causes me to believe that the accompanying interim financial information is not prepared, in all material respects, in accordance with </w:t>
      </w:r>
      <w:r w:rsidR="005C672D" w:rsidRPr="00FD33DE">
        <w:rPr>
          <w:rFonts w:asciiTheme="minorHAnsi" w:eastAsia="Cordia New" w:hAnsiTheme="minorHAnsi" w:cstheme="minorHAnsi"/>
          <w:szCs w:val="22"/>
          <w:lang w:eastAsia="zh-CN"/>
        </w:rPr>
        <w:t xml:space="preserve">Thai </w:t>
      </w:r>
      <w:r w:rsidR="00D33EE0" w:rsidRPr="00FD33DE">
        <w:rPr>
          <w:rFonts w:asciiTheme="minorHAnsi" w:eastAsia="Cordia New" w:hAnsiTheme="minorHAnsi" w:cstheme="minorHAnsi"/>
          <w:szCs w:val="22"/>
          <w:lang w:eastAsia="zh-CN"/>
        </w:rPr>
        <w:t>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75E77770" w14:textId="77777777" w:rsidR="00366AB7" w:rsidRDefault="00366AB7"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78372085"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4C4103EE" w14:textId="03775091" w:rsidR="00702014" w:rsidRPr="003C32D3" w:rsidRDefault="00702014" w:rsidP="00D41FA8">
      <w:pPr>
        <w:spacing w:before="0" w:after="0" w:line="240" w:lineRule="auto"/>
        <w:ind w:left="0" w:firstLine="0"/>
        <w:rPr>
          <w:rFonts w:asciiTheme="minorHAnsi" w:hAnsiTheme="minorHAnsi" w:cstheme="minorHAnsi"/>
          <w:spacing w:val="-2"/>
          <w:szCs w:val="22"/>
        </w:rPr>
      </w:pPr>
      <w:r w:rsidRPr="003C32D3">
        <w:rPr>
          <w:rFonts w:asciiTheme="minorHAnsi" w:hAnsiTheme="minorHAnsi" w:cstheme="minorHAnsi"/>
          <w:spacing w:val="-2"/>
          <w:szCs w:val="22"/>
        </w:rPr>
        <w:t xml:space="preserve">I draw attention to note to the interim financial information No. </w:t>
      </w:r>
      <w:r w:rsidR="0058204D" w:rsidRPr="003C32D3">
        <w:rPr>
          <w:rFonts w:asciiTheme="minorHAnsi" w:hAnsiTheme="minorHAnsi" w:cstheme="minorHAnsi"/>
          <w:spacing w:val="-2"/>
          <w:szCs w:val="22"/>
        </w:rPr>
        <w:t>3</w:t>
      </w:r>
      <w:r w:rsidRPr="003C32D3">
        <w:rPr>
          <w:rFonts w:asciiTheme="minorHAnsi" w:hAnsiTheme="minorHAnsi" w:cstheme="minorHAnsi"/>
          <w:spacing w:val="-2"/>
          <w:szCs w:val="22"/>
        </w:rPr>
        <w:t>, which indicated that</w:t>
      </w:r>
      <w:r w:rsidR="008F7C1D" w:rsidRPr="003C32D3">
        <w:rPr>
          <w:rFonts w:asciiTheme="minorHAnsi" w:hAnsiTheme="minorHAnsi" w:cstheme="minorHAnsi"/>
          <w:spacing w:val="-2"/>
          <w:szCs w:val="22"/>
        </w:rPr>
        <w:t xml:space="preserve"> </w:t>
      </w:r>
      <w:r w:rsidR="00162921">
        <w:rPr>
          <w:rFonts w:cs="Calibri"/>
          <w:szCs w:val="22"/>
        </w:rPr>
        <w:t>a</w:t>
      </w:r>
      <w:r w:rsidR="00162921">
        <w:rPr>
          <w:rFonts w:cs="Browallia New"/>
        </w:rPr>
        <w:t>s at 31 March 2021</w:t>
      </w:r>
      <w:r w:rsidR="00162921">
        <w:rPr>
          <w:rFonts w:cs="Calibri"/>
          <w:szCs w:val="22"/>
        </w:rPr>
        <w:t xml:space="preserve"> </w:t>
      </w:r>
      <w:r w:rsidR="00162921" w:rsidRPr="002E44D3">
        <w:rPr>
          <w:rFonts w:cs="Calibri"/>
          <w:szCs w:val="22"/>
        </w:rPr>
        <w:t>the Group and the Company have current liabilities in excess of the current assets amounting to Baht</w:t>
      </w:r>
      <w:r w:rsidR="00162921" w:rsidRPr="002E44D3">
        <w:rPr>
          <w:rFonts w:hint="cs"/>
          <w:szCs w:val="22"/>
          <w:cs/>
        </w:rPr>
        <w:t xml:space="preserve"> </w:t>
      </w:r>
      <w:r w:rsidR="00162921">
        <w:rPr>
          <w:rFonts w:cs="Calibri"/>
          <w:szCs w:val="22"/>
        </w:rPr>
        <w:t>4,308.67</w:t>
      </w:r>
      <w:r w:rsidR="00162921" w:rsidRPr="002E44D3">
        <w:rPr>
          <w:rFonts w:cs="Calibri"/>
          <w:szCs w:val="22"/>
        </w:rPr>
        <w:t xml:space="preserve"> million and Baht </w:t>
      </w:r>
      <w:r w:rsidR="00162921">
        <w:rPr>
          <w:rFonts w:cs="Calibri"/>
          <w:szCs w:val="22"/>
        </w:rPr>
        <w:t>2,903.62</w:t>
      </w:r>
      <w:r w:rsidR="00162921" w:rsidRPr="002E44D3">
        <w:rPr>
          <w:rFonts w:cs="Calibri"/>
          <w:szCs w:val="22"/>
        </w:rPr>
        <w:t xml:space="preserve"> million respectively </w:t>
      </w:r>
      <w:r w:rsidR="00162921" w:rsidRPr="002E44D3">
        <w:rPr>
          <w:rFonts w:cs="Calibri"/>
          <w:i/>
          <w:iCs/>
          <w:szCs w:val="22"/>
        </w:rPr>
        <w:t>(</w:t>
      </w:r>
      <w:r w:rsidR="00162921">
        <w:rPr>
          <w:rFonts w:cs="Calibri"/>
          <w:i/>
          <w:iCs/>
          <w:szCs w:val="22"/>
        </w:rPr>
        <w:t xml:space="preserve">31 December </w:t>
      </w:r>
      <w:r w:rsidR="00162921" w:rsidRPr="002E44D3">
        <w:rPr>
          <w:rFonts w:cs="Calibri"/>
          <w:i/>
          <w:iCs/>
          <w:szCs w:val="22"/>
        </w:rPr>
        <w:t>20</w:t>
      </w:r>
      <w:r w:rsidR="00162921">
        <w:rPr>
          <w:rFonts w:cs="Calibri"/>
          <w:i/>
          <w:iCs/>
          <w:szCs w:val="22"/>
        </w:rPr>
        <w:t>20</w:t>
      </w:r>
      <w:r w:rsidR="00162921" w:rsidRPr="002E44D3">
        <w:rPr>
          <w:rFonts w:cs="Calibri"/>
          <w:i/>
          <w:iCs/>
          <w:szCs w:val="22"/>
        </w:rPr>
        <w:t>: Baht 4,</w:t>
      </w:r>
      <w:r w:rsidR="00162921">
        <w:rPr>
          <w:rFonts w:cs="Calibri"/>
          <w:i/>
          <w:iCs/>
          <w:szCs w:val="22"/>
        </w:rPr>
        <w:t>272.84</w:t>
      </w:r>
      <w:r w:rsidR="00162921" w:rsidRPr="002E44D3">
        <w:rPr>
          <w:rFonts w:cs="Calibri"/>
          <w:i/>
          <w:iCs/>
          <w:szCs w:val="22"/>
        </w:rPr>
        <w:t xml:space="preserve"> million and Baht </w:t>
      </w:r>
      <w:r w:rsidR="00162921">
        <w:rPr>
          <w:rFonts w:cs="Calibri"/>
          <w:i/>
          <w:iCs/>
          <w:szCs w:val="22"/>
        </w:rPr>
        <w:t>3,140.29</w:t>
      </w:r>
      <w:r w:rsidR="00162921" w:rsidRPr="002E44D3">
        <w:rPr>
          <w:rFonts w:cs="Calibri"/>
          <w:i/>
          <w:iCs/>
          <w:szCs w:val="22"/>
        </w:rPr>
        <w:t xml:space="preserve"> respectively)</w:t>
      </w:r>
      <w:r w:rsidR="00162921" w:rsidRPr="002E44D3">
        <w:rPr>
          <w:rFonts w:cs="Calibri"/>
          <w:szCs w:val="22"/>
        </w:rPr>
        <w:t xml:space="preserve">. The current liabilities mainly include short-term loans in the term of promissory note and trust receipt and letter of credit. The Group and the Company have remaining credit facilities not drawn of Baht </w:t>
      </w:r>
      <w:r w:rsidR="00162921">
        <w:rPr>
          <w:rFonts w:cs="Calibri"/>
          <w:szCs w:val="22"/>
        </w:rPr>
        <w:t>2,581.40</w:t>
      </w:r>
      <w:r w:rsidR="00162921" w:rsidRPr="002E44D3">
        <w:rPr>
          <w:szCs w:val="22"/>
        </w:rPr>
        <w:t xml:space="preserve"> </w:t>
      </w:r>
      <w:r w:rsidR="00162921" w:rsidRPr="002E44D3">
        <w:rPr>
          <w:rFonts w:cs="Calibri"/>
          <w:szCs w:val="22"/>
        </w:rPr>
        <w:t xml:space="preserve">million and Baht </w:t>
      </w:r>
      <w:r w:rsidR="00162921">
        <w:rPr>
          <w:rFonts w:cs="Calibri"/>
          <w:szCs w:val="22"/>
        </w:rPr>
        <w:t>2,273.73</w:t>
      </w:r>
      <w:r w:rsidR="00162921" w:rsidRPr="002E44D3">
        <w:rPr>
          <w:rFonts w:cs="Calibri"/>
          <w:szCs w:val="22"/>
        </w:rPr>
        <w:t xml:space="preserve"> million respectively </w:t>
      </w:r>
      <w:r w:rsidR="00162921" w:rsidRPr="002E44D3">
        <w:rPr>
          <w:rFonts w:cs="Calibri"/>
          <w:i/>
          <w:iCs/>
          <w:szCs w:val="22"/>
        </w:rPr>
        <w:t>(</w:t>
      </w:r>
      <w:r w:rsidR="00162921">
        <w:rPr>
          <w:rFonts w:cs="Calibri"/>
          <w:i/>
          <w:iCs/>
          <w:szCs w:val="22"/>
        </w:rPr>
        <w:t xml:space="preserve">31 December </w:t>
      </w:r>
      <w:r w:rsidR="00162921" w:rsidRPr="002E44D3">
        <w:rPr>
          <w:rFonts w:cs="Calibri"/>
          <w:i/>
          <w:iCs/>
          <w:szCs w:val="22"/>
        </w:rPr>
        <w:t>20</w:t>
      </w:r>
      <w:r w:rsidR="00162921">
        <w:rPr>
          <w:rFonts w:cs="Calibri"/>
          <w:i/>
          <w:iCs/>
          <w:szCs w:val="22"/>
        </w:rPr>
        <w:t>20</w:t>
      </w:r>
      <w:r w:rsidR="00162921" w:rsidRPr="002E44D3">
        <w:rPr>
          <w:rFonts w:cs="Calibri"/>
          <w:i/>
          <w:iCs/>
          <w:szCs w:val="22"/>
        </w:rPr>
        <w:t xml:space="preserve">: Baht </w:t>
      </w:r>
      <w:r w:rsidR="00162921">
        <w:rPr>
          <w:rFonts w:cs="Calibri"/>
          <w:i/>
          <w:iCs/>
          <w:szCs w:val="22"/>
        </w:rPr>
        <w:t>2,042.11</w:t>
      </w:r>
      <w:r w:rsidR="00162921" w:rsidRPr="002E44D3">
        <w:rPr>
          <w:rFonts w:cs="Calibri"/>
          <w:i/>
          <w:iCs/>
          <w:szCs w:val="22"/>
        </w:rPr>
        <w:t xml:space="preserve"> million and Baht</w:t>
      </w:r>
      <w:r w:rsidR="00162921">
        <w:rPr>
          <w:rFonts w:cs="Calibri"/>
          <w:i/>
          <w:iCs/>
          <w:szCs w:val="22"/>
        </w:rPr>
        <w:t xml:space="preserve"> 1,613.20</w:t>
      </w:r>
      <w:r w:rsidR="00162921" w:rsidRPr="002E44D3">
        <w:rPr>
          <w:rFonts w:cs="Calibri"/>
          <w:i/>
          <w:iCs/>
          <w:szCs w:val="22"/>
        </w:rPr>
        <w:t xml:space="preserve"> million respectively)</w:t>
      </w:r>
      <w:r w:rsidR="00162921">
        <w:rPr>
          <w:rFonts w:cs="Calibri"/>
          <w:szCs w:val="22"/>
        </w:rPr>
        <w:t>.</w:t>
      </w:r>
      <w:r w:rsidR="00162921" w:rsidRPr="002E44D3">
        <w:rPr>
          <w:rFonts w:cs="Calibri"/>
          <w:szCs w:val="22"/>
        </w:rPr>
        <w:t xml:space="preserve"> </w:t>
      </w:r>
      <w:r w:rsidR="00162921" w:rsidRPr="0031736A">
        <w:rPr>
          <w:rFonts w:cs="Calibri"/>
          <w:szCs w:val="22"/>
        </w:rPr>
        <w:t>As at</w:t>
      </w:r>
      <w:r w:rsidR="00E05740">
        <w:rPr>
          <w:rFonts w:cs="Calibri"/>
          <w:szCs w:val="22"/>
        </w:rPr>
        <w:t xml:space="preserve"> 31 March 2021</w:t>
      </w:r>
      <w:r w:rsidR="00162921" w:rsidRPr="0031736A">
        <w:rPr>
          <w:rFonts w:cs="Calibri"/>
          <w:szCs w:val="22"/>
        </w:rPr>
        <w:t xml:space="preserve"> </w:t>
      </w:r>
      <w:r w:rsidR="00F43CE8">
        <w:rPr>
          <w:rFonts w:cs="Calibri"/>
          <w:szCs w:val="22"/>
        </w:rPr>
        <w:t xml:space="preserve">and </w:t>
      </w:r>
      <w:r w:rsidR="00162921" w:rsidRPr="0031736A">
        <w:rPr>
          <w:rFonts w:cs="Calibri"/>
          <w:szCs w:val="22"/>
        </w:rPr>
        <w:t>31 December 2020, the Group had failed to meet certain financial ratios required to be maintained under bank loan facilities, under the loan agreements and the banks ha</w:t>
      </w:r>
      <w:r w:rsidR="007B12F5">
        <w:rPr>
          <w:rFonts w:cs="Calibri"/>
          <w:szCs w:val="22"/>
        </w:rPr>
        <w:t>d</w:t>
      </w:r>
      <w:r w:rsidR="00162921" w:rsidRPr="0031736A">
        <w:rPr>
          <w:rFonts w:cs="Calibri"/>
          <w:szCs w:val="22"/>
        </w:rPr>
        <w:t xml:space="preserve"> the right to define all debts or any part of the debt a</w:t>
      </w:r>
      <w:r w:rsidR="00162921" w:rsidRPr="00107909">
        <w:rPr>
          <w:rFonts w:cs="Calibri"/>
          <w:szCs w:val="22"/>
        </w:rPr>
        <w:t xml:space="preserve">nd other sums owed as due to be repaid immediately. However, the Company had received letters of waiver from the banks waiving such rights as detailed in Note </w:t>
      </w:r>
      <w:r w:rsidR="005D4043">
        <w:rPr>
          <w:rFonts w:cs="Calibri"/>
          <w:szCs w:val="22"/>
        </w:rPr>
        <w:t>11</w:t>
      </w:r>
      <w:r w:rsidR="00162921" w:rsidRPr="00107909">
        <w:rPr>
          <w:rFonts w:cs="Calibri"/>
          <w:szCs w:val="22"/>
        </w:rPr>
        <w:t xml:space="preserve"> to the financial statements</w:t>
      </w:r>
      <w:r w:rsidR="00162921" w:rsidRPr="00877110">
        <w:rPr>
          <w:szCs w:val="22"/>
        </w:rPr>
        <w:t xml:space="preserve">. </w:t>
      </w:r>
      <w:r w:rsidR="00730E3B" w:rsidRPr="008813BE">
        <w:rPr>
          <w:rFonts w:asciiTheme="minorHAnsi" w:hAnsiTheme="minorHAnsi" w:cstheme="minorHAnsi"/>
          <w:szCs w:val="22"/>
        </w:rPr>
        <w:t>Management is implementing</w:t>
      </w:r>
      <w:r w:rsidR="00730E3B" w:rsidRPr="006A52CD">
        <w:rPr>
          <w:rFonts w:asciiTheme="minorHAnsi" w:hAnsiTheme="minorHAnsi" w:cstheme="minorHAnsi"/>
          <w:szCs w:val="22"/>
        </w:rPr>
        <w:t xml:space="preserve"> strategic operational and financial restructuring plans to seek to ensure adequate liquidity in the Group and the Company, and the ability to meet liabilities and to continue to trade.</w:t>
      </w:r>
      <w:r w:rsidR="00730E3B" w:rsidRPr="006A52CD">
        <w:rPr>
          <w:rFonts w:asciiTheme="minorHAnsi" w:hAnsiTheme="minorHAnsi" w:cstheme="minorBidi" w:hint="cs"/>
          <w:szCs w:val="22"/>
          <w:cs/>
        </w:rPr>
        <w:t xml:space="preserve"> </w:t>
      </w:r>
      <w:r w:rsidR="00730E3B" w:rsidRPr="006A52CD">
        <w:rPr>
          <w:rFonts w:asciiTheme="minorHAnsi" w:hAnsiTheme="minorHAnsi" w:cstheme="minorHAnsi"/>
          <w:szCs w:val="22"/>
        </w:rPr>
        <w:t>These factors, whereby</w:t>
      </w:r>
      <w:r w:rsidR="00730E3B" w:rsidRPr="005D7CF5">
        <w:rPr>
          <w:rFonts w:asciiTheme="minorHAnsi" w:hAnsiTheme="minorHAnsi" w:cstheme="minorHAnsi"/>
          <w:szCs w:val="22"/>
        </w:rPr>
        <w:t xml:space="preserve"> liquidity in the Group and </w:t>
      </w:r>
      <w:r w:rsidR="00730E3B" w:rsidRPr="00D41EA4">
        <w:rPr>
          <w:rFonts w:asciiTheme="minorHAnsi" w:hAnsiTheme="minorHAnsi" w:cstheme="minorHAnsi"/>
          <w:szCs w:val="22"/>
        </w:rPr>
        <w:t>Company and their ability to meet liabilities as they fall due</w:t>
      </w:r>
      <w:r w:rsidR="00730E3B" w:rsidRPr="00D41EA4">
        <w:rPr>
          <w:rFonts w:asciiTheme="minorHAnsi" w:hAnsiTheme="minorHAnsi" w:cstheme="minorBidi" w:hint="cs"/>
          <w:szCs w:val="22"/>
          <w:cs/>
        </w:rPr>
        <w:t xml:space="preserve"> </w:t>
      </w:r>
      <w:r w:rsidR="00730E3B" w:rsidRPr="00D41EA4">
        <w:rPr>
          <w:rFonts w:asciiTheme="minorHAnsi" w:hAnsiTheme="minorHAnsi" w:cstheme="minorBidi"/>
          <w:szCs w:val="22"/>
        </w:rPr>
        <w:t>and to continue</w:t>
      </w:r>
      <w:r w:rsidR="00730E3B" w:rsidRPr="00D41EA4">
        <w:rPr>
          <w:rFonts w:asciiTheme="minorHAnsi" w:hAnsiTheme="minorHAnsi" w:cstheme="minorBidi" w:hint="cs"/>
          <w:szCs w:val="22"/>
          <w:cs/>
        </w:rPr>
        <w:t xml:space="preserve"> </w:t>
      </w:r>
      <w:r w:rsidR="00730E3B" w:rsidRPr="00D41EA4">
        <w:rPr>
          <w:rFonts w:asciiTheme="minorHAnsi" w:hAnsiTheme="minorHAnsi" w:cstheme="minorBidi"/>
          <w:szCs w:val="22"/>
        </w:rPr>
        <w:t>to trade</w:t>
      </w:r>
      <w:r w:rsidR="00730E3B" w:rsidRPr="00D41EA4">
        <w:rPr>
          <w:rFonts w:asciiTheme="minorHAnsi" w:hAnsiTheme="minorHAnsi" w:cstheme="minorHAnsi"/>
          <w:szCs w:val="22"/>
        </w:rPr>
        <w:t xml:space="preserve"> may be dependent upon the success of management’s plans, indicate the existence of a material uncertainty that may cast significant doubt on the Group’s ability to continue as a going concern.</w:t>
      </w:r>
      <w:r w:rsidR="00E01789" w:rsidRPr="00D41EA4">
        <w:rPr>
          <w:rFonts w:asciiTheme="minorHAnsi" w:hAnsiTheme="minorHAnsi" w:cstheme="minorHAnsi"/>
          <w:spacing w:val="-2"/>
          <w:szCs w:val="22"/>
        </w:rPr>
        <w:t xml:space="preserve"> </w:t>
      </w:r>
      <w:r w:rsidRPr="00D41EA4">
        <w:rPr>
          <w:rFonts w:asciiTheme="minorHAnsi" w:hAnsiTheme="minorHAnsi" w:cstheme="minorHAnsi"/>
          <w:spacing w:val="-2"/>
          <w:szCs w:val="22"/>
        </w:rPr>
        <w:t>Hereby, my conclusion is not modified in respect of this matter.</w:t>
      </w:r>
    </w:p>
    <w:p w14:paraId="43846702" w14:textId="3ECCFA60" w:rsidR="00A603EF" w:rsidRDefault="00A603EF">
      <w:pPr>
        <w:spacing w:before="0" w:after="0" w:line="240" w:lineRule="auto"/>
        <w:ind w:left="0" w:firstLine="0"/>
        <w:jc w:val="left"/>
        <w:rPr>
          <w:rFonts w:asciiTheme="minorHAnsi" w:eastAsia="Times New Roman" w:hAnsiTheme="minorHAnsi" w:cstheme="minorBidi"/>
          <w:color w:val="000000"/>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PKF Audit (Thailand) Ltd.</w:t>
      </w:r>
    </w:p>
    <w:p w14:paraId="144B5E29" w14:textId="77777777"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Bangkok</w:t>
      </w:r>
    </w:p>
    <w:p w14:paraId="6E5EEACD" w14:textId="70C348A4"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2C676F">
        <w:rPr>
          <w:rFonts w:asciiTheme="minorHAnsi" w:eastAsia="Cordia New" w:hAnsiTheme="minorHAnsi" w:cstheme="minorHAnsi"/>
          <w:szCs w:val="22"/>
          <w:lang w:eastAsia="zh-CN"/>
        </w:rPr>
        <w:t>1</w:t>
      </w:r>
      <w:r w:rsidR="005C0BFB" w:rsidRPr="002C676F">
        <w:rPr>
          <w:rFonts w:asciiTheme="minorHAnsi" w:eastAsia="Cordia New" w:hAnsiTheme="minorHAnsi" w:cstheme="minorHAnsi"/>
          <w:szCs w:val="22"/>
          <w:lang w:eastAsia="zh-CN"/>
        </w:rPr>
        <w:t>7</w:t>
      </w:r>
      <w:r w:rsidRPr="002C676F">
        <w:rPr>
          <w:rFonts w:asciiTheme="minorHAnsi" w:eastAsia="Cordia New" w:hAnsiTheme="minorHAnsi" w:cstheme="minorHAnsi"/>
          <w:szCs w:val="22"/>
          <w:lang w:eastAsia="zh-CN"/>
        </w:rPr>
        <w:t xml:space="preserve"> </w:t>
      </w:r>
      <w:r w:rsidR="00541724" w:rsidRPr="002C676F">
        <w:rPr>
          <w:rFonts w:asciiTheme="minorHAnsi" w:eastAsia="Cordia New" w:hAnsiTheme="minorHAnsi" w:cstheme="minorHAnsi"/>
          <w:szCs w:val="22"/>
          <w:lang w:eastAsia="zh-CN"/>
        </w:rPr>
        <w:t>May 2021</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56972" w14:textId="77777777" w:rsidR="00C755F6" w:rsidRDefault="00C755F6" w:rsidP="00481C04">
      <w:pPr>
        <w:spacing w:before="0" w:after="0" w:line="240" w:lineRule="auto"/>
      </w:pPr>
      <w:r>
        <w:separator/>
      </w:r>
    </w:p>
  </w:endnote>
  <w:endnote w:type="continuationSeparator" w:id="0">
    <w:p w14:paraId="2211D24F" w14:textId="77777777" w:rsidR="00C755F6" w:rsidRDefault="00C755F6" w:rsidP="00481C04">
      <w:pPr>
        <w:spacing w:before="0" w:after="0" w:line="240" w:lineRule="auto"/>
      </w:pPr>
      <w:r>
        <w:continuationSeparator/>
      </w:r>
    </w:p>
  </w:endnote>
  <w:endnote w:type="continuationNotice" w:id="1">
    <w:p w14:paraId="6919C101" w14:textId="77777777" w:rsidR="00BD30ED" w:rsidRDefault="00BD30E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A4673" w14:textId="77777777" w:rsidR="00C755F6" w:rsidRDefault="00C755F6" w:rsidP="00481C04">
      <w:pPr>
        <w:spacing w:before="0" w:after="0" w:line="240" w:lineRule="auto"/>
      </w:pPr>
      <w:r>
        <w:separator/>
      </w:r>
    </w:p>
  </w:footnote>
  <w:footnote w:type="continuationSeparator" w:id="0">
    <w:p w14:paraId="7C89776F" w14:textId="77777777" w:rsidR="00C755F6" w:rsidRDefault="00C755F6" w:rsidP="00481C04">
      <w:pPr>
        <w:spacing w:before="0" w:after="0" w:line="240" w:lineRule="auto"/>
      </w:pPr>
      <w:r>
        <w:continuationSeparator/>
      </w:r>
    </w:p>
  </w:footnote>
  <w:footnote w:type="continuationNotice" w:id="1">
    <w:p w14:paraId="20395BE1" w14:textId="77777777" w:rsidR="00BD30ED" w:rsidRDefault="00BD30E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revisionView w:inkAnnotations="0"/>
  <w:defaultTabStop w:val="720"/>
  <w:doNotHyphenateCaps/>
  <w:drawingGridHorizontalSpacing w:val="110"/>
  <w:displayHorizontalDrawingGridEvery w:val="2"/>
  <w:characterSpacingControl w:val="doNotCompress"/>
  <w:doNotValidateAgainstSchema/>
  <w:doNotDemarcateInvalidXml/>
  <w:hdrShapeDefaults>
    <o:shapedefaults v:ext="edit" spidmax="573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7"/>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E37"/>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4002"/>
    <w:rsid w:val="000F572D"/>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96D0C"/>
    <w:rsid w:val="001A1A1D"/>
    <w:rsid w:val="001A3805"/>
    <w:rsid w:val="001A68BF"/>
    <w:rsid w:val="001B16BA"/>
    <w:rsid w:val="001C2C11"/>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32B3F"/>
    <w:rsid w:val="00237C41"/>
    <w:rsid w:val="00240CD6"/>
    <w:rsid w:val="00241B3E"/>
    <w:rsid w:val="00243A5B"/>
    <w:rsid w:val="0025229B"/>
    <w:rsid w:val="00256581"/>
    <w:rsid w:val="002621CF"/>
    <w:rsid w:val="00265B09"/>
    <w:rsid w:val="002664DA"/>
    <w:rsid w:val="002709ED"/>
    <w:rsid w:val="00270DBA"/>
    <w:rsid w:val="002717BC"/>
    <w:rsid w:val="002813FD"/>
    <w:rsid w:val="00286AA0"/>
    <w:rsid w:val="00287160"/>
    <w:rsid w:val="00296796"/>
    <w:rsid w:val="00297C10"/>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52B5B"/>
    <w:rsid w:val="00354419"/>
    <w:rsid w:val="00354448"/>
    <w:rsid w:val="00357866"/>
    <w:rsid w:val="00362190"/>
    <w:rsid w:val="00363B64"/>
    <w:rsid w:val="0036517F"/>
    <w:rsid w:val="00366AB7"/>
    <w:rsid w:val="00371DB6"/>
    <w:rsid w:val="00371ECB"/>
    <w:rsid w:val="00375A9F"/>
    <w:rsid w:val="0037626C"/>
    <w:rsid w:val="00377E73"/>
    <w:rsid w:val="003815A0"/>
    <w:rsid w:val="00383E1A"/>
    <w:rsid w:val="00391171"/>
    <w:rsid w:val="0039177A"/>
    <w:rsid w:val="003931D5"/>
    <w:rsid w:val="003960CE"/>
    <w:rsid w:val="00397A7E"/>
    <w:rsid w:val="003A046C"/>
    <w:rsid w:val="003A438F"/>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40273E"/>
    <w:rsid w:val="00404AD0"/>
    <w:rsid w:val="00406298"/>
    <w:rsid w:val="00411C42"/>
    <w:rsid w:val="00413032"/>
    <w:rsid w:val="00414E6C"/>
    <w:rsid w:val="004157A8"/>
    <w:rsid w:val="00415837"/>
    <w:rsid w:val="00421BE6"/>
    <w:rsid w:val="004274F9"/>
    <w:rsid w:val="004370F3"/>
    <w:rsid w:val="0044085C"/>
    <w:rsid w:val="00442E35"/>
    <w:rsid w:val="004433E6"/>
    <w:rsid w:val="004441D5"/>
    <w:rsid w:val="00445858"/>
    <w:rsid w:val="0045008B"/>
    <w:rsid w:val="004512C5"/>
    <w:rsid w:val="0045216F"/>
    <w:rsid w:val="0045274D"/>
    <w:rsid w:val="00452E65"/>
    <w:rsid w:val="004549D4"/>
    <w:rsid w:val="00456910"/>
    <w:rsid w:val="004635B0"/>
    <w:rsid w:val="00464119"/>
    <w:rsid w:val="00466B4C"/>
    <w:rsid w:val="004673CF"/>
    <w:rsid w:val="00473A90"/>
    <w:rsid w:val="0047542D"/>
    <w:rsid w:val="00477089"/>
    <w:rsid w:val="00481C04"/>
    <w:rsid w:val="00481F50"/>
    <w:rsid w:val="004822B3"/>
    <w:rsid w:val="00483827"/>
    <w:rsid w:val="0048425E"/>
    <w:rsid w:val="00485194"/>
    <w:rsid w:val="00490284"/>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5F54"/>
    <w:rsid w:val="004F7C17"/>
    <w:rsid w:val="0050089B"/>
    <w:rsid w:val="005017E7"/>
    <w:rsid w:val="00501BBF"/>
    <w:rsid w:val="005026BE"/>
    <w:rsid w:val="005039E1"/>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61E8F"/>
    <w:rsid w:val="005653CC"/>
    <w:rsid w:val="00571C0F"/>
    <w:rsid w:val="00572703"/>
    <w:rsid w:val="00580168"/>
    <w:rsid w:val="005819EF"/>
    <w:rsid w:val="0058204D"/>
    <w:rsid w:val="00582353"/>
    <w:rsid w:val="00583FDC"/>
    <w:rsid w:val="00586286"/>
    <w:rsid w:val="005866B1"/>
    <w:rsid w:val="00587472"/>
    <w:rsid w:val="00597D6E"/>
    <w:rsid w:val="005A0969"/>
    <w:rsid w:val="005A1405"/>
    <w:rsid w:val="005A16FC"/>
    <w:rsid w:val="005A306A"/>
    <w:rsid w:val="005B4825"/>
    <w:rsid w:val="005B535D"/>
    <w:rsid w:val="005B6805"/>
    <w:rsid w:val="005B6CA6"/>
    <w:rsid w:val="005C000E"/>
    <w:rsid w:val="005C0BFB"/>
    <w:rsid w:val="005C13D6"/>
    <w:rsid w:val="005C5336"/>
    <w:rsid w:val="005C672D"/>
    <w:rsid w:val="005C7D58"/>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20C63"/>
    <w:rsid w:val="0062114F"/>
    <w:rsid w:val="00622E5E"/>
    <w:rsid w:val="006232CD"/>
    <w:rsid w:val="00624AA3"/>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ABE"/>
    <w:rsid w:val="00675F1C"/>
    <w:rsid w:val="00677733"/>
    <w:rsid w:val="00680248"/>
    <w:rsid w:val="006849EE"/>
    <w:rsid w:val="00685ADA"/>
    <w:rsid w:val="00687118"/>
    <w:rsid w:val="006873E6"/>
    <w:rsid w:val="0069083A"/>
    <w:rsid w:val="00692D72"/>
    <w:rsid w:val="00692FA3"/>
    <w:rsid w:val="00693712"/>
    <w:rsid w:val="0069501E"/>
    <w:rsid w:val="00696ED0"/>
    <w:rsid w:val="006973F8"/>
    <w:rsid w:val="0069751E"/>
    <w:rsid w:val="006A1246"/>
    <w:rsid w:val="006A5561"/>
    <w:rsid w:val="006A71FB"/>
    <w:rsid w:val="006B23BF"/>
    <w:rsid w:val="006B761F"/>
    <w:rsid w:val="006C35A9"/>
    <w:rsid w:val="006C62BC"/>
    <w:rsid w:val="006D044C"/>
    <w:rsid w:val="006D079C"/>
    <w:rsid w:val="006D21B3"/>
    <w:rsid w:val="006D3997"/>
    <w:rsid w:val="006E3603"/>
    <w:rsid w:val="006E504F"/>
    <w:rsid w:val="006E5EE2"/>
    <w:rsid w:val="006E6E7D"/>
    <w:rsid w:val="006E7B05"/>
    <w:rsid w:val="006F159F"/>
    <w:rsid w:val="006F2561"/>
    <w:rsid w:val="00702014"/>
    <w:rsid w:val="00702E35"/>
    <w:rsid w:val="0070361B"/>
    <w:rsid w:val="00704ACE"/>
    <w:rsid w:val="007053AD"/>
    <w:rsid w:val="007120CC"/>
    <w:rsid w:val="0071686D"/>
    <w:rsid w:val="0071726B"/>
    <w:rsid w:val="007232ED"/>
    <w:rsid w:val="0073022B"/>
    <w:rsid w:val="00730E3B"/>
    <w:rsid w:val="00736018"/>
    <w:rsid w:val="00737242"/>
    <w:rsid w:val="00740089"/>
    <w:rsid w:val="007440EB"/>
    <w:rsid w:val="00745A49"/>
    <w:rsid w:val="007554D3"/>
    <w:rsid w:val="00755F14"/>
    <w:rsid w:val="00757EAB"/>
    <w:rsid w:val="00761184"/>
    <w:rsid w:val="00763969"/>
    <w:rsid w:val="00770C63"/>
    <w:rsid w:val="007734CD"/>
    <w:rsid w:val="00775DE8"/>
    <w:rsid w:val="00775E6E"/>
    <w:rsid w:val="00776474"/>
    <w:rsid w:val="007816CA"/>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801891"/>
    <w:rsid w:val="00805292"/>
    <w:rsid w:val="00811C45"/>
    <w:rsid w:val="00812C9B"/>
    <w:rsid w:val="00831FAC"/>
    <w:rsid w:val="00835664"/>
    <w:rsid w:val="0084237F"/>
    <w:rsid w:val="008425E5"/>
    <w:rsid w:val="0085053B"/>
    <w:rsid w:val="0086648C"/>
    <w:rsid w:val="00870530"/>
    <w:rsid w:val="00871C88"/>
    <w:rsid w:val="00875A7C"/>
    <w:rsid w:val="00877848"/>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E39EC"/>
    <w:rsid w:val="008E3B91"/>
    <w:rsid w:val="008E47BF"/>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6C04"/>
    <w:rsid w:val="0093086D"/>
    <w:rsid w:val="00931AE9"/>
    <w:rsid w:val="00932854"/>
    <w:rsid w:val="00940DFA"/>
    <w:rsid w:val="00950E67"/>
    <w:rsid w:val="009515AE"/>
    <w:rsid w:val="00953FA4"/>
    <w:rsid w:val="00954FE1"/>
    <w:rsid w:val="00957495"/>
    <w:rsid w:val="00960D97"/>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F20E7"/>
    <w:rsid w:val="009F5F2D"/>
    <w:rsid w:val="009F5F96"/>
    <w:rsid w:val="009F6131"/>
    <w:rsid w:val="009F7137"/>
    <w:rsid w:val="00A059EE"/>
    <w:rsid w:val="00A0641E"/>
    <w:rsid w:val="00A1266E"/>
    <w:rsid w:val="00A1546D"/>
    <w:rsid w:val="00A165A9"/>
    <w:rsid w:val="00A16B52"/>
    <w:rsid w:val="00A17AAB"/>
    <w:rsid w:val="00A2284E"/>
    <w:rsid w:val="00A230FF"/>
    <w:rsid w:val="00A36DF7"/>
    <w:rsid w:val="00A41ECB"/>
    <w:rsid w:val="00A42A95"/>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2FD6"/>
    <w:rsid w:val="00B642A8"/>
    <w:rsid w:val="00B648C6"/>
    <w:rsid w:val="00B714D9"/>
    <w:rsid w:val="00B717C0"/>
    <w:rsid w:val="00B7212A"/>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565E"/>
    <w:rsid w:val="00BC7408"/>
    <w:rsid w:val="00BC7B43"/>
    <w:rsid w:val="00BC7ED6"/>
    <w:rsid w:val="00BD0B9D"/>
    <w:rsid w:val="00BD134C"/>
    <w:rsid w:val="00BD30ED"/>
    <w:rsid w:val="00BD3220"/>
    <w:rsid w:val="00BD6D07"/>
    <w:rsid w:val="00BD78FD"/>
    <w:rsid w:val="00BE7580"/>
    <w:rsid w:val="00BE792B"/>
    <w:rsid w:val="00BF7F58"/>
    <w:rsid w:val="00C000FE"/>
    <w:rsid w:val="00C01A86"/>
    <w:rsid w:val="00C02F8C"/>
    <w:rsid w:val="00C04C47"/>
    <w:rsid w:val="00C05885"/>
    <w:rsid w:val="00C07776"/>
    <w:rsid w:val="00C13399"/>
    <w:rsid w:val="00C137B8"/>
    <w:rsid w:val="00C2154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81EBF"/>
    <w:rsid w:val="00C8208A"/>
    <w:rsid w:val="00C830F0"/>
    <w:rsid w:val="00C83368"/>
    <w:rsid w:val="00C84A3D"/>
    <w:rsid w:val="00C91C4A"/>
    <w:rsid w:val="00C95995"/>
    <w:rsid w:val="00CA6242"/>
    <w:rsid w:val="00CB2720"/>
    <w:rsid w:val="00CB355A"/>
    <w:rsid w:val="00CB52BA"/>
    <w:rsid w:val="00CB569E"/>
    <w:rsid w:val="00CC348F"/>
    <w:rsid w:val="00CC6F2E"/>
    <w:rsid w:val="00CD41F3"/>
    <w:rsid w:val="00CD4F53"/>
    <w:rsid w:val="00CD52E6"/>
    <w:rsid w:val="00CD79AA"/>
    <w:rsid w:val="00CE0495"/>
    <w:rsid w:val="00CE0861"/>
    <w:rsid w:val="00CE20F6"/>
    <w:rsid w:val="00CE242B"/>
    <w:rsid w:val="00CE2B2C"/>
    <w:rsid w:val="00CE49B5"/>
    <w:rsid w:val="00CF03C2"/>
    <w:rsid w:val="00CF280D"/>
    <w:rsid w:val="00CF3AF6"/>
    <w:rsid w:val="00CF482A"/>
    <w:rsid w:val="00CF76CF"/>
    <w:rsid w:val="00D00DD8"/>
    <w:rsid w:val="00D101D3"/>
    <w:rsid w:val="00D12B6B"/>
    <w:rsid w:val="00D12C8B"/>
    <w:rsid w:val="00D17DFF"/>
    <w:rsid w:val="00D23584"/>
    <w:rsid w:val="00D248B2"/>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4FD2"/>
    <w:rsid w:val="00D76B9F"/>
    <w:rsid w:val="00D80929"/>
    <w:rsid w:val="00D83EC8"/>
    <w:rsid w:val="00D91376"/>
    <w:rsid w:val="00D96D2F"/>
    <w:rsid w:val="00DA113C"/>
    <w:rsid w:val="00DA38BC"/>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30C9"/>
    <w:rsid w:val="00E05740"/>
    <w:rsid w:val="00E16AF9"/>
    <w:rsid w:val="00E21800"/>
    <w:rsid w:val="00E24EED"/>
    <w:rsid w:val="00E2563F"/>
    <w:rsid w:val="00E367A7"/>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1842"/>
    <w:rsid w:val="00E930EB"/>
    <w:rsid w:val="00E9573E"/>
    <w:rsid w:val="00E95D84"/>
    <w:rsid w:val="00E9770E"/>
    <w:rsid w:val="00E97977"/>
    <w:rsid w:val="00EA1B23"/>
    <w:rsid w:val="00EA2048"/>
    <w:rsid w:val="00EA35D7"/>
    <w:rsid w:val="00EA5310"/>
    <w:rsid w:val="00EA559E"/>
    <w:rsid w:val="00EA67DE"/>
    <w:rsid w:val="00EA747F"/>
    <w:rsid w:val="00EB0113"/>
    <w:rsid w:val="00EB1D1A"/>
    <w:rsid w:val="00EB5DA1"/>
    <w:rsid w:val="00EB69C9"/>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4B94"/>
    <w:rsid w:val="00EF5B73"/>
    <w:rsid w:val="00EF6F24"/>
    <w:rsid w:val="00EF78C6"/>
    <w:rsid w:val="00F01E22"/>
    <w:rsid w:val="00F01F79"/>
    <w:rsid w:val="00F029A8"/>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2B46"/>
    <w:rsid w:val="00F8559C"/>
    <w:rsid w:val="00F858A6"/>
    <w:rsid w:val="00F90D37"/>
    <w:rsid w:val="00F97442"/>
    <w:rsid w:val="00FA0EE6"/>
    <w:rsid w:val="00FB0495"/>
    <w:rsid w:val="00FB1D8B"/>
    <w:rsid w:val="00FB24DD"/>
    <w:rsid w:val="00FB28C1"/>
    <w:rsid w:val="00FB4D8F"/>
    <w:rsid w:val="00FB5FD5"/>
    <w:rsid w:val="00FC5A24"/>
    <w:rsid w:val="00FC6981"/>
    <w:rsid w:val="00FD1456"/>
    <w:rsid w:val="00FD33DE"/>
    <w:rsid w:val="00FD4615"/>
    <w:rsid w:val="00FE3E54"/>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845EC-54AF-4F53-8C54-9B7AEC938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770</Words>
  <Characters>4189</Characters>
  <Application>Microsoft Office Word</Application>
  <DocSecurity>4</DocSecurity>
  <Lines>34</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Tatpichar Chatsupap</cp:lastModifiedBy>
  <cp:revision>2</cp:revision>
  <cp:lastPrinted>2018-05-15T06:17:00Z</cp:lastPrinted>
  <dcterms:created xsi:type="dcterms:W3CDTF">2021-05-17T12:20:00Z</dcterms:created>
  <dcterms:modified xsi:type="dcterms:W3CDTF">2021-05-17T12:20:00Z</dcterms:modified>
</cp:coreProperties>
</file>