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DA8C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4E6949" w14:textId="77777777" w:rsidR="00E31A10" w:rsidRPr="006941D5" w:rsidRDefault="00E31A10" w:rsidP="00E31A10">
      <w:pPr>
        <w:spacing w:line="240" w:lineRule="atLeast"/>
        <w:jc w:val="center"/>
        <w:rPr>
          <w:rFonts w:hAnsi="Times New Roman" w:cs="Times New Roman"/>
          <w:spacing w:val="-3"/>
          <w:sz w:val="36"/>
          <w:szCs w:val="36"/>
          <w:lang w:val="en-GB" w:bidi="ar-SA"/>
        </w:rPr>
      </w:pPr>
      <w:r w:rsidRPr="006941D5">
        <w:rPr>
          <w:rFonts w:hAnsi="Times New Roman" w:cs="Times New Roman"/>
          <w:spacing w:val="-3"/>
          <w:sz w:val="36"/>
          <w:szCs w:val="36"/>
          <w:lang w:val="en-GB" w:bidi="ar-SA"/>
        </w:rPr>
        <w:t>Condensed interim financial statements</w:t>
      </w:r>
    </w:p>
    <w:p w14:paraId="4529FA86" w14:textId="7E48BE63" w:rsidR="00E31A10" w:rsidRPr="006941D5" w:rsidRDefault="00E31A10" w:rsidP="00E31A10">
      <w:pPr>
        <w:overflowPunct/>
        <w:autoSpaceDE/>
        <w:autoSpaceDN/>
        <w:adjustRightInd/>
        <w:spacing w:line="240" w:lineRule="atLeast"/>
        <w:jc w:val="center"/>
        <w:textAlignment w:val="auto"/>
        <w:rPr>
          <w:rFonts w:hAnsi="Times New Roman" w:cs="Times New Roman"/>
          <w:color w:val="000000"/>
          <w:sz w:val="36"/>
          <w:szCs w:val="36"/>
        </w:rPr>
      </w:pPr>
      <w:r w:rsidRPr="006941D5">
        <w:rPr>
          <w:rFonts w:hAnsi="Times New Roman" w:cs="Times New Roman"/>
          <w:color w:val="000000"/>
          <w:sz w:val="36"/>
          <w:szCs w:val="36"/>
        </w:rPr>
        <w:t>for the three-month</w:t>
      </w:r>
      <w:r w:rsidR="00684FD1">
        <w:rPr>
          <w:rFonts w:hAnsi="Times New Roman" w:cs="Times New Roman"/>
          <w:color w:val="000000"/>
          <w:sz w:val="36"/>
          <w:szCs w:val="36"/>
        </w:rPr>
        <w:t xml:space="preserve"> and six-month</w:t>
      </w:r>
      <w:r w:rsidRPr="006941D5">
        <w:rPr>
          <w:rFonts w:hAnsi="Times New Roman" w:cs="Times New Roman"/>
          <w:color w:val="000000"/>
          <w:sz w:val="36"/>
          <w:szCs w:val="36"/>
        </w:rPr>
        <w:t xml:space="preserve"> period</w:t>
      </w:r>
      <w:r w:rsidR="00684FD1">
        <w:rPr>
          <w:rFonts w:hAnsi="Times New Roman" w:cs="Times New Roman"/>
          <w:color w:val="000000"/>
          <w:sz w:val="36"/>
          <w:szCs w:val="36"/>
        </w:rPr>
        <w:t>s</w:t>
      </w:r>
      <w:r w:rsidRPr="006941D5">
        <w:rPr>
          <w:rFonts w:hAnsi="Times New Roman" w:cs="Times New Roman"/>
          <w:color w:val="000000"/>
          <w:sz w:val="36"/>
          <w:szCs w:val="36"/>
        </w:rPr>
        <w:t xml:space="preserve"> ended</w:t>
      </w:r>
    </w:p>
    <w:p w14:paraId="767CBAD2" w14:textId="3B56E52E"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color w:val="000000"/>
          <w:sz w:val="36"/>
          <w:szCs w:val="36"/>
        </w:rPr>
        <w:t>3</w:t>
      </w:r>
      <w:r w:rsidR="00684FD1">
        <w:rPr>
          <w:rFonts w:hAnsi="Times New Roman" w:cs="Times New Roman"/>
          <w:color w:val="000000"/>
          <w:sz w:val="36"/>
          <w:szCs w:val="36"/>
        </w:rPr>
        <w:t>0</w:t>
      </w:r>
      <w:r w:rsidRPr="006941D5">
        <w:rPr>
          <w:rFonts w:hAnsi="Times New Roman" w:cs="Times New Roman"/>
          <w:color w:val="000000"/>
          <w:sz w:val="36"/>
          <w:szCs w:val="36"/>
        </w:rPr>
        <w:t xml:space="preserve"> </w:t>
      </w:r>
      <w:r w:rsidR="00684FD1">
        <w:rPr>
          <w:rFonts w:hAnsi="Times New Roman" w:cs="Times New Roman"/>
          <w:color w:val="000000"/>
          <w:sz w:val="36"/>
          <w:szCs w:val="36"/>
        </w:rPr>
        <w:t>June</w:t>
      </w:r>
      <w:r w:rsidRPr="006941D5">
        <w:rPr>
          <w:rFonts w:hAnsi="Times New Roman" w:cs="Times New Roman"/>
          <w:color w:val="000000"/>
          <w:sz w:val="36"/>
          <w:szCs w:val="36"/>
        </w:rPr>
        <w:t xml:space="preserve"> 2021</w:t>
      </w:r>
    </w:p>
    <w:p w14:paraId="2A1809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73D76C2" w14:textId="77777777" w:rsidR="00E31A10" w:rsidRPr="006941D5"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Independent auditor’s review report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first" r:id="rId8"/>
          <w:footerReference w:type="first" r:id="rId9"/>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77777777" w:rsidR="00E31A10" w:rsidRPr="006941D5" w:rsidRDefault="00E31A10" w:rsidP="00E31A10">
      <w:pPr>
        <w:spacing w:line="240" w:lineRule="atLeast"/>
        <w:rPr>
          <w:rFonts w:hAnsi="Times New Roman" w:cs="Times New Roman"/>
          <w:b/>
          <w:bCs/>
          <w:color w:val="000000"/>
        </w:rPr>
      </w:pPr>
      <w:r w:rsidRPr="006941D5">
        <w:rPr>
          <w:rFonts w:hAnsi="Times New Roman" w:cs="Times New Roman"/>
          <w:b/>
          <w:bCs/>
          <w:color w:val="000000"/>
        </w:rPr>
        <w:t>To the Board of Directors of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0E584CFA" w14:textId="09408CF6" w:rsidR="00204168"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rPr>
        <w:t>I have reviewed the accompanying consolidated and separate statements of financial position</w:t>
      </w:r>
      <w:r w:rsidRPr="006941D5">
        <w:rPr>
          <w:rFonts w:hAnsi="Times New Roman" w:cs="Times New Roman"/>
          <w:color w:val="0000FF"/>
          <w:sz w:val="22"/>
        </w:rPr>
        <w:t xml:space="preserve"> </w:t>
      </w:r>
      <w:r w:rsidRPr="006941D5">
        <w:rPr>
          <w:rFonts w:hAnsi="Times New Roman" w:cs="Times New Roman"/>
          <w:sz w:val="22"/>
        </w:rPr>
        <w:t xml:space="preserve">of </w:t>
      </w:r>
      <w:r w:rsidRPr="006941D5">
        <w:rPr>
          <w:rFonts w:hAnsi="Times New Roman" w:cs="Times New Roman"/>
          <w:sz w:val="22"/>
          <w:szCs w:val="22"/>
        </w:rPr>
        <w:t>Veranda Resort Public Company Limited and its subsidiaries</w:t>
      </w:r>
      <w:r w:rsidRPr="006941D5">
        <w:rPr>
          <w:rFonts w:hAnsi="Times New Roman" w:cs="Times New Roman"/>
          <w:sz w:val="22"/>
        </w:rPr>
        <w:t xml:space="preserve">, and of </w:t>
      </w:r>
      <w:r w:rsidRPr="006941D5">
        <w:rPr>
          <w:rFonts w:hAnsi="Times New Roman" w:cs="Times New Roman"/>
          <w:sz w:val="22"/>
          <w:szCs w:val="22"/>
        </w:rPr>
        <w:t>Veranda Resort</w:t>
      </w:r>
      <w:r w:rsidRPr="006941D5">
        <w:rPr>
          <w:rFonts w:hAnsi="Times New Roman" w:cs="Times New Roman"/>
          <w:sz w:val="22"/>
        </w:rPr>
        <w:t xml:space="preserve"> Public Company Limited, respectively, as at 3</w:t>
      </w:r>
      <w:r w:rsidR="00684FD1">
        <w:rPr>
          <w:rFonts w:hAnsi="Times New Roman" w:cs="Times New Roman"/>
          <w:sz w:val="22"/>
        </w:rPr>
        <w:t>0</w:t>
      </w:r>
      <w:r w:rsidRPr="006941D5">
        <w:rPr>
          <w:rFonts w:hAnsi="Times New Roman" w:cs="Times New Roman"/>
          <w:sz w:val="22"/>
        </w:rPr>
        <w:t xml:space="preserve"> </w:t>
      </w:r>
      <w:r w:rsidR="00684FD1">
        <w:rPr>
          <w:rFonts w:hAnsi="Times New Roman" w:cs="Times New Roman"/>
          <w:sz w:val="22"/>
        </w:rPr>
        <w:t>June</w:t>
      </w:r>
      <w:r w:rsidRPr="006941D5">
        <w:rPr>
          <w:rFonts w:hAnsi="Times New Roman" w:cs="Times New Roman"/>
          <w:sz w:val="22"/>
        </w:rPr>
        <w:t xml:space="preserve"> 2021; the consolidated and separate statements of comprehensive income</w:t>
      </w:r>
      <w:r w:rsidR="00684FD1">
        <w:rPr>
          <w:rFonts w:hAnsi="Times New Roman" w:cs="Times New Roman"/>
          <w:sz w:val="22"/>
        </w:rPr>
        <w:t xml:space="preserve"> </w:t>
      </w:r>
      <w:r w:rsidR="00684FD1">
        <w:rPr>
          <w:rFonts w:cstheme="minorBidi"/>
          <w:color w:val="000000"/>
          <w:sz w:val="22"/>
          <w:szCs w:val="22"/>
        </w:rPr>
        <w:t>for the three-month and six-month periods ended 30 June 2021</w:t>
      </w:r>
      <w:r w:rsidRPr="006941D5">
        <w:rPr>
          <w:rFonts w:hAnsi="Times New Roman" w:cs="Times New Roman"/>
          <w:sz w:val="22"/>
        </w:rPr>
        <w:t xml:space="preserve">, </w:t>
      </w:r>
      <w:r w:rsidR="00684FD1" w:rsidRPr="00677CA9">
        <w:rPr>
          <w:rFonts w:cs="Times New Roman"/>
          <w:color w:val="000000"/>
          <w:sz w:val="22"/>
          <w:szCs w:val="22"/>
        </w:rPr>
        <w:t>the consolidated and separate statements</w:t>
      </w:r>
      <w:r w:rsidR="00684FD1" w:rsidRPr="006941D5">
        <w:rPr>
          <w:rFonts w:hAnsi="Times New Roman" w:cs="Times New Roman"/>
          <w:sz w:val="22"/>
        </w:rPr>
        <w:t xml:space="preserve"> </w:t>
      </w:r>
      <w:r w:rsidR="00684FD1">
        <w:rPr>
          <w:rFonts w:hAnsi="Times New Roman" w:cs="Times New Roman"/>
          <w:sz w:val="22"/>
        </w:rPr>
        <w:t xml:space="preserve">of </w:t>
      </w:r>
      <w:r w:rsidRPr="006941D5">
        <w:rPr>
          <w:rFonts w:hAnsi="Times New Roman" w:cs="Times New Roman"/>
          <w:sz w:val="22"/>
        </w:rPr>
        <w:t xml:space="preserve">changes in equity and cash flows for the </w:t>
      </w:r>
      <w:r w:rsidR="00684FD1">
        <w:rPr>
          <w:rFonts w:cstheme="minorBidi"/>
          <w:color w:val="000000"/>
          <w:sz w:val="22"/>
          <w:szCs w:val="22"/>
        </w:rPr>
        <w:t>six-month periods ended 30 June 2021</w:t>
      </w:r>
      <w:r w:rsidRPr="006941D5">
        <w:rPr>
          <w:rFonts w:hAnsi="Times New Roman" w:cs="Times New Roman"/>
          <w:sz w:val="22"/>
        </w:rPr>
        <w:t>; and condensed notes (“interim financial information”).</w:t>
      </w:r>
      <w:r w:rsidRPr="006941D5">
        <w:rPr>
          <w:rFonts w:hAnsi="Times New Roman" w:cs="Times New Roman"/>
          <w:i/>
          <w:iCs/>
          <w:sz w:val="22"/>
        </w:rPr>
        <w:t xml:space="preserve"> </w:t>
      </w:r>
      <w:r w:rsidRPr="006941D5">
        <w:rPr>
          <w:rFonts w:hAnsi="Times New Roman" w:cs="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094850B" w14:textId="77777777" w:rsidR="00E31A10" w:rsidRPr="006941D5" w:rsidRDefault="00E31A10" w:rsidP="00E31A10">
      <w:pPr>
        <w:spacing w:line="240" w:lineRule="atLeast"/>
        <w:jc w:val="both"/>
        <w:rPr>
          <w:rFonts w:hAnsi="Times New Roman" w:cs="Times New Roman"/>
          <w:sz w:val="22"/>
          <w:szCs w:val="22"/>
        </w:rPr>
      </w:pPr>
    </w:p>
    <w:p w14:paraId="1CC0C659"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Scope of Review</w:t>
      </w:r>
    </w:p>
    <w:p w14:paraId="2A860585" w14:textId="77777777" w:rsidR="00E31A10" w:rsidRPr="006941D5" w:rsidRDefault="00E31A10" w:rsidP="00E31A10">
      <w:pPr>
        <w:spacing w:line="240" w:lineRule="atLeast"/>
        <w:jc w:val="both"/>
        <w:rPr>
          <w:rFonts w:hAnsi="Times New Roman" w:cs="Times New Roman"/>
          <w:sz w:val="22"/>
          <w:szCs w:val="22"/>
        </w:rPr>
      </w:pPr>
    </w:p>
    <w:p w14:paraId="728E9A34" w14:textId="45F4DEA2" w:rsidR="00E31A10" w:rsidRPr="006941D5" w:rsidRDefault="00204168" w:rsidP="00E31A10">
      <w:pPr>
        <w:spacing w:line="240" w:lineRule="atLeast"/>
        <w:jc w:val="both"/>
        <w:rPr>
          <w:rFonts w:hAnsi="Times New Roman" w:cs="Times New Roman"/>
          <w:b/>
          <w:bCs/>
          <w:sz w:val="22"/>
          <w:szCs w:val="22"/>
        </w:rPr>
      </w:pPr>
      <w:r w:rsidRPr="006941D5">
        <w:rPr>
          <w:rFonts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Pr="006941D5">
        <w:rPr>
          <w:rFonts w:hAnsi="Times New Roman" w:cs="Times New Roman"/>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941D5">
        <w:rPr>
          <w:rFonts w:hAnsi="Times New Roman" w:cs="Times New Roman"/>
          <w:sz w:val="22"/>
          <w:szCs w:val="28"/>
        </w:rPr>
        <w:t>me</w:t>
      </w:r>
      <w:r w:rsidRPr="006941D5">
        <w:rPr>
          <w:rFonts w:hAnsi="Times New Roman" w:cs="Times New Roman"/>
          <w:sz w:val="22"/>
          <w:szCs w:val="22"/>
        </w:rPr>
        <w:t xml:space="preserve"> to obtain assurance that I would become aware of all significant matters that might be identified in an audit. Accordingly, </w:t>
      </w:r>
      <w:r w:rsidRPr="006941D5">
        <w:rPr>
          <w:rFonts w:hAnsi="Times New Roman" w:cs="Times New Roman"/>
          <w:sz w:val="22"/>
          <w:szCs w:val="28"/>
        </w:rPr>
        <w:t>I</w:t>
      </w:r>
      <w:r w:rsidRPr="006941D5">
        <w:rPr>
          <w:rFonts w:hAnsi="Times New Roman" w:cs="Times New Roman"/>
          <w:sz w:val="22"/>
          <w:szCs w:val="22"/>
        </w:rPr>
        <w:t xml:space="preserve"> do not express an audit opinion.</w:t>
      </w:r>
      <w:r w:rsidR="00E31A10" w:rsidRPr="006941D5">
        <w:rPr>
          <w:rFonts w:hAnsi="Times New Roman" w:cs="Times New Roman"/>
          <w:b/>
          <w:bCs/>
          <w:sz w:val="22"/>
          <w:szCs w:val="22"/>
        </w:rPr>
        <w:t xml:space="preserve"> </w:t>
      </w:r>
    </w:p>
    <w:p w14:paraId="63BEA364" w14:textId="77777777" w:rsidR="00E31A10" w:rsidRPr="006941D5" w:rsidRDefault="00E31A10" w:rsidP="00E31A10">
      <w:pPr>
        <w:spacing w:line="240" w:lineRule="atLeast"/>
        <w:jc w:val="both"/>
        <w:rPr>
          <w:rFonts w:hAnsi="Times New Roman" w:cs="Times New Roman"/>
          <w:b/>
          <w:bCs/>
          <w:sz w:val="22"/>
          <w:szCs w:val="22"/>
        </w:rPr>
      </w:pPr>
    </w:p>
    <w:p w14:paraId="238F1FC0" w14:textId="77777777" w:rsidR="00E31A10" w:rsidRPr="006941D5" w:rsidRDefault="00E31A10" w:rsidP="00E31A10">
      <w:pPr>
        <w:spacing w:line="240" w:lineRule="atLeast"/>
        <w:jc w:val="both"/>
        <w:rPr>
          <w:rFonts w:hAnsi="Times New Roman" w:cs="Times New Roman"/>
          <w:i/>
          <w:iCs/>
          <w:sz w:val="22"/>
          <w:szCs w:val="22"/>
        </w:rPr>
      </w:pPr>
      <w:r w:rsidRPr="006941D5">
        <w:rPr>
          <w:rFonts w:hAnsi="Times New Roman" w:cs="Times New Roman"/>
          <w:i/>
          <w:iCs/>
          <w:sz w:val="22"/>
          <w:szCs w:val="22"/>
        </w:rPr>
        <w:t>Conclusion</w:t>
      </w:r>
    </w:p>
    <w:p w14:paraId="44C1DC38" w14:textId="77777777" w:rsidR="00E31A10" w:rsidRPr="006941D5" w:rsidRDefault="00E31A10" w:rsidP="00E31A10">
      <w:pPr>
        <w:spacing w:line="240" w:lineRule="atLeast"/>
        <w:jc w:val="both"/>
        <w:rPr>
          <w:rFonts w:hAnsi="Times New Roman" w:cs="Times New Roman"/>
          <w:sz w:val="22"/>
          <w:szCs w:val="22"/>
        </w:rPr>
      </w:pPr>
    </w:p>
    <w:p w14:paraId="5C2A3785" w14:textId="0564D4A2" w:rsidR="00E31A10" w:rsidRPr="006941D5" w:rsidRDefault="00204168" w:rsidP="00E31A10">
      <w:pPr>
        <w:spacing w:line="240" w:lineRule="atLeast"/>
        <w:jc w:val="both"/>
        <w:rPr>
          <w:rFonts w:hAnsi="Times New Roman" w:cs="Times New Roman"/>
          <w:sz w:val="22"/>
          <w:szCs w:val="22"/>
        </w:rPr>
      </w:pPr>
      <w:r w:rsidRPr="006941D5">
        <w:rPr>
          <w:rFonts w:hAnsi="Times New Roman" w:cs="Times New Roman"/>
          <w:sz w:val="22"/>
          <w:szCs w:val="22"/>
        </w:rPr>
        <w:t>Based on my review, nothing has come to my attention that causes me to believe that the accompanying interim financial information</w:t>
      </w:r>
      <w:r w:rsidRPr="006941D5">
        <w:rPr>
          <w:rFonts w:hAnsi="Times New Roman" w:cs="Times New Roman"/>
          <w:sz w:val="22"/>
          <w:szCs w:val="28"/>
          <w:cs/>
        </w:rPr>
        <w:t xml:space="preserve"> </w:t>
      </w:r>
      <w:r w:rsidRPr="006941D5">
        <w:rPr>
          <w:rFonts w:hAnsi="Times New Roman" w:cs="Times New Roman"/>
          <w:sz w:val="22"/>
          <w:szCs w:val="22"/>
        </w:rPr>
        <w:t>is not prepared, in all material respects, in accordance with Thai Accounting Standard 34, “Interim Financial Reporting”.</w:t>
      </w:r>
    </w:p>
    <w:p w14:paraId="5AA0C7BA"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651AFF50" w14:textId="3A140906" w:rsidR="00E31A10" w:rsidRPr="006941D5" w:rsidRDefault="001E2459" w:rsidP="00E31A10">
      <w:pPr>
        <w:overflowPunct/>
        <w:autoSpaceDE/>
        <w:autoSpaceDN/>
        <w:adjustRightInd/>
        <w:spacing w:line="240" w:lineRule="atLeast"/>
        <w:jc w:val="both"/>
        <w:textAlignment w:val="auto"/>
        <w:rPr>
          <w:rFonts w:hAnsi="Times New Roman" w:cs="Times New Roman"/>
          <w:b/>
          <w:bCs/>
          <w:color w:val="000000"/>
          <w:sz w:val="22"/>
          <w:szCs w:val="22"/>
        </w:rPr>
      </w:pPr>
      <w:r>
        <w:rPr>
          <w:i/>
          <w:iCs/>
          <w:sz w:val="22"/>
        </w:rPr>
        <w:t>Emphasis of</w:t>
      </w:r>
      <w:r w:rsidRPr="003C2062">
        <w:rPr>
          <w:i/>
          <w:iCs/>
          <w:sz w:val="22"/>
        </w:rPr>
        <w:t xml:space="preserve"> Matter</w:t>
      </w:r>
    </w:p>
    <w:p w14:paraId="57C18A9C" w14:textId="1CE6D884" w:rsidR="00E31A10"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F0D070F" w14:textId="6E76658E" w:rsidR="001E2459" w:rsidRPr="006941D5" w:rsidRDefault="001E2459" w:rsidP="00E31A10">
      <w:pPr>
        <w:overflowPunct/>
        <w:autoSpaceDE/>
        <w:autoSpaceDN/>
        <w:adjustRightInd/>
        <w:spacing w:line="240" w:lineRule="atLeast"/>
        <w:jc w:val="both"/>
        <w:textAlignment w:val="auto"/>
        <w:rPr>
          <w:rFonts w:hAnsi="Times New Roman" w:cs="Times New Roman"/>
          <w:b/>
          <w:bCs/>
          <w:color w:val="000000"/>
          <w:sz w:val="22"/>
          <w:szCs w:val="22"/>
        </w:rPr>
      </w:pPr>
      <w:r w:rsidRPr="00CD7B9E">
        <w:rPr>
          <w:rFonts w:eastAsia="Calibri"/>
          <w:sz w:val="22"/>
          <w:szCs w:val="22"/>
        </w:rPr>
        <w:t>I draw attention to note</w:t>
      </w:r>
      <w:r>
        <w:rPr>
          <w:rFonts w:eastAsia="Calibri"/>
          <w:sz w:val="22"/>
          <w:szCs w:val="22"/>
        </w:rPr>
        <w:t>s 3</w:t>
      </w:r>
      <w:r w:rsidRPr="00CD7B9E">
        <w:rPr>
          <w:rFonts w:eastAsia="Calibri"/>
          <w:sz w:val="22"/>
          <w:szCs w:val="22"/>
        </w:rPr>
        <w:t xml:space="preserve"> </w:t>
      </w:r>
      <w:r w:rsidRPr="00FB310C">
        <w:rPr>
          <w:rFonts w:eastAsia="Calibri"/>
          <w:sz w:val="22"/>
          <w:szCs w:val="22"/>
        </w:rPr>
        <w:t>which</w:t>
      </w:r>
      <w:r w:rsidR="003C43C8">
        <w:rPr>
          <w:rFonts w:eastAsia="Calibri"/>
          <w:sz w:val="22"/>
          <w:szCs w:val="22"/>
        </w:rPr>
        <w:t xml:space="preserve"> described</w:t>
      </w:r>
      <w:r w:rsidRPr="00FB310C">
        <w:rPr>
          <w:rFonts w:eastAsia="Calibri"/>
          <w:sz w:val="22"/>
          <w:szCs w:val="22"/>
        </w:rPr>
        <w:t xml:space="preserve"> </w:t>
      </w:r>
      <w:r w:rsidR="003C43C8">
        <w:rPr>
          <w:rFonts w:eastAsia="Calibri"/>
          <w:sz w:val="22"/>
          <w:szCs w:val="22"/>
        </w:rPr>
        <w:t xml:space="preserve">that </w:t>
      </w:r>
      <w:r w:rsidRPr="00FB310C">
        <w:rPr>
          <w:rFonts w:eastAsia="Calibri"/>
          <w:sz w:val="22"/>
          <w:szCs w:val="22"/>
        </w:rPr>
        <w:t>the Group</w:t>
      </w:r>
      <w:r w:rsidRPr="00FB310C">
        <w:rPr>
          <w:rFonts w:eastAsia="Calibri"/>
          <w:sz w:val="22"/>
          <w:szCs w:val="22"/>
        </w:rPr>
        <w:t>’</w:t>
      </w:r>
      <w:r w:rsidRPr="00FB310C">
        <w:rPr>
          <w:rFonts w:eastAsia="Calibri"/>
          <w:sz w:val="22"/>
          <w:szCs w:val="22"/>
        </w:rPr>
        <w:t>s and the Company</w:t>
      </w:r>
      <w:r w:rsidRPr="00FB310C">
        <w:rPr>
          <w:rFonts w:eastAsia="Calibri"/>
          <w:sz w:val="22"/>
          <w:szCs w:val="22"/>
        </w:rPr>
        <w:t>’</w:t>
      </w:r>
      <w:r w:rsidRPr="00FB310C">
        <w:rPr>
          <w:rFonts w:eastAsia="Calibri"/>
          <w:sz w:val="22"/>
          <w:szCs w:val="22"/>
        </w:rPr>
        <w:t>s ope</w:t>
      </w:r>
      <w:r w:rsidRPr="00CD7B9E">
        <w:rPr>
          <w:rFonts w:eastAsia="Calibri"/>
          <w:sz w:val="22"/>
          <w:szCs w:val="22"/>
        </w:rPr>
        <w:t xml:space="preserve">ration </w:t>
      </w:r>
      <w:r w:rsidR="003C43C8" w:rsidRPr="003C43C8">
        <w:rPr>
          <w:rFonts w:eastAsia="Calibri"/>
          <w:sz w:val="22"/>
          <w:szCs w:val="22"/>
        </w:rPr>
        <w:t>was and may continue to be affected by economic uncertainty resulting from Gover</w:t>
      </w:r>
      <w:r w:rsidR="003C43C8">
        <w:rPr>
          <w:rFonts w:eastAsia="Calibri"/>
          <w:sz w:val="22"/>
          <w:szCs w:val="22"/>
        </w:rPr>
        <w:t>n</w:t>
      </w:r>
      <w:r w:rsidR="003C43C8" w:rsidRPr="003C43C8">
        <w:rPr>
          <w:rFonts w:eastAsia="Calibri"/>
          <w:sz w:val="22"/>
          <w:szCs w:val="22"/>
        </w:rPr>
        <w:t>ment's measures to control the spread of C</w:t>
      </w:r>
      <w:r w:rsidR="003C43C8">
        <w:rPr>
          <w:rFonts w:eastAsia="Calibri"/>
          <w:sz w:val="22"/>
          <w:szCs w:val="22"/>
        </w:rPr>
        <w:t>OVID-</w:t>
      </w:r>
      <w:r w:rsidR="003C43C8" w:rsidRPr="003C43C8">
        <w:rPr>
          <w:rFonts w:eastAsia="Calibri"/>
          <w:sz w:val="22"/>
          <w:szCs w:val="22"/>
        </w:rPr>
        <w:t>19. My conclusion is not modified in respect of this matter.</w:t>
      </w: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0"/>
          <w:footerReference w:type="first" r:id="rId11"/>
          <w:pgSz w:w="11909" w:h="16834" w:code="9"/>
          <w:pgMar w:top="691" w:right="1152" w:bottom="720" w:left="1152" w:header="706" w:footer="706" w:gutter="0"/>
          <w:pgNumType w:start="2"/>
          <w:cols w:space="720"/>
          <w:titlePg/>
          <w:docGrid w:linePitch="326"/>
        </w:sectPr>
      </w:pPr>
    </w:p>
    <w:p w14:paraId="255AEB4B" w14:textId="77777777" w:rsidR="008906FA" w:rsidRDefault="008906FA" w:rsidP="00204168">
      <w:pPr>
        <w:spacing w:line="240" w:lineRule="atLeast"/>
        <w:jc w:val="both"/>
        <w:rPr>
          <w:rFonts w:hAnsi="Times New Roman" w:cs="Times New Roman"/>
          <w:i/>
          <w:iCs/>
          <w:sz w:val="22"/>
          <w:szCs w:val="22"/>
        </w:rPr>
      </w:pPr>
    </w:p>
    <w:p w14:paraId="4AFD0B20" w14:textId="77777777" w:rsidR="008906FA" w:rsidRDefault="008906FA" w:rsidP="00204168">
      <w:pPr>
        <w:spacing w:line="240" w:lineRule="atLeast"/>
        <w:jc w:val="both"/>
        <w:rPr>
          <w:rFonts w:hAnsi="Times New Roman" w:cs="Times New Roman"/>
          <w:i/>
          <w:iCs/>
          <w:sz w:val="22"/>
          <w:szCs w:val="22"/>
        </w:rPr>
      </w:pPr>
    </w:p>
    <w:p w14:paraId="7830BF9D" w14:textId="77777777" w:rsidR="008906FA" w:rsidRDefault="008906FA" w:rsidP="00204168">
      <w:pPr>
        <w:spacing w:line="240" w:lineRule="atLeast"/>
        <w:jc w:val="both"/>
        <w:rPr>
          <w:rFonts w:hAnsi="Times New Roman" w:cs="Times New Roman"/>
          <w:i/>
          <w:iCs/>
          <w:sz w:val="22"/>
          <w:szCs w:val="22"/>
        </w:rPr>
      </w:pPr>
    </w:p>
    <w:p w14:paraId="7AA035EE" w14:textId="68A0B446"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E4DBA5" w14:textId="12E1F528" w:rsidR="00E31A10" w:rsidRPr="006941D5" w:rsidRDefault="00191DDD" w:rsidP="00E31A10">
      <w:pPr>
        <w:spacing w:line="240" w:lineRule="atLeast"/>
        <w:jc w:val="both"/>
        <w:rPr>
          <w:rFonts w:hAnsi="Times New Roman" w:cs="Times New Roman"/>
          <w:sz w:val="22"/>
          <w:szCs w:val="22"/>
        </w:rPr>
      </w:pPr>
      <w:r w:rsidRPr="006941D5">
        <w:rPr>
          <w:rFonts w:hAnsi="Times New Roman" w:cs="Times New Roman"/>
          <w:sz w:val="22"/>
          <w:szCs w:val="22"/>
        </w:rPr>
        <w:t>The consolidated and separate statements of financial position of Veranda Resort Public Company Limited and its subsidiaries, and of Veranda Resort Public Company Limited as at 31 December 2020, which are included as comparative information, were audited by another auditor who expressed an unqualified opinion thereon in her report dated 24 February 2021 by including emphasis of matters regarding to impact of COVID-19 pandemic and adoption of new accounting policies. Furthermore, the consolidated and separate statements of comprehensive income</w:t>
      </w:r>
      <w:r w:rsidR="00684FD1" w:rsidRPr="00684FD1">
        <w:rPr>
          <w:rFonts w:cstheme="minorBidi"/>
          <w:color w:val="000000"/>
          <w:sz w:val="22"/>
          <w:szCs w:val="22"/>
        </w:rPr>
        <w:t xml:space="preserve"> </w:t>
      </w:r>
      <w:r w:rsidR="00684FD1">
        <w:rPr>
          <w:rFonts w:cstheme="minorBidi"/>
          <w:color w:val="000000"/>
          <w:sz w:val="22"/>
          <w:szCs w:val="22"/>
        </w:rPr>
        <w:t>for the three-month and six-month periods ended 30 June 202</w:t>
      </w:r>
      <w:r w:rsidR="00FE3223">
        <w:rPr>
          <w:rFonts w:cstheme="minorBidi"/>
          <w:color w:val="000000"/>
          <w:sz w:val="22"/>
          <w:szCs w:val="22"/>
        </w:rPr>
        <w:t>0</w:t>
      </w:r>
      <w:r w:rsidRPr="006941D5">
        <w:rPr>
          <w:rFonts w:hAnsi="Times New Roman" w:cs="Times New Roman"/>
          <w:sz w:val="22"/>
          <w:szCs w:val="22"/>
        </w:rPr>
        <w:t xml:space="preserve">, </w:t>
      </w:r>
      <w:r w:rsidR="00684FD1" w:rsidRPr="00677CA9">
        <w:rPr>
          <w:rFonts w:cs="Times New Roman"/>
          <w:color w:val="000000"/>
          <w:sz w:val="22"/>
          <w:szCs w:val="22"/>
        </w:rPr>
        <w:t>the consolidated and separate statements</w:t>
      </w:r>
      <w:r w:rsidR="00684FD1" w:rsidRPr="006941D5">
        <w:rPr>
          <w:rFonts w:hAnsi="Times New Roman" w:cs="Times New Roman"/>
          <w:sz w:val="22"/>
        </w:rPr>
        <w:t xml:space="preserve"> </w:t>
      </w:r>
      <w:r w:rsidR="00684FD1">
        <w:rPr>
          <w:rFonts w:hAnsi="Times New Roman" w:cs="Times New Roman"/>
          <w:sz w:val="22"/>
        </w:rPr>
        <w:t xml:space="preserve">of </w:t>
      </w:r>
      <w:r w:rsidRPr="006941D5">
        <w:rPr>
          <w:rFonts w:hAnsi="Times New Roman" w:cs="Times New Roman"/>
          <w:sz w:val="22"/>
          <w:szCs w:val="22"/>
        </w:rPr>
        <w:t xml:space="preserve">changes in equity and cash flows for the </w:t>
      </w:r>
      <w:r w:rsidR="00FE3223">
        <w:rPr>
          <w:rFonts w:hAnsi="Times New Roman" w:cs="Times New Roman"/>
          <w:sz w:val="22"/>
          <w:szCs w:val="22"/>
        </w:rPr>
        <w:t>six</w:t>
      </w:r>
      <w:r w:rsidRPr="006941D5">
        <w:rPr>
          <w:rFonts w:hAnsi="Times New Roman" w:cs="Times New Roman"/>
          <w:sz w:val="22"/>
          <w:szCs w:val="22"/>
        </w:rPr>
        <w:t>-month period ended 3</w:t>
      </w:r>
      <w:r w:rsidR="00FE3223">
        <w:rPr>
          <w:rFonts w:hAnsi="Times New Roman" w:cs="Times New Roman"/>
          <w:sz w:val="22"/>
          <w:szCs w:val="22"/>
        </w:rPr>
        <w:t>0</w:t>
      </w:r>
      <w:r w:rsidRPr="006941D5">
        <w:rPr>
          <w:rFonts w:hAnsi="Times New Roman" w:cs="Times New Roman"/>
          <w:sz w:val="22"/>
          <w:szCs w:val="22"/>
        </w:rPr>
        <w:t xml:space="preserve"> </w:t>
      </w:r>
      <w:r w:rsidR="00FE3223">
        <w:rPr>
          <w:rFonts w:hAnsi="Times New Roman" w:cs="Times New Roman"/>
          <w:sz w:val="22"/>
          <w:szCs w:val="22"/>
        </w:rPr>
        <w:t>June</w:t>
      </w:r>
      <w:r w:rsidRPr="006941D5">
        <w:rPr>
          <w:rFonts w:hAnsi="Times New Roman" w:cs="Times New Roman"/>
          <w:sz w:val="22"/>
          <w:szCs w:val="22"/>
        </w:rPr>
        <w:t xml:space="preserve"> 2020</w:t>
      </w:r>
      <w:r w:rsidR="00FE3223">
        <w:rPr>
          <w:rFonts w:hAnsi="Times New Roman" w:cs="Times New Roman"/>
          <w:sz w:val="22"/>
          <w:szCs w:val="22"/>
        </w:rPr>
        <w:t xml:space="preserve"> </w:t>
      </w:r>
      <w:r w:rsidR="00FE3223" w:rsidRPr="006941D5">
        <w:rPr>
          <w:rFonts w:hAnsi="Times New Roman" w:cs="Times New Roman"/>
          <w:sz w:val="22"/>
          <w:szCs w:val="22"/>
        </w:rPr>
        <w:t>of Veranda Resort Public Company Limited and its subsidiaries, and of Veranda Resort Public Company Limited</w:t>
      </w:r>
      <w:r w:rsidRPr="006941D5">
        <w:rPr>
          <w:rFonts w:hAnsi="Times New Roman" w:cs="Times New Roman"/>
          <w:sz w:val="22"/>
          <w:szCs w:val="22"/>
        </w:rPr>
        <w:t xml:space="preserve">, which are included as comparative information, were reviewed by another auditor who expressed an unmodified conclusion thereon in her report dated 13 </w:t>
      </w:r>
      <w:r w:rsidR="00FE3223">
        <w:rPr>
          <w:rFonts w:hAnsi="Times New Roman" w:cs="Times New Roman"/>
          <w:sz w:val="22"/>
          <w:szCs w:val="22"/>
        </w:rPr>
        <w:t>August</w:t>
      </w:r>
      <w:r w:rsidRPr="006941D5">
        <w:rPr>
          <w:rFonts w:hAnsi="Times New Roman" w:cs="Times New Roman"/>
          <w:sz w:val="22"/>
          <w:szCs w:val="22"/>
        </w:rPr>
        <w:t xml:space="preserve"> 2020 by including emphasis of matters regarding to impact of COVID-19 pandemic and adoption of new accounting policies.</w:t>
      </w:r>
    </w:p>
    <w:p w14:paraId="50CB2C85" w14:textId="77777777" w:rsidR="00E31A10" w:rsidRPr="006941D5" w:rsidRDefault="00E31A10" w:rsidP="00E31A10">
      <w:pPr>
        <w:spacing w:line="240" w:lineRule="atLeast"/>
        <w:jc w:val="both"/>
        <w:rPr>
          <w:rFonts w:hAnsi="Times New Roman" w:cs="Times New Roman"/>
          <w:color w:val="000000"/>
          <w:sz w:val="22"/>
          <w:szCs w:val="22"/>
        </w:rPr>
      </w:pP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77777777" w:rsidR="00191DDD" w:rsidRPr="006941D5" w:rsidRDefault="00191DDD" w:rsidP="00E31A10">
      <w:pPr>
        <w:spacing w:line="240" w:lineRule="atLeast"/>
        <w:jc w:val="both"/>
        <w:rPr>
          <w:rFonts w:hAnsi="Times New Roman" w:cs="Times New Roman"/>
          <w:color w:val="000000"/>
          <w:sz w:val="22"/>
          <w:szCs w:val="22"/>
        </w:rPr>
      </w:pPr>
    </w:p>
    <w:p w14:paraId="43304DC2" w14:textId="77777777"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proofErr w:type="spellStart"/>
      <w:r w:rsidRPr="006941D5">
        <w:rPr>
          <w:rFonts w:hAnsi="Times New Roman" w:cs="Times New Roman"/>
          <w:sz w:val="22"/>
          <w:szCs w:val="22"/>
        </w:rPr>
        <w:t>Vilaivan</w:t>
      </w:r>
      <w:proofErr w:type="spellEnd"/>
      <w:r w:rsidRPr="006941D5">
        <w:rPr>
          <w:rFonts w:hAnsi="Times New Roman" w:cs="Times New Roman"/>
          <w:sz w:val="22"/>
          <w:szCs w:val="22"/>
        </w:rPr>
        <w:t xml:space="preserve"> </w:t>
      </w:r>
      <w:proofErr w:type="spellStart"/>
      <w:r w:rsidRPr="006941D5">
        <w:rPr>
          <w:rFonts w:hAnsi="Times New Roman" w:cs="Times New Roman"/>
          <w:sz w:val="22"/>
          <w:szCs w:val="22"/>
        </w:rPr>
        <w:t>Pholprasert</w:t>
      </w:r>
      <w:proofErr w:type="spellEnd"/>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0F3489B0"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AD2419" w:rsidRPr="006941D5">
        <w:rPr>
          <w:rFonts w:hAnsi="Times New Roman" w:cs="Times New Roman"/>
          <w:color w:val="000000"/>
          <w:sz w:val="22"/>
          <w:szCs w:val="22"/>
        </w:rPr>
        <w:t>8420</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KPMG </w:t>
      </w:r>
      <w:proofErr w:type="spellStart"/>
      <w:r w:rsidRPr="006941D5">
        <w:rPr>
          <w:rFonts w:hAnsi="Times New Roman" w:cs="Times New Roman"/>
          <w:color w:val="000000"/>
          <w:sz w:val="22"/>
          <w:szCs w:val="22"/>
        </w:rPr>
        <w:t>Phoomchai</w:t>
      </w:r>
      <w:proofErr w:type="spellEnd"/>
      <w:r w:rsidRPr="006941D5">
        <w:rPr>
          <w:rFonts w:hAnsi="Times New Roman" w:cs="Times New Roman"/>
          <w:color w:val="000000"/>
          <w:sz w:val="22"/>
          <w:szCs w:val="22"/>
        </w:rPr>
        <w:t xml:space="preserve">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309F732F" w:rsidR="00E31A10" w:rsidRPr="006941D5" w:rsidRDefault="00FE3223"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9</w:t>
      </w:r>
      <w:r w:rsidR="00AD2419" w:rsidRPr="006941D5">
        <w:rPr>
          <w:rFonts w:eastAsia="Batang" w:hAnsi="Times New Roman" w:cs="Times New Roman"/>
          <w:color w:val="000000"/>
          <w:sz w:val="22"/>
          <w:szCs w:val="22"/>
        </w:rPr>
        <w:t xml:space="preserve"> </w:t>
      </w:r>
      <w:r>
        <w:rPr>
          <w:rFonts w:eastAsia="Batang" w:hAnsi="Times New Roman" w:cs="Times New Roman"/>
          <w:color w:val="000000"/>
          <w:sz w:val="22"/>
          <w:szCs w:val="22"/>
        </w:rPr>
        <w:t>August</w:t>
      </w:r>
      <w:r w:rsidR="00E31A10" w:rsidRPr="006941D5">
        <w:rPr>
          <w:rFonts w:eastAsia="Batang" w:hAnsi="Times New Roman" w:cs="Times New Roman"/>
          <w:color w:val="000000"/>
          <w:sz w:val="22"/>
          <w:szCs w:val="22"/>
        </w:rPr>
        <w:t xml:space="preserve"> </w:t>
      </w:r>
      <w:r>
        <w:rPr>
          <w:rFonts w:eastAsia="Batang" w:hAnsi="Times New Roman" w:cs="Times New Roman"/>
          <w:color w:val="000000"/>
          <w:sz w:val="22"/>
          <w:szCs w:val="22"/>
        </w:rPr>
        <w:t>2021</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7983B2F5" w14:textId="7777777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sectPr w:rsidR="00DE1244" w:rsidRPr="006941D5" w:rsidSect="008906FA">
      <w:footerReference w:type="default" r:id="rId12"/>
      <w:pgSz w:w="11909" w:h="16834" w:code="9"/>
      <w:pgMar w:top="691" w:right="1152" w:bottom="720" w:left="1152"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E8C0E" w14:textId="77777777" w:rsidR="00CF6DCF" w:rsidRDefault="00CF6DCF" w:rsidP="008442C1">
      <w:r>
        <w:separator/>
      </w:r>
    </w:p>
  </w:endnote>
  <w:endnote w:type="continuationSeparator" w:id="0">
    <w:p w14:paraId="20244EF3" w14:textId="77777777" w:rsidR="00CF6DCF" w:rsidRDefault="00CF6DC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6A03A6FC" w14:textId="77777777" w:rsidR="001E2459" w:rsidRDefault="001E245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1E2459" w:rsidRDefault="001E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E61D5" w14:textId="777338C2" w:rsidR="001E2459" w:rsidRDefault="001E245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1E2459" w:rsidRPr="00E37E0A" w:rsidRDefault="001E2459">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DC4C2" w14:textId="77777777" w:rsidR="00CF6DCF" w:rsidRDefault="00CF6DCF" w:rsidP="008442C1">
      <w:r>
        <w:separator/>
      </w:r>
    </w:p>
  </w:footnote>
  <w:footnote w:type="continuationSeparator" w:id="0">
    <w:p w14:paraId="7DFCEE5F" w14:textId="77777777" w:rsidR="00CF6DCF" w:rsidRDefault="00CF6DC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9491" w14:textId="77777777" w:rsidR="001E2459" w:rsidRDefault="001E2459" w:rsidP="00204168">
    <w:pPr>
      <w:pStyle w:val="Header"/>
      <w:spacing w:before="240"/>
    </w:pPr>
  </w:p>
  <w:p w14:paraId="041D4244" w14:textId="77777777" w:rsidR="001E2459" w:rsidRDefault="001E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37FE" w14:textId="77777777" w:rsidR="001E2459" w:rsidRDefault="001E2459" w:rsidP="00204168">
    <w:pPr>
      <w:pStyle w:val="Header"/>
      <w:spacing w:before="240"/>
    </w:pPr>
  </w:p>
  <w:p w14:paraId="4C1CFF43" w14:textId="77777777" w:rsidR="001E2459" w:rsidRDefault="001E2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2DC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459"/>
    <w:rsid w:val="001E2852"/>
    <w:rsid w:val="001E2963"/>
    <w:rsid w:val="001E2CAB"/>
    <w:rsid w:val="001E3C22"/>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0A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971"/>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16"/>
    <w:rsid w:val="0073074B"/>
    <w:rsid w:val="00730943"/>
    <w:rsid w:val="00731CC4"/>
    <w:rsid w:val="00731F06"/>
    <w:rsid w:val="00732A25"/>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3F09"/>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154"/>
    <w:rsid w:val="007A637A"/>
    <w:rsid w:val="007A78E8"/>
    <w:rsid w:val="007B011F"/>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6135"/>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6F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E7EEF"/>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4E7"/>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6DE5"/>
    <w:rsid w:val="00A16F6F"/>
    <w:rsid w:val="00A17DB0"/>
    <w:rsid w:val="00A21307"/>
    <w:rsid w:val="00A22165"/>
    <w:rsid w:val="00A22540"/>
    <w:rsid w:val="00A22AD2"/>
    <w:rsid w:val="00A2342A"/>
    <w:rsid w:val="00A23658"/>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CF687E"/>
    <w:rsid w:val="00CF6DCF"/>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5E2"/>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78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66704"/>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6C52"/>
    <w:rsid w:val="00FA724C"/>
    <w:rsid w:val="00FB0067"/>
    <w:rsid w:val="00FB063D"/>
    <w:rsid w:val="00FB09B5"/>
    <w:rsid w:val="00FB0BD3"/>
    <w:rsid w:val="00FB2842"/>
    <w:rsid w:val="00FB2A95"/>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541</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ศุภนิตา อาดำ</cp:lastModifiedBy>
  <cp:revision>11</cp:revision>
  <cp:lastPrinted>2020-05-13T11:44:00Z</cp:lastPrinted>
  <dcterms:created xsi:type="dcterms:W3CDTF">2021-08-03T05:26:00Z</dcterms:created>
  <dcterms:modified xsi:type="dcterms:W3CDTF">2021-08-06T03:35:00Z</dcterms:modified>
</cp:coreProperties>
</file>