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cs/>
              </w:rPr>
            </w:pPr>
          </w:p>
        </w:tc>
        <w:tc>
          <w:tcPr>
            <w:tcW w:w="7320" w:type="dxa"/>
            <w:vAlign w:val="center"/>
          </w:tcPr>
          <w:p w14:paraId="10B27163"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28B4AF2B"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14:paraId="36B0D40C" w14:textId="09FFDE08"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900EB7" w:rsidRPr="00B848E8">
              <w:rPr>
                <w:rFonts w:cs="Times New Roman"/>
                <w:color w:val="7E7F82"/>
                <w:sz w:val="27"/>
                <w:szCs w:val="27"/>
              </w:rPr>
              <w:t xml:space="preserve">interim </w:t>
            </w:r>
            <w:r w:rsidRPr="00B848E8">
              <w:rPr>
                <w:rFonts w:cs="Times New Roman"/>
                <w:color w:val="7E7F82"/>
                <w:sz w:val="27"/>
                <w:szCs w:val="27"/>
              </w:rPr>
              <w:t xml:space="preserve">financial </w:t>
            </w:r>
            <w:r w:rsidR="005F186A">
              <w:rPr>
                <w:rFonts w:cs="Times New Roman"/>
                <w:color w:val="7E7F82"/>
                <w:sz w:val="27"/>
                <w:szCs w:val="27"/>
              </w:rPr>
              <w:t>information</w:t>
            </w:r>
          </w:p>
          <w:p w14:paraId="38C39884" w14:textId="4E6B56C8" w:rsidR="006F04B3" w:rsidRPr="003C05D2"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sidR="00E02098">
              <w:rPr>
                <w:rFonts w:cs="Times New Roman"/>
                <w:color w:val="7E7F82"/>
                <w:sz w:val="27"/>
                <w:szCs w:val="27"/>
              </w:rPr>
              <w:t xml:space="preserve">three-month </w:t>
            </w:r>
            <w:r w:rsidR="001C7AD4">
              <w:rPr>
                <w:rFonts w:cs="Times New Roman"/>
                <w:color w:val="7E7F82"/>
                <w:sz w:val="27"/>
                <w:szCs w:val="27"/>
              </w:rPr>
              <w:t xml:space="preserve">and </w:t>
            </w:r>
            <w:r w:rsidR="006D11B0">
              <w:rPr>
                <w:color w:val="7E7F82"/>
                <w:sz w:val="27"/>
                <w:szCs w:val="34"/>
              </w:rPr>
              <w:t>six</w:t>
            </w:r>
            <w:r>
              <w:rPr>
                <w:color w:val="7E7F82"/>
                <w:sz w:val="27"/>
                <w:szCs w:val="34"/>
              </w:rPr>
              <w:t xml:space="preserve">-month </w:t>
            </w:r>
            <w:r w:rsidR="001A69CB">
              <w:rPr>
                <w:color w:val="7E7F82"/>
                <w:sz w:val="27"/>
                <w:szCs w:val="34"/>
              </w:rPr>
              <w:t>period</w:t>
            </w:r>
            <w:r w:rsidR="00E02098">
              <w:rPr>
                <w:color w:val="7E7F82"/>
                <w:sz w:val="27"/>
                <w:szCs w:val="34"/>
              </w:rPr>
              <w:t xml:space="preserve">s </w:t>
            </w:r>
            <w:r w:rsidR="003C05D2">
              <w:rPr>
                <w:rFonts w:cs="Times New Roman"/>
                <w:color w:val="7E7F82"/>
                <w:sz w:val="27"/>
                <w:szCs w:val="27"/>
              </w:rPr>
              <w:t xml:space="preserve">ended </w:t>
            </w:r>
            <w:r w:rsidR="006D11B0">
              <w:rPr>
                <w:rFonts w:cs="Times New Roman"/>
                <w:color w:val="7E7F82"/>
                <w:sz w:val="27"/>
                <w:szCs w:val="27"/>
              </w:rPr>
              <w:t>30 June</w:t>
            </w:r>
            <w:r w:rsidRPr="00B848E8">
              <w:rPr>
                <w:rFonts w:cs="Times New Roman"/>
                <w:color w:val="7E7F82"/>
                <w:sz w:val="27"/>
                <w:szCs w:val="27"/>
              </w:rPr>
              <w:t xml:space="preserve"> </w:t>
            </w:r>
            <w:r w:rsidR="00301B26">
              <w:rPr>
                <w:rFonts w:cs="Times New Roman"/>
                <w:color w:val="7E7F82"/>
                <w:sz w:val="27"/>
                <w:szCs w:val="27"/>
              </w:rPr>
              <w:t>202</w:t>
            </w:r>
            <w:r w:rsidR="001F62C9">
              <w:rPr>
                <w:rFonts w:cs="Times New Roman"/>
                <w:color w:val="7E7F82"/>
                <w:sz w:val="27"/>
                <w:szCs w:val="27"/>
              </w:rPr>
              <w:t>1</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70A676BE" w14:textId="77777777" w:rsidR="00A341BF" w:rsidRPr="00357613" w:rsidRDefault="00A341BF" w:rsidP="00E02098">
      <w:pPr>
        <w:tabs>
          <w:tab w:val="left" w:pos="720"/>
          <w:tab w:val="left" w:pos="2160"/>
          <w:tab w:val="right" w:pos="7200"/>
          <w:tab w:val="right" w:pos="8540"/>
        </w:tabs>
        <w:spacing w:before="120"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14:paraId="3D263C41" w14:textId="77777777" w:rsidR="00001688" w:rsidRPr="00C269F0" w:rsidRDefault="00001688" w:rsidP="00E02098">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4E3D19B7" w:rsidR="00001688" w:rsidRPr="00314344" w:rsidRDefault="00001688" w:rsidP="00E02098">
      <w:pPr>
        <w:spacing w:before="360" w:after="12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6D11B0">
        <w:rPr>
          <w:rFonts w:ascii="Arial" w:hAnsi="Arial" w:cs="Arial"/>
          <w:sz w:val="22"/>
          <w:szCs w:val="22"/>
        </w:rPr>
        <w:t>30 June</w:t>
      </w:r>
      <w:r w:rsidRPr="00314344">
        <w:rPr>
          <w:rFonts w:ascii="Arial" w:hAnsi="Arial" w:cs="Arial"/>
          <w:sz w:val="22"/>
          <w:szCs w:val="22"/>
        </w:rPr>
        <w:t xml:space="preserve"> </w:t>
      </w:r>
      <w:r w:rsidR="00301B26">
        <w:rPr>
          <w:rFonts w:ascii="Arial" w:hAnsi="Arial" w:cs="Arial"/>
          <w:sz w:val="22"/>
          <w:szCs w:val="22"/>
        </w:rPr>
        <w:t>202</w:t>
      </w:r>
      <w:r w:rsidR="001F62C9">
        <w:rPr>
          <w:rFonts w:ascii="Arial" w:hAnsi="Arial" w:cs="Arial"/>
          <w:sz w:val="22"/>
          <w:szCs w:val="22"/>
        </w:rPr>
        <w:t>1</w:t>
      </w:r>
      <w:r w:rsidRPr="00314344">
        <w:rPr>
          <w:rFonts w:ascii="Arial" w:hAnsi="Arial" w:cs="Arial"/>
          <w:sz w:val="22"/>
          <w:szCs w:val="22"/>
        </w:rPr>
        <w:t>, the related consolidated statements of comprehensive income</w:t>
      </w:r>
      <w:r w:rsidR="00E02098">
        <w:rPr>
          <w:rFonts w:ascii="Arial" w:hAnsi="Arial" w:cs="Arial"/>
          <w:sz w:val="22"/>
          <w:szCs w:val="22"/>
        </w:rPr>
        <w:t xml:space="preserve"> for the three-month and six-month periods then ended</w:t>
      </w:r>
      <w:r w:rsidR="003C05D2">
        <w:rPr>
          <w:rFonts w:ascii="Arial" w:hAnsi="Arial" w:cs="Arial"/>
          <w:sz w:val="22"/>
          <w:szCs w:val="22"/>
        </w:rPr>
        <w:t>,</w:t>
      </w:r>
      <w:r>
        <w:rPr>
          <w:rFonts w:ascii="Arial" w:hAnsi="Arial" w:cs="Arial"/>
          <w:sz w:val="22"/>
          <w:szCs w:val="22"/>
        </w:rPr>
        <w:t xml:space="preserve"> </w:t>
      </w:r>
      <w:r w:rsidR="00E02098">
        <w:rPr>
          <w:rFonts w:ascii="Arial" w:hAnsi="Arial" w:cs="Arial"/>
          <w:sz w:val="22"/>
          <w:szCs w:val="22"/>
        </w:rPr>
        <w:t xml:space="preserve">and the related consolidated statements of </w:t>
      </w:r>
      <w:r w:rsidRPr="00314344">
        <w:rPr>
          <w:rFonts w:ascii="Arial" w:hAnsi="Arial" w:cs="Arial"/>
          <w:sz w:val="22"/>
          <w:szCs w:val="22"/>
        </w:rPr>
        <w:t>changes in shareholders’ equi</w:t>
      </w:r>
      <w:r w:rsidR="002A7E76">
        <w:rPr>
          <w:rFonts w:ascii="Arial" w:hAnsi="Arial" w:cs="Arial"/>
          <w:sz w:val="22"/>
          <w:szCs w:val="22"/>
        </w:rPr>
        <w:t>ty</w:t>
      </w:r>
      <w:r w:rsidR="00DE37E4">
        <w:rPr>
          <w:rFonts w:ascii="Arial" w:hAnsi="Arial" w:cs="Arial"/>
          <w:sz w:val="22"/>
          <w:szCs w:val="22"/>
        </w:rPr>
        <w:t xml:space="preserve"> and</w:t>
      </w:r>
      <w:r w:rsidR="002A7E76">
        <w:rPr>
          <w:rFonts w:ascii="Arial" w:hAnsi="Arial" w:cs="Arial"/>
          <w:sz w:val="22"/>
          <w:szCs w:val="22"/>
        </w:rPr>
        <w:t xml:space="preserve"> </w:t>
      </w:r>
      <w:r>
        <w:rPr>
          <w:rFonts w:ascii="Arial" w:hAnsi="Arial" w:cs="Arial"/>
          <w:sz w:val="22"/>
          <w:szCs w:val="22"/>
        </w:rPr>
        <w:t xml:space="preserve">cash flows for the </w:t>
      </w:r>
      <w:r w:rsidR="001C7AD4">
        <w:rPr>
          <w:rFonts w:ascii="Arial" w:hAnsi="Arial" w:cs="Arial"/>
          <w:sz w:val="22"/>
          <w:szCs w:val="22"/>
        </w:rPr>
        <w:t xml:space="preserve">  </w:t>
      </w:r>
      <w:r w:rsidR="006D11B0">
        <w:rPr>
          <w:rFonts w:ascii="Arial" w:hAnsi="Arial" w:cs="Arial"/>
          <w:sz w:val="22"/>
          <w:szCs w:val="22"/>
        </w:rPr>
        <w:t>six</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E02098">
        <w:rPr>
          <w:rFonts w:ascii="Arial" w:hAnsi="Arial" w:cs="Arial"/>
          <w:sz w:val="22"/>
          <w:szCs w:val="22"/>
        </w:rPr>
        <w:t>s</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w:t>
      </w:r>
      <w:r w:rsidR="00E02098">
        <w:rPr>
          <w:rFonts w:ascii="Arial" w:hAnsi="Arial" w:cs="Arial"/>
          <w:sz w:val="22"/>
          <w:szCs w:val="22"/>
        </w:rPr>
        <w:t xml:space="preserve"> </w:t>
      </w:r>
      <w:r w:rsidRPr="00314344">
        <w:rPr>
          <w:rFonts w:ascii="Arial" w:hAnsi="Arial" w:cs="Arial"/>
          <w:sz w:val="22"/>
          <w:szCs w:val="22"/>
        </w:rPr>
        <w:t>my review.</w:t>
      </w:r>
    </w:p>
    <w:p w14:paraId="4A98D2A5" w14:textId="77777777" w:rsidR="00001688" w:rsidRPr="00314344" w:rsidRDefault="00001688" w:rsidP="00E02098">
      <w:pPr>
        <w:spacing w:before="120" w:after="12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E02098">
      <w:pPr>
        <w:spacing w:before="120" w:after="12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E02098">
      <w:pPr>
        <w:spacing w:before="120" w:after="12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E02098">
      <w:pPr>
        <w:spacing w:before="120" w:after="12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E02098">
      <w:pPr>
        <w:spacing w:before="120" w:after="120" w:line="380" w:lineRule="exact"/>
        <w:rPr>
          <w:rFonts w:ascii="Arial" w:hAnsi="Arial" w:cs="Arial"/>
          <w:sz w:val="22"/>
          <w:szCs w:val="22"/>
        </w:rPr>
        <w:sectPr w:rsidR="005F186A" w:rsidSect="00E02098">
          <w:footerReference w:type="first" r:id="rId9"/>
          <w:pgSz w:w="11909" w:h="16834" w:code="9"/>
          <w:pgMar w:top="3168" w:right="1080" w:bottom="1080" w:left="1296" w:header="706" w:footer="706" w:gutter="0"/>
          <w:pgNumType w:start="2"/>
          <w:cols w:space="720"/>
          <w:titlePg/>
          <w:docGrid w:linePitch="326"/>
        </w:sectPr>
      </w:pPr>
    </w:p>
    <w:p w14:paraId="2F6C718D" w14:textId="56243084" w:rsidR="005F186A" w:rsidRPr="005E35CC" w:rsidRDefault="005F186A" w:rsidP="00E02098">
      <w:pPr>
        <w:spacing w:before="120" w:after="120" w:line="380" w:lineRule="exact"/>
        <w:rPr>
          <w:rFonts w:ascii="Arial" w:hAnsi="Arial" w:cstheme="minorBidi"/>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w:t>
      </w:r>
    </w:p>
    <w:p w14:paraId="7EBB69B9" w14:textId="77777777" w:rsidR="00775132" w:rsidRPr="00775132" w:rsidRDefault="00775132" w:rsidP="00775132">
      <w:pPr>
        <w:spacing w:before="80" w:after="80" w:line="380" w:lineRule="exact"/>
        <w:rPr>
          <w:rFonts w:ascii="Arial" w:hAnsi="Arial" w:cs="Arial"/>
          <w:color w:val="000000"/>
          <w:sz w:val="22"/>
          <w:szCs w:val="22"/>
        </w:rPr>
      </w:pPr>
      <w:r w:rsidRPr="00775132">
        <w:rPr>
          <w:rFonts w:ascii="Arial" w:hAnsi="Arial" w:cs="Arial"/>
          <w:color w:val="000000"/>
          <w:sz w:val="22"/>
          <w:szCs w:val="22"/>
        </w:rPr>
        <w:t>I draw attention to the following matters.</w:t>
      </w:r>
    </w:p>
    <w:p w14:paraId="57DE34C4" w14:textId="0FFF9A47" w:rsidR="00FE3275" w:rsidRPr="00FE3275" w:rsidRDefault="00775132" w:rsidP="00FE3275">
      <w:pPr>
        <w:spacing w:before="80" w:after="80" w:line="380" w:lineRule="exact"/>
        <w:ind w:left="630" w:hanging="630"/>
        <w:rPr>
          <w:rFonts w:ascii="Arial" w:hAnsi="Arial" w:cs="Arial"/>
          <w:color w:val="000000"/>
          <w:sz w:val="22"/>
          <w:szCs w:val="22"/>
        </w:rPr>
      </w:pPr>
      <w:bookmarkStart w:id="0" w:name="_Hlk79588989"/>
      <w:r w:rsidRPr="00775132">
        <w:rPr>
          <w:rFonts w:ascii="Arial" w:hAnsi="Arial" w:cs="Arial"/>
          <w:color w:val="000000"/>
          <w:sz w:val="22"/>
          <w:szCs w:val="22"/>
        </w:rPr>
        <w:t>a)</w:t>
      </w:r>
      <w:r w:rsidRPr="00775132">
        <w:rPr>
          <w:rFonts w:ascii="Arial" w:hAnsi="Arial" w:cs="Arial"/>
          <w:color w:val="000000"/>
          <w:sz w:val="22"/>
          <w:szCs w:val="22"/>
        </w:rPr>
        <w:tab/>
      </w:r>
      <w:r w:rsidR="007121EF" w:rsidRPr="007121EF">
        <w:rPr>
          <w:rFonts w:ascii="Arial" w:hAnsi="Arial" w:cs="Arial"/>
          <w:color w:val="000000"/>
          <w:sz w:val="22"/>
          <w:szCs w:val="22"/>
        </w:rPr>
        <w:t xml:space="preserve">As discussed in Note 1.2 to the interim consolidated financial statements regarding </w:t>
      </w:r>
      <w:bookmarkStart w:id="1" w:name="_Hlk79597292"/>
      <w:r w:rsidR="007121EF" w:rsidRPr="007121EF">
        <w:rPr>
          <w:rFonts w:ascii="Arial" w:hAnsi="Arial" w:cs="Arial"/>
          <w:color w:val="000000"/>
          <w:sz w:val="22"/>
          <w:szCs w:val="22"/>
        </w:rPr>
        <w:t xml:space="preserve">the Coronavirus disease 2019 pandemic which is currently affecting the Group’s business activities, in July 2021, the Civil Aviation Authority of Thailand announced guidelines for airport operators and airline operators for domestic flight operations, banning domestic passenger flights in and out of dark-red zones of maximum and strict COVID-19 control in order to </w:t>
      </w:r>
      <w:proofErr w:type="spellStart"/>
      <w:r w:rsidR="007121EF" w:rsidRPr="007121EF">
        <w:rPr>
          <w:rFonts w:ascii="Arial" w:hAnsi="Arial" w:cs="Arial"/>
          <w:color w:val="000000"/>
          <w:sz w:val="22"/>
          <w:szCs w:val="22"/>
        </w:rPr>
        <w:t>minimise</w:t>
      </w:r>
      <w:proofErr w:type="spellEnd"/>
      <w:r w:rsidR="007121EF" w:rsidRPr="007121EF">
        <w:rPr>
          <w:rFonts w:ascii="Arial" w:hAnsi="Arial" w:cs="Arial"/>
          <w:color w:val="000000"/>
          <w:sz w:val="22"/>
          <w:szCs w:val="22"/>
        </w:rPr>
        <w:t xml:space="preserve"> or discourage travel into or out of these areas, effective from 21 July 2021 until the situation eased or further notice. These events have directly affected the Group in terms of passenger fares as well as sales and service income, resulting in the Group incurring operating loss and total current liabilities significantly exceeding total current assets. The circumstances are significantly impacting the Group’s financial position, operating results, and cash flows, including compliance with debt covenants under aircraft lease agreements at present, and are expected to do so in the future. In this regard, the Group’s management has continuously monitored ongoing developments and assessed the financial impact in respect of the valuation of assets, </w:t>
      </w:r>
      <w:proofErr w:type="gramStart"/>
      <w:r w:rsidR="007121EF" w:rsidRPr="007121EF">
        <w:rPr>
          <w:rFonts w:ascii="Arial" w:hAnsi="Arial" w:cs="Arial"/>
          <w:color w:val="000000"/>
          <w:sz w:val="22"/>
          <w:szCs w:val="22"/>
        </w:rPr>
        <w:t>provisions</w:t>
      </w:r>
      <w:proofErr w:type="gramEnd"/>
      <w:r w:rsidR="007121EF" w:rsidRPr="007121EF">
        <w:rPr>
          <w:rFonts w:ascii="Arial" w:hAnsi="Arial" w:cs="Arial"/>
          <w:color w:val="000000"/>
          <w:sz w:val="22"/>
          <w:szCs w:val="22"/>
        </w:rPr>
        <w:t xml:space="preserve"> and contingent liabilities, and will record the impact when it is possible to do so</w:t>
      </w:r>
      <w:bookmarkEnd w:id="1"/>
      <w:r w:rsidR="007121EF" w:rsidRPr="007121EF">
        <w:rPr>
          <w:rFonts w:ascii="Arial" w:hAnsi="Arial" w:cs="Arial"/>
          <w:color w:val="000000"/>
          <w:sz w:val="22"/>
          <w:szCs w:val="22"/>
        </w:rPr>
        <w:t>.</w:t>
      </w:r>
    </w:p>
    <w:p w14:paraId="0FEC1918" w14:textId="2191736B" w:rsidR="00FE3275" w:rsidRDefault="00FE3275" w:rsidP="00FE3275">
      <w:pPr>
        <w:spacing w:before="80" w:after="80" w:line="380" w:lineRule="exact"/>
        <w:ind w:left="630" w:hanging="630"/>
        <w:rPr>
          <w:rFonts w:ascii="Arial" w:hAnsi="Arial" w:cs="Arial"/>
          <w:color w:val="000000"/>
          <w:sz w:val="22"/>
          <w:szCs w:val="22"/>
        </w:rPr>
      </w:pPr>
      <w:r w:rsidRPr="00FE3275">
        <w:rPr>
          <w:rFonts w:ascii="Arial" w:hAnsi="Arial" w:cs="Arial"/>
          <w:color w:val="000000"/>
          <w:sz w:val="22"/>
          <w:szCs w:val="22"/>
        </w:rPr>
        <w:tab/>
      </w:r>
      <w:bookmarkStart w:id="2" w:name="_Hlk79597319"/>
      <w:r w:rsidR="007121EF" w:rsidRPr="007121EF">
        <w:rPr>
          <w:rFonts w:ascii="Arial" w:hAnsi="Arial" w:cs="Arial"/>
          <w:color w:val="000000"/>
          <w:sz w:val="22"/>
          <w:szCs w:val="22"/>
        </w:rPr>
        <w:t xml:space="preserve">At present, the Group has liquidity from investments in equity securities of listed companies that are not restricted and are readily convertible,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reduce costs and relevant expenses, which include cancellation of various contracts based on consideration of business reasons and necessity to the business operations, negotiating with the government to reduce expenses, negotiating with financial institutions for financial support and with aircraft lessors for rent reductions for operating assets, in order to manage the liquidity and cash flows of the Group. When also </w:t>
      </w:r>
      <w:proofErr w:type="gramStart"/>
      <w:r w:rsidR="007121EF" w:rsidRPr="007121EF">
        <w:rPr>
          <w:rFonts w:ascii="Arial" w:hAnsi="Arial" w:cs="Arial"/>
          <w:color w:val="000000"/>
          <w:sz w:val="22"/>
          <w:szCs w:val="22"/>
        </w:rPr>
        <w:t>taking into account</w:t>
      </w:r>
      <w:proofErr w:type="gramEnd"/>
      <w:r w:rsidR="007121EF" w:rsidRPr="007121EF">
        <w:rPr>
          <w:rFonts w:ascii="Arial" w:hAnsi="Arial" w:cs="Arial"/>
          <w:color w:val="000000"/>
          <w:sz w:val="22"/>
          <w:szCs w:val="22"/>
        </w:rPr>
        <w:t xml:space="preserve"> the progress of vaccine development and the continuing </w:t>
      </w:r>
      <w:proofErr w:type="spellStart"/>
      <w:r w:rsidR="007121EF" w:rsidRPr="007121EF">
        <w:rPr>
          <w:rFonts w:ascii="Arial" w:hAnsi="Arial" w:cs="Arial"/>
          <w:color w:val="000000"/>
          <w:sz w:val="22"/>
          <w:szCs w:val="22"/>
        </w:rPr>
        <w:t>immunisation</w:t>
      </w:r>
      <w:proofErr w:type="spellEnd"/>
      <w:r w:rsidR="007121EF" w:rsidRPr="007121EF">
        <w:rPr>
          <w:rFonts w:ascii="Arial" w:hAnsi="Arial" w:cs="Arial"/>
          <w:color w:val="000000"/>
          <w:sz w:val="22"/>
          <w:szCs w:val="22"/>
        </w:rPr>
        <w:t xml:space="preserve"> of the global population, the management believe that implementation of these measures will enable the Group to continue as a going concern. The interim financial information has, therefore, been prepared on a going concern basis. However, the success of the implementation of these measures, as well as all financing plans and operating plans to manage liquidity, depends on various material internal and external factors about which there are uncertainties, which may raise doubt about the Group’s ability to continue as a going concern</w:t>
      </w:r>
      <w:bookmarkEnd w:id="2"/>
      <w:r w:rsidRPr="00FE3275">
        <w:rPr>
          <w:rFonts w:ascii="Arial" w:hAnsi="Arial" w:cs="Arial"/>
          <w:color w:val="000000"/>
          <w:sz w:val="22"/>
          <w:szCs w:val="22"/>
        </w:rPr>
        <w:t>.</w:t>
      </w:r>
    </w:p>
    <w:p w14:paraId="3A7FF9B2" w14:textId="6438F9EE" w:rsidR="004A4BDF" w:rsidRDefault="004A4BDF" w:rsidP="00EB3521">
      <w:pPr>
        <w:spacing w:before="80" w:after="80" w:line="380" w:lineRule="exact"/>
        <w:ind w:left="630"/>
        <w:rPr>
          <w:rFonts w:ascii="Arial" w:hAnsi="Arial" w:cs="Arial"/>
          <w:color w:val="000000"/>
          <w:sz w:val="22"/>
          <w:szCs w:val="22"/>
        </w:rPr>
      </w:pPr>
    </w:p>
    <w:p w14:paraId="66D42282" w14:textId="77777777" w:rsidR="007121EF" w:rsidRDefault="00775132" w:rsidP="007121EF">
      <w:pPr>
        <w:spacing w:before="80" w:after="80" w:line="380" w:lineRule="exact"/>
        <w:ind w:left="630" w:hanging="630"/>
        <w:rPr>
          <w:rFonts w:ascii="Arial" w:hAnsi="Arial" w:cs="Arial"/>
          <w:color w:val="000000"/>
          <w:sz w:val="22"/>
          <w:szCs w:val="22"/>
        </w:rPr>
      </w:pPr>
      <w:r w:rsidRPr="00775132">
        <w:rPr>
          <w:rFonts w:ascii="Arial" w:hAnsi="Arial" w:cs="Arial"/>
          <w:color w:val="000000"/>
          <w:sz w:val="22"/>
          <w:szCs w:val="22"/>
        </w:rPr>
        <w:t>b)</w:t>
      </w:r>
      <w:r w:rsidRPr="00775132">
        <w:rPr>
          <w:rFonts w:ascii="Arial" w:hAnsi="Arial" w:cs="Arial"/>
          <w:color w:val="000000"/>
          <w:sz w:val="22"/>
          <w:szCs w:val="22"/>
        </w:rPr>
        <w:tab/>
      </w:r>
      <w:r w:rsidR="007121EF" w:rsidRPr="007121EF">
        <w:rPr>
          <w:rFonts w:ascii="Arial" w:hAnsi="Arial" w:cs="Arial"/>
          <w:color w:val="000000"/>
          <w:sz w:val="22"/>
          <w:szCs w:val="22"/>
        </w:rPr>
        <w:t>As discussed in Note 16 to the interim consolidated financial statements, Long-term lease liabilities from related party, and Note 29.1 to the interim consolidated financial statements, Events after the reporting period - Acceptance of termination of long-term lease and related agreements, on 27 May 2021 Meeting of the Board of Directors of the Company</w:t>
      </w:r>
      <w:r w:rsidR="007121EF">
        <w:rPr>
          <w:rFonts w:ascii="Arial" w:hAnsi="Arial" w:cs="Arial"/>
          <w:color w:val="000000"/>
          <w:sz w:val="22"/>
          <w:szCs w:val="22"/>
        </w:rPr>
        <w:t xml:space="preserve"> </w:t>
      </w:r>
      <w:r w:rsidR="007121EF" w:rsidRPr="007121EF">
        <w:rPr>
          <w:rFonts w:ascii="Arial" w:hAnsi="Arial" w:cs="Arial"/>
          <w:color w:val="000000"/>
          <w:sz w:val="22"/>
          <w:szCs w:val="22"/>
        </w:rPr>
        <w:t xml:space="preserve">No. 3/2021 approved the Company proposing to terminate the long-term lease agreement and related agreements relating to the Samui Airport leasehold made with Samui Airport Property Fund (Leasehold) (“the Fund”), which had a remaining term of approximately 15.5 years, with the Company proposing to pay compensation of Baht 18,050 million for the termination of these agreements. Any action and decision related to acceptance of the proposal are subject to the decisions of the unitholders, whose approval must be given at an Extraordinary General Meeting of Unitholders with </w:t>
      </w:r>
      <w:proofErr w:type="gramStart"/>
      <w:r w:rsidR="007121EF" w:rsidRPr="007121EF">
        <w:rPr>
          <w:rFonts w:ascii="Arial" w:hAnsi="Arial" w:cs="Arial"/>
          <w:color w:val="000000"/>
          <w:sz w:val="22"/>
          <w:szCs w:val="22"/>
        </w:rPr>
        <w:t>a number of</w:t>
      </w:r>
      <w:proofErr w:type="gramEnd"/>
      <w:r w:rsidR="007121EF" w:rsidRPr="007121EF">
        <w:rPr>
          <w:rFonts w:ascii="Arial" w:hAnsi="Arial" w:cs="Arial"/>
          <w:color w:val="000000"/>
          <w:sz w:val="22"/>
          <w:szCs w:val="22"/>
        </w:rPr>
        <w:t xml:space="preserve"> votes not less than that specified in the relevant regulations. Therefore, as at 30 June 2021, the measurement and classification of long-term lease liabilities remained subject to legal enforcement of the original long-term lease agreement and related agreements, because the counterparty’s acceptance and any actions required by the applicable regulatory requirements and rules of the Fund regarding Agreements Termination arising after the reporting period were unenforceable due to a lack of legal validity in several areas.</w:t>
      </w:r>
    </w:p>
    <w:p w14:paraId="0EE592B7" w14:textId="39ECC8E0" w:rsidR="007121EF" w:rsidRPr="007121EF" w:rsidRDefault="007121EF" w:rsidP="007121EF">
      <w:pPr>
        <w:spacing w:before="80" w:after="80" w:line="380" w:lineRule="exact"/>
        <w:ind w:left="630"/>
        <w:rPr>
          <w:rFonts w:ascii="Arial" w:hAnsi="Arial" w:cs="Arial"/>
          <w:color w:val="000000"/>
          <w:sz w:val="22"/>
          <w:szCs w:val="22"/>
        </w:rPr>
      </w:pPr>
      <w:bookmarkStart w:id="3" w:name="_Hlk79597926"/>
      <w:r w:rsidRPr="007121EF">
        <w:rPr>
          <w:rFonts w:ascii="Arial" w:hAnsi="Arial" w:cs="Arial"/>
          <w:color w:val="000000"/>
          <w:sz w:val="22"/>
          <w:szCs w:val="22"/>
        </w:rPr>
        <w:t>Subsequently on 14 July 2021, the Extraordinary General Meeting of Unitholders resolved to approve the termination of the Long Term Lease Agreements, Sublease Agreement Agreements, System Services Agreement and Agreements relating to Samui Airport (“Lease Agreement</w:t>
      </w:r>
      <w:r w:rsidR="006F5EE5">
        <w:rPr>
          <w:rFonts w:ascii="Arial" w:hAnsi="Arial" w:cs="Arial"/>
          <w:color w:val="000000"/>
          <w:sz w:val="22"/>
          <w:szCs w:val="22"/>
        </w:rPr>
        <w:t>s</w:t>
      </w:r>
      <w:r w:rsidRPr="007121EF">
        <w:rPr>
          <w:rFonts w:ascii="Arial" w:hAnsi="Arial" w:cs="Arial"/>
          <w:color w:val="000000"/>
          <w:sz w:val="22"/>
          <w:szCs w:val="22"/>
        </w:rPr>
        <w:t>”), as proposed by the Company, and to dissolve the Fund and delist the investment units from the Stock Exchange of Thailand.</w:t>
      </w:r>
      <w:bookmarkEnd w:id="3"/>
    </w:p>
    <w:p w14:paraId="58D3DDCB" w14:textId="55B9B0AC" w:rsidR="005F186A" w:rsidRDefault="007121EF" w:rsidP="007121EF">
      <w:pPr>
        <w:spacing w:before="80" w:after="80" w:line="380" w:lineRule="exact"/>
        <w:ind w:left="630"/>
        <w:rPr>
          <w:rFonts w:ascii="Arial" w:hAnsi="Arial" w:cs="Arial"/>
          <w:color w:val="000000"/>
          <w:sz w:val="22"/>
          <w:szCs w:val="22"/>
        </w:rPr>
      </w:pPr>
      <w:bookmarkStart w:id="4" w:name="_Hlk79598304"/>
      <w:r w:rsidRPr="007121EF">
        <w:rPr>
          <w:rFonts w:ascii="Arial" w:hAnsi="Arial" w:cs="Arial"/>
          <w:color w:val="000000"/>
          <w:sz w:val="22"/>
          <w:szCs w:val="22"/>
        </w:rPr>
        <w:t xml:space="preserve">Following the vote at the Extraordinary General Meeting of Unitholders of the Fund on </w:t>
      </w:r>
      <w:r>
        <w:rPr>
          <w:rFonts w:ascii="Arial" w:hAnsi="Arial" w:cs="Arial"/>
          <w:color w:val="000000"/>
          <w:sz w:val="22"/>
          <w:szCs w:val="22"/>
        </w:rPr>
        <w:t xml:space="preserve">   </w:t>
      </w:r>
      <w:r w:rsidRPr="007121EF">
        <w:rPr>
          <w:rFonts w:ascii="Arial" w:hAnsi="Arial" w:cs="Arial"/>
          <w:color w:val="000000"/>
          <w:sz w:val="22"/>
          <w:szCs w:val="22"/>
        </w:rPr>
        <w:t xml:space="preserve">14 July 2021 regarding acceptance of the Company’s proposal to terminate the lease agreements, the Company and the Fund entered into the Memorandum on the Termination of the Agreements for Investment and Procurement of Interest for Operation of Samui Airport on 15 July 2021. Subsequently, on 27 July 2021, the Company and the Fund proceeded to register termination of the agreement and take other steps required to render the termination legally enforceable. The Company paid the Fund compensation for Agreements Termination of Baht 18,050 million on the same date, to settle long-term lease liabilities from related party recorded as of payment date (As at 30 June 2021, the lease </w:t>
      </w:r>
      <w:r w:rsidRPr="007121EF">
        <w:rPr>
          <w:rFonts w:ascii="Arial" w:hAnsi="Arial" w:cs="Arial"/>
          <w:color w:val="000000"/>
          <w:sz w:val="22"/>
          <w:szCs w:val="22"/>
        </w:rPr>
        <w:lastRenderedPageBreak/>
        <w:t xml:space="preserve">liabilities balance was Baht 9,854 million which may differ from that as at the payment date). However, since the Company is a unitholder of the Fund, the Company received a capital distribution and dividend of Baht 5,286 million from the Fund on 11 August 2021 </w:t>
      </w:r>
      <w:r>
        <w:rPr>
          <w:rFonts w:ascii="Arial" w:hAnsi="Arial" w:cs="Arial"/>
          <w:color w:val="000000"/>
          <w:sz w:val="22"/>
          <w:szCs w:val="22"/>
        </w:rPr>
        <w:t xml:space="preserve"> </w:t>
      </w:r>
      <w:r w:rsidRPr="007121EF">
        <w:rPr>
          <w:rFonts w:ascii="Arial" w:hAnsi="Arial" w:cs="Arial"/>
          <w:color w:val="000000"/>
          <w:sz w:val="22"/>
          <w:szCs w:val="22"/>
        </w:rPr>
        <w:t xml:space="preserve">(As at 30 June 2021, investment in the Fund recorded by the Company as part of investment in associates was presented in the consolidated and separate financial statements at Baht 2,655 million and Baht 3,479 million, respectively, which may differ from that as at the </w:t>
      </w:r>
      <w:r w:rsidR="00B11E7C">
        <w:rPr>
          <w:rFonts w:ascii="Arial" w:hAnsi="Arial" w:cs="Arial"/>
          <w:color w:val="000000"/>
          <w:sz w:val="22"/>
          <w:szCs w:val="22"/>
        </w:rPr>
        <w:t>receiving</w:t>
      </w:r>
      <w:r w:rsidRPr="007121EF">
        <w:rPr>
          <w:rFonts w:ascii="Arial" w:hAnsi="Arial" w:cs="Arial"/>
          <w:color w:val="000000"/>
          <w:sz w:val="22"/>
          <w:szCs w:val="22"/>
        </w:rPr>
        <w:t xml:space="preserve"> date). Moreover, the Company is entitled to receive an interim dividend from the operating results for the period ended before the date the lease agreement termination was legally enforceable, together with a distribution from capital remaining after the dissolution and liquidation of the Fund (if any). The net effect of the Agreements Termination is to be recorded in the consolidated and separate financial information of the third quarter of 2021</w:t>
      </w:r>
      <w:bookmarkEnd w:id="4"/>
      <w:r w:rsidR="00775132" w:rsidRPr="00775132">
        <w:rPr>
          <w:rFonts w:ascii="Arial" w:hAnsi="Arial" w:cs="Arial"/>
          <w:color w:val="000000"/>
          <w:sz w:val="22"/>
          <w:szCs w:val="22"/>
        </w:rPr>
        <w:t>.</w:t>
      </w:r>
    </w:p>
    <w:bookmarkEnd w:id="0"/>
    <w:p w14:paraId="6F48FB72" w14:textId="42305924" w:rsidR="00EB3521" w:rsidRPr="00EB3521" w:rsidRDefault="00EB3521" w:rsidP="00EB3521">
      <w:pPr>
        <w:pStyle w:val="ps-000-normal"/>
        <w:spacing w:line="380" w:lineRule="exact"/>
        <w:rPr>
          <w:rFonts w:ascii="Arial" w:hAnsi="Arial" w:cstheme="minorBidi"/>
          <w:i/>
          <w:iCs/>
          <w:sz w:val="22"/>
          <w:szCs w:val="22"/>
        </w:rPr>
      </w:pPr>
      <w:r w:rsidRPr="005F186A">
        <w:rPr>
          <w:rFonts w:ascii="Arial" w:hAnsi="Arial" w:cs="Arial"/>
          <w:sz w:val="22"/>
          <w:szCs w:val="22"/>
        </w:rPr>
        <w:t xml:space="preserve">My conclusion is not </w:t>
      </w:r>
      <w:r>
        <w:rPr>
          <w:rFonts w:ascii="Arial" w:hAnsi="Arial" w:cs="Arial"/>
          <w:sz w:val="22"/>
          <w:szCs w:val="22"/>
        </w:rPr>
        <w:t>modified in respect of th</w:t>
      </w:r>
      <w:r w:rsidR="00A5252B">
        <w:rPr>
          <w:rFonts w:ascii="Arial" w:hAnsi="Arial" w:cs="Arial"/>
          <w:sz w:val="22"/>
          <w:szCs w:val="22"/>
        </w:rPr>
        <w:t>e</w:t>
      </w:r>
      <w:r>
        <w:rPr>
          <w:rFonts w:ascii="Arial" w:hAnsi="Arial" w:cs="Arial"/>
          <w:sz w:val="22"/>
          <w:szCs w:val="22"/>
        </w:rPr>
        <w:t>s</w:t>
      </w:r>
      <w:r w:rsidR="00A5252B">
        <w:rPr>
          <w:rFonts w:ascii="Arial" w:hAnsi="Arial" w:cs="Arial"/>
          <w:sz w:val="22"/>
          <w:szCs w:val="22"/>
        </w:rPr>
        <w:t>e</w:t>
      </w:r>
      <w:r>
        <w:rPr>
          <w:rFonts w:ascii="Arial" w:hAnsi="Arial" w:cs="Arial"/>
          <w:sz w:val="22"/>
          <w:szCs w:val="22"/>
        </w:rPr>
        <w:t xml:space="preserve"> matter</w:t>
      </w:r>
      <w:r w:rsidR="00A5252B">
        <w:rPr>
          <w:rFonts w:ascii="Arial" w:hAnsi="Arial" w:cs="Arial"/>
          <w:sz w:val="22"/>
          <w:szCs w:val="22"/>
        </w:rPr>
        <w:t>s</w:t>
      </w:r>
      <w:r>
        <w:rPr>
          <w:rFonts w:ascii="Arial" w:hAnsi="Arial" w:cs="Arial"/>
          <w:sz w:val="22"/>
          <w:szCs w:val="22"/>
        </w:rPr>
        <w:t>.</w:t>
      </w:r>
    </w:p>
    <w:p w14:paraId="0E63589F" w14:textId="77777777" w:rsidR="00001688" w:rsidRPr="00314344" w:rsidRDefault="00900EB7" w:rsidP="00CC625F">
      <w:pPr>
        <w:tabs>
          <w:tab w:val="left" w:pos="720"/>
          <w:tab w:val="center" w:pos="6300"/>
        </w:tabs>
        <w:spacing w:before="14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6D11B0">
      <w:pPr>
        <w:tabs>
          <w:tab w:val="left" w:pos="720"/>
          <w:tab w:val="center" w:pos="6300"/>
        </w:tabs>
        <w:spacing w:after="24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34CA775F"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E02098">
        <w:rPr>
          <w:rFonts w:ascii="Arial" w:hAnsi="Arial" w:cs="Arial"/>
          <w:spacing w:val="-3"/>
          <w:sz w:val="22"/>
          <w:szCs w:val="22"/>
        </w:rPr>
        <w:t>13</w:t>
      </w:r>
      <w:r w:rsidR="006D11B0">
        <w:rPr>
          <w:rFonts w:ascii="Arial" w:hAnsi="Arial" w:cs="Arial"/>
          <w:spacing w:val="-3"/>
          <w:sz w:val="22"/>
          <w:szCs w:val="22"/>
        </w:rPr>
        <w:t xml:space="preserve"> August</w:t>
      </w:r>
      <w:r w:rsidR="00B1759C">
        <w:rPr>
          <w:rFonts w:ascii="Arial" w:hAnsi="Arial" w:cs="Arial"/>
          <w:spacing w:val="-3"/>
          <w:sz w:val="22"/>
          <w:szCs w:val="22"/>
        </w:rPr>
        <w:t xml:space="preserve"> </w:t>
      </w:r>
      <w:r w:rsidR="00301B26">
        <w:rPr>
          <w:rFonts w:ascii="Arial" w:hAnsi="Arial" w:cs="Arial"/>
          <w:spacing w:val="-3"/>
          <w:sz w:val="22"/>
          <w:szCs w:val="22"/>
        </w:rPr>
        <w:t>202</w:t>
      </w:r>
      <w:r w:rsidR="001F62C9">
        <w:rPr>
          <w:rFonts w:ascii="Arial" w:hAnsi="Arial" w:cs="Arial"/>
          <w:spacing w:val="-3"/>
          <w:sz w:val="22"/>
          <w:szCs w:val="22"/>
        </w:rPr>
        <w:t>1</w:t>
      </w:r>
    </w:p>
    <w:sectPr w:rsidR="00900CA2" w:rsidSect="00E02098">
      <w:footerReference w:type="defaul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41189" w14:textId="77777777" w:rsidR="00BA6553" w:rsidRDefault="00BA6553" w:rsidP="0077481E">
      <w:r>
        <w:separator/>
      </w:r>
    </w:p>
  </w:endnote>
  <w:endnote w:type="continuationSeparator" w:id="0">
    <w:p w14:paraId="783FCD75" w14:textId="77777777" w:rsidR="00BA6553" w:rsidRDefault="00BA655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83C27" w14:textId="0FCEBEE0" w:rsidR="00F7397E" w:rsidRPr="00F7397E" w:rsidRDefault="00B11E7C"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BEE58" w14:textId="77777777" w:rsidR="00F7397E" w:rsidRPr="00F7397E" w:rsidRDefault="00B11E7C"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F7397E" w:rsidRPr="00F7397E">
          <w:rPr>
            <w:rFonts w:ascii="Arial" w:hAnsi="Arial" w:cs="Arial"/>
            <w:sz w:val="22"/>
            <w:szCs w:val="22"/>
          </w:rPr>
          <w:t>2</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Pr="00F7397E">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E66D9" w14:textId="77777777" w:rsidR="00BA6553" w:rsidRDefault="00BA6553" w:rsidP="0077481E">
      <w:r>
        <w:separator/>
      </w:r>
    </w:p>
  </w:footnote>
  <w:footnote w:type="continuationSeparator" w:id="0">
    <w:p w14:paraId="14A68EEA" w14:textId="77777777" w:rsidR="00BA6553" w:rsidRDefault="00BA6553"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2AA6"/>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C7AD4"/>
    <w:rsid w:val="001D27BA"/>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2C9"/>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603"/>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61A2"/>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4FC4"/>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0909"/>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7F9"/>
    <w:rsid w:val="00492AFE"/>
    <w:rsid w:val="00493F31"/>
    <w:rsid w:val="00494A32"/>
    <w:rsid w:val="00494F1F"/>
    <w:rsid w:val="00495037"/>
    <w:rsid w:val="004970BE"/>
    <w:rsid w:val="00497260"/>
    <w:rsid w:val="00497AFA"/>
    <w:rsid w:val="00497C84"/>
    <w:rsid w:val="004A2E9E"/>
    <w:rsid w:val="004A3218"/>
    <w:rsid w:val="004A3D7B"/>
    <w:rsid w:val="004A3EF9"/>
    <w:rsid w:val="004A4BDF"/>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330C"/>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194"/>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4D8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5CC"/>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47E7"/>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11B0"/>
    <w:rsid w:val="006D2FEE"/>
    <w:rsid w:val="006D4289"/>
    <w:rsid w:val="006D598E"/>
    <w:rsid w:val="006D5FAC"/>
    <w:rsid w:val="006D628A"/>
    <w:rsid w:val="006D7055"/>
    <w:rsid w:val="006D750B"/>
    <w:rsid w:val="006E15EE"/>
    <w:rsid w:val="006E3D90"/>
    <w:rsid w:val="006E4453"/>
    <w:rsid w:val="006E452F"/>
    <w:rsid w:val="006E4D7E"/>
    <w:rsid w:val="006E559B"/>
    <w:rsid w:val="006E57E5"/>
    <w:rsid w:val="006E68BA"/>
    <w:rsid w:val="006F04B3"/>
    <w:rsid w:val="006F0F0B"/>
    <w:rsid w:val="006F12E4"/>
    <w:rsid w:val="006F14C4"/>
    <w:rsid w:val="006F1506"/>
    <w:rsid w:val="006F36C0"/>
    <w:rsid w:val="006F3908"/>
    <w:rsid w:val="006F5389"/>
    <w:rsid w:val="006F5406"/>
    <w:rsid w:val="006F5A37"/>
    <w:rsid w:val="006F5AAD"/>
    <w:rsid w:val="006F5B50"/>
    <w:rsid w:val="006F5EE5"/>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1EF"/>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26DF4"/>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132"/>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03C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B03"/>
    <w:rsid w:val="008741F8"/>
    <w:rsid w:val="008753AC"/>
    <w:rsid w:val="00875AD2"/>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6CC0"/>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4E74"/>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31B"/>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252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941"/>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7C"/>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3E0"/>
    <w:rsid w:val="00B95F79"/>
    <w:rsid w:val="00B962C8"/>
    <w:rsid w:val="00B965B9"/>
    <w:rsid w:val="00B96769"/>
    <w:rsid w:val="00BA0086"/>
    <w:rsid w:val="00BA0C13"/>
    <w:rsid w:val="00BA0C63"/>
    <w:rsid w:val="00BA1390"/>
    <w:rsid w:val="00BA27C0"/>
    <w:rsid w:val="00BA5CEB"/>
    <w:rsid w:val="00BA6553"/>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1A86"/>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3C02"/>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6EE"/>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5F92"/>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098"/>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BDD"/>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3521"/>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2354"/>
    <w:rsid w:val="00F034F8"/>
    <w:rsid w:val="00F0439E"/>
    <w:rsid w:val="00F05643"/>
    <w:rsid w:val="00F07120"/>
    <w:rsid w:val="00F07914"/>
    <w:rsid w:val="00F07CC8"/>
    <w:rsid w:val="00F11FAF"/>
    <w:rsid w:val="00F13AE6"/>
    <w:rsid w:val="00F14666"/>
    <w:rsid w:val="00F15FD1"/>
    <w:rsid w:val="00F164B1"/>
    <w:rsid w:val="00F1786A"/>
    <w:rsid w:val="00F179FE"/>
    <w:rsid w:val="00F17E2E"/>
    <w:rsid w:val="00F2122E"/>
    <w:rsid w:val="00F21C51"/>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717"/>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3275"/>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1B35-FE40-4C71-B6FB-C997E94B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31</TotalTime>
  <Pages>5</Pages>
  <Words>1334</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3</cp:revision>
  <cp:lastPrinted>2021-06-15T09:07:00Z</cp:lastPrinted>
  <dcterms:created xsi:type="dcterms:W3CDTF">2021-08-11T05:28:00Z</dcterms:created>
  <dcterms:modified xsi:type="dcterms:W3CDTF">2021-08-12T12:40:00Z</dcterms:modified>
</cp:coreProperties>
</file>