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58" w:type="dxa"/>
        <w:tblLook w:val="01E0" w:firstRow="1" w:lastRow="1" w:firstColumn="1" w:lastColumn="1" w:noHBand="0" w:noVBand="0"/>
      </w:tblPr>
      <w:tblGrid>
        <w:gridCol w:w="2268"/>
        <w:gridCol w:w="7290"/>
      </w:tblGrid>
      <w:tr w:rsidR="0090086A" w14:paraId="2221224F" w14:textId="77777777" w:rsidTr="00DE3B5E">
        <w:trPr>
          <w:trHeight w:val="2865"/>
        </w:trPr>
        <w:tc>
          <w:tcPr>
            <w:tcW w:w="2268" w:type="dxa"/>
          </w:tcPr>
          <w:p w14:paraId="7E78E6DF" w14:textId="77777777" w:rsidR="0090086A" w:rsidRPr="00E42D18" w:rsidRDefault="0090086A" w:rsidP="00E80211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90" w:type="dxa"/>
            <w:vAlign w:val="center"/>
          </w:tcPr>
          <w:p w14:paraId="7F3E044D" w14:textId="77777777" w:rsidR="00D70924" w:rsidRPr="00095948" w:rsidRDefault="00D70924" w:rsidP="00D70924">
            <w:pPr>
              <w:spacing w:line="380" w:lineRule="exact"/>
              <w:ind w:left="14"/>
              <w:rPr>
                <w:rFonts w:ascii="Arial" w:hAnsi="Arial" w:cs="Arial"/>
                <w:color w:val="7F7E82"/>
                <w:sz w:val="22"/>
                <w:szCs w:val="22"/>
              </w:rPr>
            </w:pPr>
            <w:r w:rsidRPr="00095948">
              <w:rPr>
                <w:rFonts w:ascii="Arial" w:hAnsi="Arial" w:cs="Arial"/>
                <w:color w:val="7F7E82"/>
                <w:sz w:val="22"/>
                <w:szCs w:val="22"/>
              </w:rPr>
              <w:t>Total Access Communication Public Company Limited</w:t>
            </w:r>
          </w:p>
          <w:p w14:paraId="0937F197" w14:textId="77777777" w:rsidR="00D70924" w:rsidRPr="00095948" w:rsidRDefault="005A64C4" w:rsidP="00D70924">
            <w:pPr>
              <w:spacing w:line="380" w:lineRule="exact"/>
              <w:ind w:left="14"/>
              <w:rPr>
                <w:rFonts w:ascii="Arial" w:hAnsi="Arial" w:cs="Arial"/>
                <w:color w:val="7F7E82"/>
                <w:sz w:val="22"/>
                <w:szCs w:val="22"/>
              </w:rPr>
            </w:pPr>
            <w:r w:rsidRPr="00095948">
              <w:rPr>
                <w:rFonts w:ascii="Arial" w:hAnsi="Arial" w:cs="Arial"/>
                <w:color w:val="7F7E82"/>
                <w:sz w:val="22"/>
                <w:szCs w:val="22"/>
                <w:cs/>
              </w:rPr>
              <w:t xml:space="preserve">     </w:t>
            </w:r>
            <w:r w:rsidR="00D70924" w:rsidRPr="00095948">
              <w:rPr>
                <w:rFonts w:ascii="Arial" w:hAnsi="Arial" w:cs="Arial"/>
                <w:color w:val="7F7E82"/>
                <w:sz w:val="22"/>
                <w:szCs w:val="22"/>
              </w:rPr>
              <w:t>and its subsidiaries</w:t>
            </w:r>
          </w:p>
          <w:p w14:paraId="423BEBD2" w14:textId="77777777" w:rsidR="00D70924" w:rsidRPr="00095948" w:rsidRDefault="00D70924" w:rsidP="00D70924">
            <w:pPr>
              <w:spacing w:line="380" w:lineRule="exact"/>
              <w:ind w:left="14"/>
              <w:rPr>
                <w:rFonts w:ascii="Arial" w:hAnsi="Arial" w:cs="Arial"/>
                <w:color w:val="7F7E82"/>
                <w:sz w:val="22"/>
                <w:szCs w:val="22"/>
              </w:rPr>
            </w:pPr>
            <w:r w:rsidRPr="00095948">
              <w:rPr>
                <w:rFonts w:ascii="Arial" w:hAnsi="Arial" w:cs="Arial"/>
                <w:color w:val="7F7E82"/>
                <w:sz w:val="22"/>
                <w:szCs w:val="22"/>
              </w:rPr>
              <w:t xml:space="preserve">Review report and interim financial </w:t>
            </w:r>
            <w:r w:rsidR="009729F4" w:rsidRPr="00095948">
              <w:rPr>
                <w:rFonts w:ascii="Arial" w:hAnsi="Arial" w:cs="Arial"/>
                <w:color w:val="7F7E82"/>
                <w:sz w:val="22"/>
                <w:szCs w:val="22"/>
              </w:rPr>
              <w:t>information</w:t>
            </w:r>
          </w:p>
          <w:p w14:paraId="0FD2B973" w14:textId="618E1EB3" w:rsidR="0090086A" w:rsidRPr="002D0F12" w:rsidRDefault="00D70924" w:rsidP="00AD04DE">
            <w:pPr>
              <w:spacing w:line="380" w:lineRule="exact"/>
              <w:ind w:left="14"/>
              <w:rPr>
                <w:rFonts w:cs="Times New Roman"/>
                <w:color w:val="7F7E82"/>
                <w:sz w:val="27"/>
                <w:szCs w:val="27"/>
              </w:rPr>
            </w:pPr>
            <w:r w:rsidRPr="00095948">
              <w:rPr>
                <w:rFonts w:ascii="Arial" w:hAnsi="Arial" w:cs="Arial"/>
                <w:color w:val="7F7E82"/>
                <w:sz w:val="22"/>
                <w:szCs w:val="22"/>
              </w:rPr>
              <w:t xml:space="preserve">For the </w:t>
            </w:r>
            <w:r w:rsidR="002A29B6" w:rsidRPr="00095948">
              <w:rPr>
                <w:rFonts w:ascii="Arial" w:hAnsi="Arial" w:cs="Arial"/>
                <w:color w:val="7F7E82"/>
                <w:sz w:val="22"/>
                <w:szCs w:val="22"/>
              </w:rPr>
              <w:t>three</w:t>
            </w:r>
            <w:r w:rsidR="00AD04DE" w:rsidRPr="00095948">
              <w:rPr>
                <w:rFonts w:ascii="Arial" w:hAnsi="Arial" w:cs="Arial"/>
                <w:color w:val="7F7E82"/>
                <w:sz w:val="22"/>
                <w:szCs w:val="22"/>
              </w:rPr>
              <w:t xml:space="preserve">-month </w:t>
            </w:r>
            <w:r w:rsidR="00B77454" w:rsidRPr="00095948">
              <w:rPr>
                <w:rFonts w:ascii="Arial" w:hAnsi="Arial" w:cs="Arial"/>
                <w:color w:val="7F7E82"/>
                <w:sz w:val="22"/>
                <w:szCs w:val="22"/>
              </w:rPr>
              <w:t xml:space="preserve">and </w:t>
            </w:r>
            <w:r w:rsidR="00095948" w:rsidRPr="00095948">
              <w:rPr>
                <w:rFonts w:ascii="Arial" w:hAnsi="Arial" w:cs="Arial"/>
                <w:color w:val="7F7E82"/>
                <w:sz w:val="22"/>
                <w:szCs w:val="22"/>
              </w:rPr>
              <w:t>nine</w:t>
            </w:r>
            <w:r w:rsidR="00B77454" w:rsidRPr="00095948">
              <w:rPr>
                <w:rFonts w:ascii="Arial" w:hAnsi="Arial" w:cs="Arial"/>
                <w:color w:val="7F7E82"/>
                <w:sz w:val="22"/>
                <w:szCs w:val="22"/>
              </w:rPr>
              <w:t xml:space="preserve">-month </w:t>
            </w:r>
            <w:r w:rsidR="00AD04DE" w:rsidRPr="00095948">
              <w:rPr>
                <w:rFonts w:ascii="Arial" w:hAnsi="Arial" w:cs="Arial"/>
                <w:color w:val="7F7E82"/>
                <w:sz w:val="22"/>
                <w:szCs w:val="22"/>
              </w:rPr>
              <w:t>period</w:t>
            </w:r>
            <w:r w:rsidR="00B77454" w:rsidRPr="00095948">
              <w:rPr>
                <w:rFonts w:ascii="Arial" w:hAnsi="Arial" w:cs="Arial"/>
                <w:color w:val="7F7E82"/>
                <w:sz w:val="22"/>
                <w:szCs w:val="22"/>
              </w:rPr>
              <w:t>s</w:t>
            </w:r>
            <w:r w:rsidRPr="00095948">
              <w:rPr>
                <w:rFonts w:ascii="Arial" w:hAnsi="Arial" w:cs="Arial"/>
                <w:color w:val="7F7E82"/>
                <w:sz w:val="22"/>
                <w:szCs w:val="22"/>
              </w:rPr>
              <w:t xml:space="preserve"> ended </w:t>
            </w:r>
            <w:r w:rsidR="002A29B6" w:rsidRPr="00095948">
              <w:rPr>
                <w:rFonts w:ascii="Arial" w:hAnsi="Arial" w:cs="Arial"/>
                <w:color w:val="7F7E82"/>
                <w:sz w:val="22"/>
                <w:szCs w:val="22"/>
              </w:rPr>
              <w:t>3</w:t>
            </w:r>
            <w:r w:rsidR="00B77454" w:rsidRPr="00095948">
              <w:rPr>
                <w:rFonts w:ascii="Arial" w:hAnsi="Arial" w:cs="Arial"/>
                <w:color w:val="7F7E82"/>
                <w:sz w:val="22"/>
                <w:szCs w:val="22"/>
              </w:rPr>
              <w:t>0</w:t>
            </w:r>
            <w:r w:rsidR="002A29B6" w:rsidRPr="00095948">
              <w:rPr>
                <w:rFonts w:ascii="Arial" w:hAnsi="Arial" w:cs="Arial"/>
                <w:color w:val="7F7E82"/>
                <w:sz w:val="22"/>
                <w:szCs w:val="22"/>
              </w:rPr>
              <w:t xml:space="preserve"> </w:t>
            </w:r>
            <w:r w:rsidR="00095948" w:rsidRPr="00095948">
              <w:rPr>
                <w:rFonts w:ascii="Arial" w:hAnsi="Arial" w:cs="Arial"/>
                <w:color w:val="7F7E82"/>
                <w:sz w:val="22"/>
                <w:szCs w:val="22"/>
              </w:rPr>
              <w:t>September</w:t>
            </w:r>
            <w:r w:rsidR="002A29B6" w:rsidRPr="00095948">
              <w:rPr>
                <w:rFonts w:ascii="Arial" w:hAnsi="Arial" w:cs="Arial"/>
                <w:color w:val="7F7E82"/>
                <w:sz w:val="22"/>
                <w:szCs w:val="22"/>
              </w:rPr>
              <w:t xml:space="preserve"> </w:t>
            </w:r>
            <w:r w:rsidR="004C6E99" w:rsidRPr="00095948">
              <w:rPr>
                <w:rFonts w:ascii="Arial" w:hAnsi="Arial" w:cs="Arial"/>
                <w:color w:val="7F7E82"/>
                <w:sz w:val="22"/>
                <w:szCs w:val="22"/>
              </w:rPr>
              <w:t>202</w:t>
            </w:r>
            <w:r w:rsidR="00460AC2" w:rsidRPr="00095948">
              <w:rPr>
                <w:rFonts w:ascii="Arial" w:hAnsi="Arial" w:cs="Arial"/>
                <w:color w:val="7F7E82"/>
                <w:sz w:val="22"/>
                <w:szCs w:val="22"/>
              </w:rPr>
              <w:t>1</w:t>
            </w:r>
          </w:p>
        </w:tc>
      </w:tr>
    </w:tbl>
    <w:p w14:paraId="6C2DE6A5" w14:textId="77777777" w:rsidR="0090086A" w:rsidRDefault="0090086A" w:rsidP="0090086A">
      <w:pPr>
        <w:sectPr w:rsidR="0090086A" w:rsidSect="00DE3B5E">
          <w:footerReference w:type="default" r:id="rId10"/>
          <w:footerReference w:type="first" r:id="rId11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37F63FC1" w14:textId="77777777" w:rsidR="002D0F12" w:rsidRPr="00525FAC" w:rsidRDefault="002D0F12" w:rsidP="002D0F12">
      <w:pPr>
        <w:spacing w:line="380" w:lineRule="exact"/>
        <w:ind w:right="-43"/>
        <w:jc w:val="both"/>
        <w:rPr>
          <w:rFonts w:ascii="Arial" w:eastAsia="Arial Unicode MS" w:hAnsi="Arial" w:cs="Arial Unicode MS"/>
          <w:b/>
          <w:sz w:val="22"/>
          <w:szCs w:val="22"/>
        </w:rPr>
      </w:pPr>
      <w:r w:rsidRPr="00525FAC">
        <w:rPr>
          <w:rFonts w:ascii="Arial" w:eastAsia="Arial Unicode MS" w:hAnsi="Arial" w:cs="Arial Unicode MS"/>
          <w:b/>
          <w:sz w:val="22"/>
          <w:szCs w:val="22"/>
        </w:rPr>
        <w:lastRenderedPageBreak/>
        <w:t>Independent Auditor</w:t>
      </w:r>
      <w:r>
        <w:rPr>
          <w:rFonts w:ascii="Arial" w:eastAsia="Arial Unicode MS" w:hAnsi="Arial" w:cs="Arial Unicode MS"/>
          <w:b/>
          <w:sz w:val="22"/>
          <w:szCs w:val="22"/>
        </w:rPr>
        <w:t>'s Report on Review of Interim Financial Information</w:t>
      </w:r>
    </w:p>
    <w:p w14:paraId="7CF893AB" w14:textId="77777777" w:rsidR="0090086A" w:rsidRPr="00525FAC" w:rsidRDefault="0090086A" w:rsidP="0090086A">
      <w:pPr>
        <w:tabs>
          <w:tab w:val="left" w:pos="2595"/>
        </w:tabs>
        <w:spacing w:line="380" w:lineRule="exact"/>
        <w:ind w:right="-43"/>
        <w:jc w:val="both"/>
        <w:rPr>
          <w:rFonts w:ascii="Arial" w:eastAsia="Arial Unicode MS" w:hAnsi="Arial" w:cs="Arial Unicode MS"/>
          <w:sz w:val="22"/>
          <w:szCs w:val="22"/>
        </w:rPr>
      </w:pPr>
      <w:r w:rsidRPr="00525FAC">
        <w:rPr>
          <w:rFonts w:ascii="Arial" w:eastAsia="Arial Unicode MS" w:hAnsi="Arial" w:cs="Arial Unicode MS"/>
          <w:sz w:val="22"/>
          <w:szCs w:val="22"/>
        </w:rPr>
        <w:t xml:space="preserve">To the </w:t>
      </w:r>
      <w:r>
        <w:rPr>
          <w:rFonts w:ascii="Arial" w:eastAsia="Arial Unicode MS" w:hAnsi="Arial" w:cs="Arial Unicode MS"/>
          <w:sz w:val="22"/>
          <w:szCs w:val="22"/>
        </w:rPr>
        <w:t>S</w:t>
      </w:r>
      <w:r w:rsidRPr="00525FAC">
        <w:rPr>
          <w:rFonts w:ascii="Arial" w:eastAsia="Arial Unicode MS" w:hAnsi="Arial" w:cs="Arial Unicode MS"/>
          <w:sz w:val="22"/>
          <w:szCs w:val="22"/>
        </w:rPr>
        <w:t>hareholders of Total Access Communication Public Company Limited</w:t>
      </w:r>
    </w:p>
    <w:p w14:paraId="67460F0A" w14:textId="419DD6CA" w:rsidR="002D0F12" w:rsidRPr="00525FAC" w:rsidRDefault="002D0F12" w:rsidP="002D0F12">
      <w:pPr>
        <w:pStyle w:val="BodyText"/>
        <w:spacing w:before="240" w:after="240" w:line="380" w:lineRule="exact"/>
        <w:ind w:right="-43"/>
        <w:rPr>
          <w:rFonts w:ascii="Arial" w:eastAsia="Arial Unicode MS" w:hAnsi="Arial" w:cs="Arial Unicode MS"/>
          <w:sz w:val="22"/>
          <w:szCs w:val="22"/>
        </w:rPr>
      </w:pPr>
      <w:r w:rsidRPr="009F3AE0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r w:rsidRPr="009F3AE0">
        <w:rPr>
          <w:rFonts w:ascii="Arial" w:eastAsia="Arial Unicode MS" w:hAnsi="Arial" w:cs="Arial Unicode MS"/>
          <w:sz w:val="22"/>
          <w:szCs w:val="22"/>
        </w:rPr>
        <w:t>Total Access Communication</w:t>
      </w:r>
      <w:r w:rsidRPr="009F3AE0">
        <w:rPr>
          <w:rFonts w:ascii="Arial" w:hAnsi="Arial" w:cs="Arial"/>
          <w:sz w:val="22"/>
          <w:szCs w:val="22"/>
        </w:rPr>
        <w:t xml:space="preserve"> Public Company Limited and its subsidiaries as at </w:t>
      </w:r>
      <w:r w:rsidR="002A29B6">
        <w:rPr>
          <w:rFonts w:ascii="Arial" w:hAnsi="Arial" w:cs="Arial"/>
          <w:sz w:val="22"/>
          <w:szCs w:val="22"/>
        </w:rPr>
        <w:t>3</w:t>
      </w:r>
      <w:r w:rsidR="00B77454">
        <w:rPr>
          <w:rFonts w:ascii="Arial" w:hAnsi="Arial" w:cs="Arial"/>
          <w:sz w:val="22"/>
          <w:szCs w:val="22"/>
        </w:rPr>
        <w:t>0</w:t>
      </w:r>
      <w:r w:rsidR="002A29B6">
        <w:rPr>
          <w:rFonts w:ascii="Arial" w:hAnsi="Arial" w:cs="Arial"/>
          <w:sz w:val="22"/>
          <w:szCs w:val="22"/>
        </w:rPr>
        <w:t xml:space="preserve"> </w:t>
      </w:r>
      <w:r w:rsidR="00095948">
        <w:rPr>
          <w:rFonts w:ascii="Arial" w:hAnsi="Arial" w:cs="Arial"/>
          <w:sz w:val="22"/>
          <w:szCs w:val="22"/>
        </w:rPr>
        <w:t>September</w:t>
      </w:r>
      <w:r w:rsidR="002A29B6">
        <w:rPr>
          <w:rFonts w:ascii="Arial" w:hAnsi="Arial" w:cs="Arial"/>
          <w:sz w:val="22"/>
          <w:szCs w:val="22"/>
        </w:rPr>
        <w:t xml:space="preserve"> </w:t>
      </w:r>
      <w:r w:rsidR="004C6E99">
        <w:rPr>
          <w:rFonts w:ascii="Arial" w:hAnsi="Arial" w:cs="Arial"/>
          <w:sz w:val="22"/>
          <w:szCs w:val="22"/>
        </w:rPr>
        <w:t>202</w:t>
      </w:r>
      <w:r w:rsidR="00460AC2">
        <w:rPr>
          <w:rFonts w:ascii="Arial" w:hAnsi="Arial" w:cs="Arial"/>
          <w:sz w:val="22"/>
          <w:szCs w:val="22"/>
        </w:rPr>
        <w:t>1</w:t>
      </w:r>
      <w:r w:rsidRPr="009F3AE0">
        <w:rPr>
          <w:rFonts w:ascii="Arial" w:hAnsi="Arial" w:cs="Cordia New"/>
          <w:sz w:val="22"/>
          <w:szCs w:val="22"/>
        </w:rPr>
        <w:t>,</w:t>
      </w:r>
      <w:r w:rsidR="002E1E06">
        <w:rPr>
          <w:rFonts w:ascii="Arial" w:hAnsi="Arial" w:cs="Cordia New"/>
          <w:sz w:val="22"/>
          <w:szCs w:val="22"/>
        </w:rPr>
        <w:t xml:space="preserve"> </w:t>
      </w:r>
      <w:r w:rsidRPr="009F3AE0">
        <w:rPr>
          <w:rFonts w:ascii="Arial" w:hAnsi="Arial" w:cs="Arial"/>
          <w:sz w:val="22"/>
          <w:szCs w:val="22"/>
        </w:rPr>
        <w:t>the related con</w:t>
      </w:r>
      <w:r>
        <w:rPr>
          <w:rFonts w:ascii="Arial" w:hAnsi="Arial" w:cs="Arial"/>
          <w:sz w:val="22"/>
          <w:szCs w:val="22"/>
        </w:rPr>
        <w:t xml:space="preserve">solidated </w:t>
      </w:r>
      <w:r w:rsidR="008125E1">
        <w:rPr>
          <w:rFonts w:ascii="Arial" w:hAnsi="Arial" w:cs="Browallia New"/>
          <w:sz w:val="22"/>
          <w:szCs w:val="28"/>
        </w:rPr>
        <w:t>statements of income</w:t>
      </w:r>
      <w:r w:rsidR="00B77454">
        <w:rPr>
          <w:rFonts w:ascii="Arial" w:hAnsi="Arial" w:cs="Browallia New"/>
          <w:sz w:val="22"/>
          <w:szCs w:val="28"/>
        </w:rPr>
        <w:t xml:space="preserve"> and</w:t>
      </w:r>
      <w:r w:rsidR="008125E1">
        <w:rPr>
          <w:rFonts w:ascii="Arial" w:hAnsi="Arial" w:cs="Browallia New"/>
          <w:sz w:val="22"/>
          <w:szCs w:val="28"/>
        </w:rPr>
        <w:t xml:space="preserve"> </w:t>
      </w:r>
      <w:r>
        <w:rPr>
          <w:rFonts w:ascii="Arial" w:hAnsi="Arial" w:cs="Arial"/>
          <w:sz w:val="22"/>
          <w:szCs w:val="22"/>
        </w:rPr>
        <w:t>comprehensive income</w:t>
      </w:r>
      <w:r w:rsidR="00B77454">
        <w:rPr>
          <w:rFonts w:ascii="Arial" w:hAnsi="Arial" w:cs="Arial"/>
          <w:sz w:val="22"/>
          <w:szCs w:val="22"/>
        </w:rPr>
        <w:t xml:space="preserve"> for the three-month and </w:t>
      </w:r>
      <w:r w:rsidR="00095948">
        <w:rPr>
          <w:rFonts w:ascii="Arial" w:hAnsi="Arial" w:cs="Arial"/>
          <w:sz w:val="22"/>
          <w:szCs w:val="22"/>
        </w:rPr>
        <w:t>nine</w:t>
      </w:r>
      <w:r w:rsidR="00B77454">
        <w:rPr>
          <w:rFonts w:ascii="Arial" w:hAnsi="Arial" w:cs="Arial"/>
          <w:sz w:val="22"/>
          <w:szCs w:val="22"/>
        </w:rPr>
        <w:t>-month periods then ended</w:t>
      </w:r>
      <w:r w:rsidR="004308E9">
        <w:rPr>
          <w:rFonts w:ascii="Arial" w:hAnsi="Arial" w:cstheme="minorBidi"/>
          <w:sz w:val="22"/>
          <w:szCs w:val="22"/>
        </w:rPr>
        <w:t>,</w:t>
      </w:r>
      <w:r w:rsidR="004308E9">
        <w:rPr>
          <w:rFonts w:ascii="Arial" w:hAnsi="Arial" w:cstheme="minorBidi" w:hint="cs"/>
          <w:sz w:val="22"/>
          <w:szCs w:val="22"/>
          <w:cs/>
        </w:rPr>
        <w:t xml:space="preserve"> </w:t>
      </w:r>
      <w:r w:rsidR="00B77454">
        <w:rPr>
          <w:rFonts w:ascii="Arial" w:hAnsi="Arial" w:cstheme="minorBidi"/>
          <w:sz w:val="22"/>
          <w:szCs w:val="22"/>
        </w:rPr>
        <w:t xml:space="preserve">and related consolidated statement of </w:t>
      </w:r>
      <w:r>
        <w:rPr>
          <w:rFonts w:ascii="Arial" w:hAnsi="Arial" w:cs="Arial"/>
          <w:sz w:val="22"/>
          <w:szCs w:val="22"/>
        </w:rPr>
        <w:t xml:space="preserve">changes in </w:t>
      </w:r>
      <w:r w:rsidRPr="009F3AE0">
        <w:rPr>
          <w:rFonts w:ascii="Arial" w:hAnsi="Arial" w:cs="Arial"/>
          <w:sz w:val="22"/>
          <w:szCs w:val="22"/>
        </w:rPr>
        <w:t xml:space="preserve">shareholders’ equity and cash flows for the </w:t>
      </w:r>
      <w:r w:rsidR="00095948">
        <w:rPr>
          <w:rFonts w:ascii="Arial" w:hAnsi="Arial" w:cs="Arial"/>
          <w:sz w:val="22"/>
          <w:szCs w:val="22"/>
        </w:rPr>
        <w:t>nine</w:t>
      </w:r>
      <w:r w:rsidR="003F5B55">
        <w:rPr>
          <w:rFonts w:ascii="Arial" w:hAnsi="Arial" w:cs="Arial"/>
          <w:sz w:val="22"/>
          <w:szCs w:val="22"/>
        </w:rPr>
        <w:t>-month period</w:t>
      </w:r>
      <w:r w:rsidRPr="009F3AE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then ended</w:t>
      </w:r>
      <w:r w:rsidRPr="009F3AE0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as well as the condensed notes to the </w:t>
      </w:r>
      <w:r w:rsidR="009729F4">
        <w:rPr>
          <w:rFonts w:ascii="Arial" w:hAnsi="Arial" w:cs="Arial"/>
          <w:sz w:val="22"/>
          <w:szCs w:val="22"/>
        </w:rPr>
        <w:t xml:space="preserve">interim </w:t>
      </w:r>
      <w:r>
        <w:rPr>
          <w:rFonts w:ascii="Arial" w:hAnsi="Arial" w:cs="Arial"/>
          <w:sz w:val="22"/>
          <w:szCs w:val="22"/>
        </w:rPr>
        <w:t xml:space="preserve">consolidated financial statements. I </w:t>
      </w:r>
      <w:r w:rsidRPr="009F3AE0">
        <w:rPr>
          <w:rFonts w:ascii="Arial" w:hAnsi="Arial" w:cs="Arial"/>
          <w:sz w:val="22"/>
          <w:szCs w:val="22"/>
        </w:rPr>
        <w:t xml:space="preserve">have also reviewed the separate financial </w:t>
      </w:r>
      <w:r>
        <w:rPr>
          <w:rFonts w:ascii="Arial" w:hAnsi="Arial" w:cs="Arial"/>
          <w:sz w:val="22"/>
          <w:szCs w:val="22"/>
        </w:rPr>
        <w:t>information</w:t>
      </w:r>
      <w:r w:rsidRPr="009F3AE0">
        <w:rPr>
          <w:rFonts w:ascii="Arial" w:hAnsi="Arial" w:cs="Arial"/>
          <w:sz w:val="22"/>
          <w:szCs w:val="22"/>
        </w:rPr>
        <w:t xml:space="preserve"> </w:t>
      </w:r>
      <w:r w:rsidRPr="009F3AE0">
        <w:rPr>
          <w:rFonts w:ascii="Arial" w:eastAsia="Arial Unicode MS" w:hAnsi="Arial" w:cs="Arial Unicode MS"/>
          <w:sz w:val="22"/>
          <w:szCs w:val="22"/>
        </w:rPr>
        <w:t>of</w:t>
      </w:r>
      <w:r w:rsidR="00095948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9F3AE0">
        <w:rPr>
          <w:rFonts w:ascii="Arial" w:eastAsia="Arial Unicode MS" w:hAnsi="Arial" w:cs="Arial Unicode MS"/>
          <w:sz w:val="22"/>
          <w:szCs w:val="22"/>
        </w:rPr>
        <w:t>Total Access Communication Public Company Limited for the same period</w:t>
      </w:r>
      <w:r w:rsidR="009729F4">
        <w:rPr>
          <w:rFonts w:ascii="Arial" w:eastAsia="Arial Unicode MS" w:hAnsi="Arial" w:cs="Arial Unicode MS"/>
          <w:sz w:val="22"/>
          <w:szCs w:val="22"/>
        </w:rPr>
        <w:t xml:space="preserve"> (collectivity “interim financial information”)</w:t>
      </w:r>
      <w:r>
        <w:rPr>
          <w:rFonts w:ascii="Arial" w:eastAsia="Arial Unicode MS" w:hAnsi="Arial" w:cs="Arial Unicode MS"/>
          <w:sz w:val="22"/>
          <w:szCs w:val="22"/>
        </w:rPr>
        <w:t>. Management is responsible for the preparation and presentation of</w:t>
      </w:r>
      <w:r w:rsidR="00095948">
        <w:rPr>
          <w:rFonts w:ascii="Arial" w:eastAsia="Arial Unicode MS" w:hAnsi="Arial" w:cs="Arial Unicode MS"/>
          <w:sz w:val="22"/>
          <w:szCs w:val="22"/>
        </w:rPr>
        <w:t xml:space="preserve"> </w:t>
      </w:r>
      <w:r>
        <w:rPr>
          <w:rFonts w:ascii="Arial" w:eastAsia="Arial Unicode MS" w:hAnsi="Arial" w:cs="Arial Unicode MS"/>
          <w:sz w:val="22"/>
          <w:szCs w:val="22"/>
        </w:rPr>
        <w:t xml:space="preserve">this interim financial information in accordance with Thai Accounting Standard 34 </w:t>
      </w:r>
      <w:r w:rsidRPr="00A37B0F">
        <w:rPr>
          <w:rFonts w:ascii="Arial" w:eastAsia="Arial Unicode MS" w:hAnsi="Arial" w:cs="Arial Unicode MS"/>
          <w:i/>
          <w:iCs/>
          <w:sz w:val="22"/>
          <w:szCs w:val="22"/>
        </w:rPr>
        <w:t>Interim Financial Reporting</w:t>
      </w:r>
      <w:r>
        <w:rPr>
          <w:rFonts w:ascii="Arial" w:eastAsia="Arial Unicode MS" w:hAnsi="Arial" w:cs="Arial Unicode MS"/>
          <w:sz w:val="22"/>
          <w:szCs w:val="22"/>
        </w:rPr>
        <w:t>.</w:t>
      </w:r>
      <w:r w:rsidR="002A29B6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525FAC">
        <w:rPr>
          <w:rFonts w:ascii="Arial" w:eastAsia="Arial Unicode MS" w:hAnsi="Arial" w:cs="Arial Unicode MS"/>
          <w:sz w:val="22"/>
          <w:szCs w:val="22"/>
        </w:rPr>
        <w:t xml:space="preserve">My responsibility is </w:t>
      </w:r>
      <w:r>
        <w:rPr>
          <w:rFonts w:ascii="Arial" w:eastAsia="Arial Unicode MS" w:hAnsi="Arial" w:cs="Arial Unicode MS"/>
          <w:sz w:val="22"/>
          <w:szCs w:val="22"/>
        </w:rPr>
        <w:t>to express a conclusion on this interim financial information</w:t>
      </w:r>
      <w:r w:rsidR="00095948">
        <w:rPr>
          <w:rFonts w:ascii="Arial" w:eastAsia="Arial Unicode MS" w:hAnsi="Arial" w:cs="Arial Unicode MS"/>
          <w:sz w:val="22"/>
          <w:szCs w:val="22"/>
        </w:rPr>
        <w:t xml:space="preserve"> </w:t>
      </w:r>
      <w:r>
        <w:rPr>
          <w:rFonts w:ascii="Arial" w:eastAsia="Arial Unicode MS" w:hAnsi="Arial" w:cs="Arial Unicode MS"/>
          <w:sz w:val="22"/>
          <w:szCs w:val="22"/>
        </w:rPr>
        <w:t>based on</w:t>
      </w:r>
      <w:r w:rsidR="002A29B6">
        <w:rPr>
          <w:rFonts w:ascii="Arial" w:eastAsia="Arial Unicode MS" w:hAnsi="Arial" w:cs="Arial Unicode MS"/>
          <w:sz w:val="22"/>
          <w:szCs w:val="22"/>
        </w:rPr>
        <w:t xml:space="preserve"> </w:t>
      </w:r>
      <w:r>
        <w:rPr>
          <w:rFonts w:ascii="Arial" w:eastAsia="Arial Unicode MS" w:hAnsi="Arial" w:cs="Arial Unicode MS"/>
          <w:sz w:val="22"/>
          <w:szCs w:val="22"/>
        </w:rPr>
        <w:t>my review.</w:t>
      </w:r>
      <w:r w:rsidRPr="00525FAC">
        <w:rPr>
          <w:rFonts w:ascii="Arial" w:eastAsia="Arial Unicode MS" w:hAnsi="Arial" w:cs="Arial Unicode MS"/>
          <w:sz w:val="22"/>
          <w:szCs w:val="22"/>
          <w:cs/>
        </w:rPr>
        <w:t xml:space="preserve"> </w:t>
      </w:r>
    </w:p>
    <w:p w14:paraId="05BBDFA8" w14:textId="77777777" w:rsidR="002D0F12" w:rsidRPr="00710F76" w:rsidRDefault="002D0F12" w:rsidP="002D0F12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710F76">
        <w:rPr>
          <w:rFonts w:ascii="Arial" w:hAnsi="Arial" w:cs="Arial"/>
          <w:b/>
          <w:bCs/>
          <w:sz w:val="22"/>
          <w:szCs w:val="22"/>
        </w:rPr>
        <w:t>Scope of review</w:t>
      </w:r>
    </w:p>
    <w:p w14:paraId="137FEE86" w14:textId="77777777" w:rsidR="002D0F12" w:rsidRPr="00282727" w:rsidRDefault="002D0F12" w:rsidP="002D0F12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282727">
        <w:rPr>
          <w:rFonts w:ascii="Arial" w:hAnsi="Arial" w:cs="Arial"/>
          <w:sz w:val="22"/>
          <w:szCs w:val="22"/>
        </w:rPr>
        <w:t>I condu</w:t>
      </w:r>
      <w:r>
        <w:rPr>
          <w:rFonts w:ascii="Arial" w:hAnsi="Arial" w:cs="Arial"/>
          <w:sz w:val="22"/>
          <w:szCs w:val="22"/>
        </w:rPr>
        <w:t>cted my review</w:t>
      </w:r>
      <w:r w:rsidRPr="00282727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282727">
        <w:rPr>
          <w:rFonts w:ascii="Arial" w:hAnsi="Arial" w:cs="Arial"/>
          <w:sz w:val="22"/>
          <w:szCs w:val="22"/>
        </w:rPr>
        <w:t xml:space="preserve">Standard on Review Engagements </w:t>
      </w:r>
      <w:r w:rsidRPr="00282727">
        <w:rPr>
          <w:rFonts w:ascii="Arial" w:hAnsi="Arial" w:cs="Arial"/>
          <w:sz w:val="22"/>
          <w:szCs w:val="22"/>
          <w:cs/>
        </w:rPr>
        <w:t>2410</w:t>
      </w:r>
      <w:r w:rsidRPr="00282727">
        <w:rPr>
          <w:rFonts w:ascii="Arial" w:hAnsi="Arial" w:cs="Arial"/>
          <w:sz w:val="22"/>
          <w:szCs w:val="22"/>
        </w:rPr>
        <w:t xml:space="preserve">, </w:t>
      </w:r>
      <w:r w:rsidRPr="00282727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282727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Pr="00282727">
        <w:rPr>
          <w:rFonts w:ascii="Arial" w:hAnsi="Arial" w:cs="Arial"/>
          <w:sz w:val="22"/>
          <w:szCs w:val="22"/>
        </w:rPr>
        <w:t>A review of interim financial informatio</w:t>
      </w:r>
      <w:r>
        <w:rPr>
          <w:rFonts w:ascii="Arial" w:hAnsi="Arial" w:cs="Arial"/>
          <w:sz w:val="22"/>
          <w:szCs w:val="22"/>
        </w:rPr>
        <w:t xml:space="preserve">n consists of making inquiries, </w:t>
      </w:r>
      <w:r w:rsidRPr="00282727">
        <w:rPr>
          <w:rFonts w:ascii="Arial" w:hAnsi="Arial" w:cs="Arial"/>
          <w:sz w:val="22"/>
          <w:szCs w:val="22"/>
        </w:rPr>
        <w:t xml:space="preserve">primarily of persons responsible for financial and accounting matters, and applying analytical and other review procedures. A review is substantially less in scope than an audit conducted in accordance with </w:t>
      </w:r>
      <w:r>
        <w:rPr>
          <w:rFonts w:ascii="Arial" w:hAnsi="Arial" w:cs="Arial"/>
          <w:sz w:val="22"/>
          <w:szCs w:val="22"/>
        </w:rPr>
        <w:t>Thai Standards on Auditing</w:t>
      </w:r>
      <w:r w:rsidRPr="00282727">
        <w:rPr>
          <w:rFonts w:ascii="Arial" w:hAnsi="Arial" w:cs="Arial"/>
          <w:sz w:val="22"/>
          <w:szCs w:val="22"/>
        </w:rPr>
        <w:t xml:space="preserve"> and consequently does not enable me to obtain assurance tha</w:t>
      </w:r>
      <w:r>
        <w:rPr>
          <w:rFonts w:ascii="Arial" w:hAnsi="Arial" w:cs="Arial"/>
          <w:sz w:val="22"/>
          <w:szCs w:val="22"/>
        </w:rPr>
        <w:t xml:space="preserve">t </w:t>
      </w:r>
      <w:r w:rsidRPr="00282727">
        <w:rPr>
          <w:rFonts w:ascii="Arial" w:hAnsi="Arial" w:cs="Arial"/>
          <w:sz w:val="22"/>
          <w:szCs w:val="22"/>
        </w:rPr>
        <w:t>I would become aware of all significant matters that might be identified in an audit. Accordingly, I do not express an audit opinion.</w:t>
      </w:r>
    </w:p>
    <w:p w14:paraId="2DEE50E4" w14:textId="77777777" w:rsidR="002D0F12" w:rsidRPr="00710F76" w:rsidRDefault="002D0F12" w:rsidP="002D0F12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Conclusion</w:t>
      </w:r>
    </w:p>
    <w:p w14:paraId="2AA1F5E0" w14:textId="77777777" w:rsidR="002D0F12" w:rsidRDefault="002D0F12" w:rsidP="002D0F12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Pr="00282727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282727">
        <w:rPr>
          <w:rFonts w:ascii="Arial" w:hAnsi="Arial" w:cs="Arial"/>
          <w:sz w:val="22"/>
          <w:szCs w:val="22"/>
        </w:rPr>
        <w:t xml:space="preserve">Accounting Standard 34 </w:t>
      </w:r>
      <w:r w:rsidRPr="00282727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282727">
        <w:rPr>
          <w:rFonts w:ascii="Arial" w:hAnsi="Arial" w:cs="Arial"/>
          <w:sz w:val="22"/>
          <w:szCs w:val="22"/>
        </w:rPr>
        <w:t>.</w:t>
      </w:r>
    </w:p>
    <w:p w14:paraId="22624AF3" w14:textId="77777777" w:rsidR="002D0F12" w:rsidRDefault="002D0F12" w:rsidP="002D0F12">
      <w:pPr>
        <w:spacing w:before="240" w:after="120" w:line="380" w:lineRule="exact"/>
        <w:rPr>
          <w:rFonts w:ascii="Arial" w:hAnsi="Arial" w:cs="Arial"/>
          <w:sz w:val="22"/>
          <w:szCs w:val="22"/>
        </w:rPr>
      </w:pPr>
    </w:p>
    <w:p w14:paraId="2FE20513" w14:textId="77777777" w:rsidR="002D0DBD" w:rsidRDefault="002D0DBD" w:rsidP="00306E9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540"/>
        </w:tabs>
        <w:spacing w:before="120" w:after="120" w:line="380" w:lineRule="exact"/>
        <w:rPr>
          <w:rFonts w:ascii="Arial" w:eastAsia="Arial Unicode MS" w:hAnsi="Arial" w:cs="Arial Unicode MS"/>
          <w:color w:val="000000"/>
          <w:sz w:val="22"/>
          <w:szCs w:val="22"/>
        </w:rPr>
        <w:sectPr w:rsidR="002D0DBD" w:rsidSect="002D0DBD">
          <w:footerReference w:type="first" r:id="rId12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</w:sectPr>
      </w:pPr>
    </w:p>
    <w:p w14:paraId="0CE9779B" w14:textId="77777777" w:rsidR="002D280C" w:rsidRPr="00710F76" w:rsidRDefault="002D280C" w:rsidP="002D280C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Emphasis of matters</w:t>
      </w:r>
    </w:p>
    <w:p w14:paraId="739E36A5" w14:textId="55C6E864" w:rsidR="002D280C" w:rsidRDefault="007A1AAC" w:rsidP="002D280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540"/>
        </w:tabs>
        <w:spacing w:before="120" w:after="12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theme="minorBidi"/>
          <w:sz w:val="22"/>
          <w:szCs w:val="22"/>
        </w:rPr>
        <w:t xml:space="preserve">My conclusion is not modified in respect of these matters. </w:t>
      </w:r>
      <w:r w:rsidR="002D280C">
        <w:rPr>
          <w:rFonts w:ascii="Arial" w:hAnsi="Arial" w:cs="Arial"/>
          <w:sz w:val="22"/>
          <w:szCs w:val="22"/>
        </w:rPr>
        <w:t xml:space="preserve">I draw attention to the following </w:t>
      </w:r>
      <w:r>
        <w:rPr>
          <w:rFonts w:ascii="Arial" w:hAnsi="Arial" w:cs="Arial"/>
          <w:sz w:val="22"/>
          <w:szCs w:val="22"/>
        </w:rPr>
        <w:t xml:space="preserve">notes to the </w:t>
      </w:r>
      <w:r w:rsidR="005D43A2">
        <w:rPr>
          <w:rFonts w:ascii="Arial" w:hAnsi="Arial" w:cs="Arial"/>
          <w:sz w:val="22"/>
          <w:szCs w:val="22"/>
        </w:rPr>
        <w:t xml:space="preserve">interim </w:t>
      </w:r>
      <w:r>
        <w:rPr>
          <w:rFonts w:ascii="Arial" w:hAnsi="Arial" w:cs="Arial"/>
          <w:sz w:val="22"/>
          <w:szCs w:val="22"/>
        </w:rPr>
        <w:t>consolidated financial statements.</w:t>
      </w:r>
    </w:p>
    <w:p w14:paraId="22BD2F04" w14:textId="77777777" w:rsidR="00460AC2" w:rsidRPr="00D00F1A" w:rsidRDefault="00460AC2" w:rsidP="00460AC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540"/>
        </w:tabs>
        <w:spacing w:before="60" w:after="60" w:line="360" w:lineRule="exact"/>
        <w:ind w:left="540" w:hanging="540"/>
        <w:rPr>
          <w:rFonts w:ascii="Arial" w:eastAsia="Arial Unicode MS" w:hAnsi="Arial" w:cs="Arial Unicode MS"/>
          <w:color w:val="000000"/>
          <w:sz w:val="22"/>
          <w:szCs w:val="22"/>
        </w:rPr>
      </w:pP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1.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ab/>
        <w:t>Significant</w:t>
      </w:r>
      <w:r>
        <w:rPr>
          <w:rFonts w:ascii="Arial" w:eastAsia="Arial Unicode MS" w:hAnsi="Arial" w:cs="Arial Unicode MS" w:hint="cs"/>
          <w:color w:val="000000"/>
          <w:sz w:val="22"/>
          <w:szCs w:val="22"/>
          <w:cs/>
        </w:rPr>
        <w:t xml:space="preserve">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>litigations and commercial disputes</w:t>
      </w:r>
    </w:p>
    <w:p w14:paraId="4EC17EE0" w14:textId="1775CC0E" w:rsidR="00460AC2" w:rsidRPr="00932DEF" w:rsidRDefault="00460AC2" w:rsidP="00460AC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540"/>
        </w:tabs>
        <w:spacing w:before="120" w:after="120" w:line="400" w:lineRule="exact"/>
        <w:ind w:left="907" w:hanging="907"/>
        <w:rPr>
          <w:rFonts w:ascii="Arial" w:eastAsia="Arial Unicode MS" w:hAnsi="Arial" w:cs="Arial Unicode MS"/>
          <w:color w:val="000000"/>
          <w:sz w:val="22"/>
          <w:szCs w:val="22"/>
        </w:rPr>
      </w:pPr>
      <w:r>
        <w:rPr>
          <w:rFonts w:ascii="Arial" w:eastAsia="Arial Unicode MS" w:hAnsi="Arial" w:cs="Arial Unicode MS"/>
          <w:sz w:val="22"/>
          <w:szCs w:val="22"/>
        </w:rPr>
        <w:tab/>
        <w:t>a)</w:t>
      </w:r>
      <w:r>
        <w:rPr>
          <w:rFonts w:ascii="Arial" w:eastAsia="Arial Unicode MS" w:hAnsi="Arial" w:cs="Arial Unicode MS"/>
          <w:sz w:val="22"/>
          <w:szCs w:val="22"/>
        </w:rPr>
        <w:tab/>
        <w:t>A</w:t>
      </w:r>
      <w:r w:rsidRPr="00525FAC">
        <w:rPr>
          <w:rFonts w:ascii="Arial" w:eastAsia="Arial Unicode MS" w:hAnsi="Arial" w:cs="Arial Unicode MS"/>
          <w:sz w:val="22"/>
          <w:szCs w:val="22"/>
        </w:rPr>
        <w:t xml:space="preserve">s discussed in Note </w:t>
      </w:r>
      <w:r>
        <w:rPr>
          <w:rFonts w:ascii="Arial" w:eastAsia="Arial Unicode MS" w:hAnsi="Arial" w:cs="Arial Unicode MS"/>
          <w:sz w:val="22"/>
          <w:szCs w:val="22"/>
        </w:rPr>
        <w:t>2</w:t>
      </w:r>
      <w:r w:rsidR="005B4C5F">
        <w:rPr>
          <w:rFonts w:ascii="Arial" w:eastAsia="Arial Unicode MS" w:hAnsi="Arial" w:cs="Arial Unicode MS"/>
          <w:sz w:val="22"/>
          <w:szCs w:val="22"/>
        </w:rPr>
        <w:t>5</w:t>
      </w:r>
      <w:r>
        <w:rPr>
          <w:rFonts w:ascii="Arial" w:eastAsia="Arial Unicode MS" w:hAnsi="Arial" w:cs="Arial Unicode MS"/>
          <w:sz w:val="22"/>
          <w:szCs w:val="22"/>
        </w:rPr>
        <w:t xml:space="preserve"> to </w:t>
      </w:r>
      <w:r w:rsidRPr="00525FAC">
        <w:rPr>
          <w:rFonts w:ascii="Arial" w:eastAsia="Arial Unicode MS" w:hAnsi="Arial" w:cs="Arial Unicode MS"/>
          <w:sz w:val="22"/>
          <w:szCs w:val="22"/>
        </w:rPr>
        <w:t>the</w:t>
      </w:r>
      <w:r>
        <w:rPr>
          <w:rFonts w:ascii="Arial" w:eastAsia="Arial Unicode MS" w:hAnsi="Arial" w:cs="Arial Unicode MS"/>
          <w:sz w:val="22"/>
          <w:szCs w:val="22"/>
        </w:rPr>
        <w:t xml:space="preserve"> interim consolidated</w:t>
      </w:r>
      <w:r w:rsidRPr="00525FAC">
        <w:rPr>
          <w:rFonts w:ascii="Arial" w:eastAsia="Arial Unicode MS" w:hAnsi="Arial" w:cs="Arial Unicode MS"/>
          <w:sz w:val="22"/>
          <w:szCs w:val="22"/>
        </w:rPr>
        <w:t xml:space="preserve"> </w:t>
      </w:r>
      <w:r>
        <w:rPr>
          <w:rFonts w:ascii="Arial" w:eastAsia="Arial Unicode MS" w:hAnsi="Arial" w:cs="Arial Unicode MS"/>
          <w:sz w:val="22"/>
          <w:szCs w:val="22"/>
        </w:rPr>
        <w:t>financial statements, the Company is involved in court proceedings</w:t>
      </w:r>
      <w:r w:rsidRPr="00525FAC">
        <w:rPr>
          <w:rFonts w:ascii="Arial" w:eastAsia="Arial Unicode MS" w:hAnsi="Arial" w:cs="Arial Unicode MS"/>
          <w:sz w:val="22"/>
          <w:szCs w:val="22"/>
        </w:rPr>
        <w:t xml:space="preserve"> </w:t>
      </w:r>
      <w:r>
        <w:rPr>
          <w:rFonts w:ascii="Arial" w:eastAsia="Arial Unicode MS" w:hAnsi="Arial" w:cs="Arial Unicode MS"/>
          <w:sz w:val="22"/>
          <w:szCs w:val="22"/>
        </w:rPr>
        <w:t xml:space="preserve">and commercial disputes with </w:t>
      </w:r>
      <w:r w:rsidRPr="00525FAC">
        <w:rPr>
          <w:rFonts w:ascii="Arial" w:eastAsia="Arial Unicode MS" w:hAnsi="Arial" w:cs="Arial Unicode MS"/>
          <w:sz w:val="22"/>
          <w:szCs w:val="22"/>
        </w:rPr>
        <w:t>TOT Public Company Limited (“TOT”)</w:t>
      </w:r>
      <w:r>
        <w:rPr>
          <w:rFonts w:ascii="Arial" w:eastAsia="Arial Unicode MS" w:hAnsi="Arial" w:cs="Arial Unicode MS"/>
          <w:sz w:val="22"/>
          <w:szCs w:val="22"/>
        </w:rPr>
        <w:t xml:space="preserve"> (At present, TOT Public Company Limited and CAT Telecom Public Company Limited have been merged into the National Telecom Public Company Limited</w:t>
      </w:r>
      <w:r w:rsidR="008125E1">
        <w:rPr>
          <w:rFonts w:ascii="Arial" w:eastAsia="Arial Unicode MS" w:hAnsi="Arial" w:cs="Arial Unicode MS"/>
          <w:sz w:val="22"/>
          <w:szCs w:val="22"/>
        </w:rPr>
        <w:t xml:space="preserve"> (“NT”)</w:t>
      </w:r>
      <w:r>
        <w:rPr>
          <w:rFonts w:ascii="Arial" w:eastAsia="Arial Unicode MS" w:hAnsi="Arial" w:cs="Arial Unicode MS"/>
          <w:sz w:val="22"/>
          <w:szCs w:val="22"/>
        </w:rPr>
        <w:t>) in relation to the access charge payment. F</w:t>
      </w:r>
      <w:r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or the period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>from 18</w:t>
      </w:r>
      <w:r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 November 2006 to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 </w:t>
      </w:r>
      <w:r w:rsidRPr="00525FAC">
        <w:rPr>
          <w:rFonts w:ascii="Arial" w:eastAsia="Arial Unicode MS" w:hAnsi="Arial" w:cs="Arial Unicode MS"/>
          <w:color w:val="000000"/>
          <w:sz w:val="22"/>
          <w:szCs w:val="22"/>
        </w:rPr>
        <w:t>7 November 2007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>,</w:t>
      </w:r>
      <w:r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 </w:t>
      </w:r>
      <w:r>
        <w:rPr>
          <w:rFonts w:ascii="Arial" w:eastAsia="Arial Unicode MS" w:hAnsi="Arial" w:cs="Arial Unicode MS"/>
          <w:sz w:val="22"/>
          <w:szCs w:val="22"/>
        </w:rPr>
        <w:t>t</w:t>
      </w:r>
      <w:r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he Company accrued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the access charge in the financial statements at the </w:t>
      </w:r>
      <w:r w:rsidRPr="00525FAC">
        <w:rPr>
          <w:rFonts w:ascii="Arial" w:eastAsia="Arial Unicode MS" w:hAnsi="Arial" w:cs="Arial Unicode MS"/>
          <w:color w:val="000000"/>
          <w:sz w:val="22"/>
          <w:szCs w:val="22"/>
        </w:rPr>
        <w:t>interconnection charge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 rate payable amounting</w:t>
      </w:r>
      <w:r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 to</w:t>
      </w:r>
      <w:r>
        <w:rPr>
          <w:rFonts w:ascii="Arial" w:eastAsia="Arial Unicode MS" w:hAnsi="Arial" w:cs="Arial Unicode MS" w:hint="cs"/>
          <w:color w:val="000000"/>
          <w:sz w:val="22"/>
          <w:szCs w:val="22"/>
          <w:cs/>
        </w:rPr>
        <w:t xml:space="preserve"> </w:t>
      </w:r>
      <w:r w:rsidRPr="00525FAC">
        <w:rPr>
          <w:rFonts w:ascii="Arial" w:eastAsia="Arial Unicode MS" w:hAnsi="Arial" w:cs="Arial Unicode MS"/>
          <w:color w:val="000000"/>
          <w:sz w:val="22"/>
          <w:szCs w:val="22"/>
        </w:rPr>
        <w:t>Baht 1,973 million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>. O</w:t>
      </w:r>
      <w:r w:rsidRPr="00525FAC">
        <w:rPr>
          <w:rFonts w:ascii="Arial" w:eastAsia="Arial Unicode MS" w:hAnsi="Arial" w:cs="Arial Unicode MS"/>
          <w:color w:val="000000"/>
          <w:sz w:val="22"/>
          <w:szCs w:val="22"/>
        </w:rPr>
        <w:t>n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 </w:t>
      </w:r>
      <w:r w:rsidRPr="00525FAC">
        <w:rPr>
          <w:rFonts w:ascii="Arial" w:eastAsia="Arial Unicode MS" w:hAnsi="Arial" w:cs="Arial Unicode MS"/>
          <w:color w:val="000000"/>
          <w:sz w:val="22"/>
          <w:szCs w:val="22"/>
        </w:rPr>
        <w:t>8 November 2007, the Company sent TOT a notice to terminate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 </w:t>
      </w:r>
      <w:r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the two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>A</w:t>
      </w:r>
      <w:r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ccess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>C</w:t>
      </w:r>
      <w:r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harge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>A</w:t>
      </w:r>
      <w:r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greements,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>and s</w:t>
      </w:r>
      <w:r w:rsidRPr="00124264">
        <w:rPr>
          <w:rFonts w:ascii="Arial" w:eastAsia="Arial Unicode MS" w:hAnsi="Arial" w:cs="Arial Unicode MS"/>
          <w:color w:val="000000"/>
          <w:sz w:val="22"/>
          <w:szCs w:val="22"/>
        </w:rPr>
        <w:t>o as from 8 November 200</w:t>
      </w:r>
      <w:r w:rsidRPr="00525FAC">
        <w:rPr>
          <w:rFonts w:ascii="Arial" w:eastAsia="Arial Unicode MS" w:hAnsi="Arial" w:cs="Arial Unicode MS"/>
          <w:color w:val="000000"/>
          <w:sz w:val="22"/>
          <w:szCs w:val="22"/>
        </w:rPr>
        <w:t>7 the Company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 </w:t>
      </w:r>
      <w:r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did not accrue the access charge in its financial statements because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the Company’s management believed that its obligation to pay access charges under </w:t>
      </w:r>
      <w:r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the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>A</w:t>
      </w:r>
      <w:r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ccess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>C</w:t>
      </w:r>
      <w:r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harge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Agreements had ended. </w:t>
      </w:r>
      <w:r w:rsidRPr="00133874">
        <w:rPr>
          <w:rFonts w:ascii="Arial" w:eastAsia="Arial Unicode MS" w:hAnsi="Arial" w:cs="Arial Unicode MS"/>
          <w:color w:val="000000"/>
          <w:sz w:val="22"/>
          <w:szCs w:val="22"/>
        </w:rPr>
        <w:t xml:space="preserve">TOT filed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>suit</w:t>
      </w:r>
      <w:r w:rsidRPr="00133874">
        <w:rPr>
          <w:rFonts w:ascii="Arial" w:eastAsia="Arial Unicode MS" w:hAnsi="Arial" w:cs="Arial Unicode MS"/>
          <w:color w:val="000000"/>
          <w:sz w:val="22"/>
          <w:szCs w:val="22"/>
        </w:rPr>
        <w:t xml:space="preserve">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with </w:t>
      </w:r>
      <w:r w:rsidRPr="00133874">
        <w:rPr>
          <w:rFonts w:ascii="Arial" w:eastAsia="Arial Unicode MS" w:hAnsi="Arial" w:cs="Arial Unicode MS"/>
          <w:color w:val="000000"/>
          <w:sz w:val="22"/>
          <w:szCs w:val="22"/>
        </w:rPr>
        <w:t xml:space="preserve">the Central Administrative Court demanding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that </w:t>
      </w:r>
      <w:r w:rsidRPr="00133874">
        <w:rPr>
          <w:rFonts w:ascii="Arial" w:eastAsia="Arial Unicode MS" w:hAnsi="Arial" w:cs="Arial Unicode MS"/>
          <w:color w:val="000000"/>
          <w:sz w:val="22"/>
          <w:szCs w:val="22"/>
        </w:rPr>
        <w:t xml:space="preserve">CAT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Telecom Public Company Limited (“CAT”) </w:t>
      </w:r>
      <w:r w:rsidRPr="00133874">
        <w:rPr>
          <w:rFonts w:ascii="Arial" w:eastAsia="Arial Unicode MS" w:hAnsi="Arial" w:cs="Arial Unicode MS"/>
          <w:color w:val="000000"/>
          <w:sz w:val="22"/>
          <w:szCs w:val="22"/>
        </w:rPr>
        <w:t xml:space="preserve">and the Company jointly pay damages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arising </w:t>
      </w:r>
      <w:r w:rsidRPr="00133874">
        <w:rPr>
          <w:rFonts w:ascii="Arial" w:eastAsia="Arial Unicode MS" w:hAnsi="Arial" w:cs="Arial Unicode MS"/>
          <w:color w:val="000000"/>
          <w:sz w:val="22"/>
          <w:szCs w:val="22"/>
        </w:rPr>
        <w:t xml:space="preserve">from the access charge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totaling Baht 245,638 </w:t>
      </w:r>
      <w:r w:rsidRPr="00BA1F35">
        <w:rPr>
          <w:rFonts w:ascii="Arial" w:eastAsia="Arial Unicode MS" w:hAnsi="Arial" w:cs="Arial Unicode MS"/>
          <w:color w:val="000000"/>
          <w:sz w:val="22"/>
          <w:szCs w:val="22"/>
        </w:rPr>
        <w:t>million (calculated up to 10 July 2014).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   </w:t>
      </w:r>
      <w:r>
        <w:rPr>
          <w:rFonts w:ascii="Arial" w:hAnsi="Arial"/>
          <w:sz w:val="22"/>
          <w:szCs w:val="22"/>
        </w:rPr>
        <w:t>On</w:t>
      </w:r>
      <w:r w:rsidRPr="00BA1F35">
        <w:rPr>
          <w:rFonts w:ascii="Arial" w:hAnsi="Arial" w:cstheme="minorBidi"/>
          <w:sz w:val="22"/>
          <w:szCs w:val="22"/>
        </w:rPr>
        <w:t xml:space="preserve"> 31 May 2019,</w:t>
      </w:r>
      <w:r w:rsidRPr="00BA1F35">
        <w:rPr>
          <w:rFonts w:ascii="Arial" w:hAnsi="Arial"/>
          <w:sz w:val="22"/>
          <w:szCs w:val="22"/>
        </w:rPr>
        <w:t xml:space="preserve"> the Central Administrative Court issued a verdict dismissing TOT’s claim and TOT did not </w:t>
      </w:r>
      <w:r>
        <w:rPr>
          <w:rFonts w:ascii="Arial" w:hAnsi="Arial"/>
          <w:sz w:val="22"/>
          <w:szCs w:val="22"/>
        </w:rPr>
        <w:t>submit its appeal</w:t>
      </w:r>
      <w:r w:rsidRPr="00BA1F35">
        <w:rPr>
          <w:rFonts w:ascii="Arial" w:hAnsi="Arial"/>
          <w:sz w:val="22"/>
          <w:szCs w:val="22"/>
        </w:rPr>
        <w:t xml:space="preserve"> within the stipulated timeframe and the case is thus final, as per the letter from the Central Administrative Court dated 19 July 2019. Currently, the Company is in process of </w:t>
      </w:r>
      <w:r>
        <w:rPr>
          <w:rFonts w:ascii="Arial" w:hAnsi="Arial"/>
          <w:sz w:val="22"/>
          <w:szCs w:val="22"/>
        </w:rPr>
        <w:t xml:space="preserve">discussing </w:t>
      </w:r>
      <w:r w:rsidRPr="00BA1F35">
        <w:rPr>
          <w:rFonts w:ascii="Arial" w:hAnsi="Arial"/>
          <w:sz w:val="22"/>
          <w:szCs w:val="22"/>
        </w:rPr>
        <w:t>on the interconnection charge settlement in accordance with NTC's Notification RE: Uses and Interconnections of Telecommunication Networks B.E. 2549 with TOT</w:t>
      </w:r>
      <w:r>
        <w:rPr>
          <w:rFonts w:ascii="Arial" w:hAnsi="Arial"/>
          <w:sz w:val="22"/>
          <w:szCs w:val="22"/>
        </w:rPr>
        <w:t>,</w:t>
      </w:r>
      <w:r w:rsidRPr="00BA1F35">
        <w:rPr>
          <w:rFonts w:ascii="Arial" w:hAnsi="Arial"/>
          <w:sz w:val="22"/>
          <w:szCs w:val="22"/>
        </w:rPr>
        <w:t xml:space="preserve"> which </w:t>
      </w:r>
      <w:r>
        <w:rPr>
          <w:rFonts w:ascii="Arial" w:hAnsi="Arial"/>
          <w:sz w:val="22"/>
          <w:szCs w:val="22"/>
        </w:rPr>
        <w:t>has</w:t>
      </w:r>
      <w:r w:rsidRPr="00BA1F35">
        <w:rPr>
          <w:rFonts w:ascii="Arial" w:hAnsi="Arial"/>
          <w:sz w:val="22"/>
          <w:szCs w:val="22"/>
        </w:rPr>
        <w:t xml:space="preserve"> not been </w:t>
      </w:r>
      <w:proofErr w:type="spellStart"/>
      <w:r w:rsidRPr="00BA1F35">
        <w:rPr>
          <w:rFonts w:ascii="Arial" w:hAnsi="Arial"/>
          <w:sz w:val="22"/>
          <w:szCs w:val="22"/>
        </w:rPr>
        <w:t>finalised</w:t>
      </w:r>
      <w:proofErr w:type="spellEnd"/>
      <w:r w:rsidRPr="00BA1F35">
        <w:rPr>
          <w:rFonts w:ascii="Arial" w:hAnsi="Arial"/>
          <w:sz w:val="22"/>
          <w:szCs w:val="22"/>
        </w:rPr>
        <w:t xml:space="preserve"> or clearly concluded</w:t>
      </w:r>
      <w:r>
        <w:rPr>
          <w:rFonts w:ascii="Arial" w:hAnsi="Arial"/>
          <w:sz w:val="22"/>
          <w:szCs w:val="22"/>
        </w:rPr>
        <w:t xml:space="preserve">, </w:t>
      </w:r>
      <w:r w:rsidRPr="00BA1F35">
        <w:rPr>
          <w:rFonts w:ascii="Arial" w:hAnsi="Arial"/>
          <w:sz w:val="22"/>
          <w:szCs w:val="22"/>
        </w:rPr>
        <w:t>and related legal cases are under court proceedings. The outcome depends on the relevant legal execution</w:t>
      </w:r>
      <w:r>
        <w:rPr>
          <w:rFonts w:ascii="Arial" w:hAnsi="Arial"/>
          <w:sz w:val="22"/>
          <w:szCs w:val="22"/>
        </w:rPr>
        <w:t>, negotiation,</w:t>
      </w:r>
      <w:r w:rsidRPr="00BA1F35">
        <w:rPr>
          <w:rFonts w:ascii="Arial" w:hAnsi="Arial"/>
          <w:sz w:val="22"/>
          <w:szCs w:val="22"/>
        </w:rPr>
        <w:t xml:space="preserve"> and</w:t>
      </w:r>
      <w:r w:rsidRPr="00124264">
        <w:rPr>
          <w:rFonts w:ascii="Arial" w:hAnsi="Arial"/>
          <w:sz w:val="22"/>
          <w:szCs w:val="22"/>
        </w:rPr>
        <w:t xml:space="preserve"> future court proceedings.</w:t>
      </w:r>
    </w:p>
    <w:p w14:paraId="6B6F1507" w14:textId="227A53C4" w:rsidR="00A233FA" w:rsidRDefault="00A233FA" w:rsidP="00460AC2">
      <w:pPr>
        <w:overflowPunct/>
        <w:autoSpaceDE/>
        <w:autoSpaceDN/>
        <w:adjustRightInd/>
        <w:spacing w:before="60" w:after="60" w:line="360" w:lineRule="exact"/>
        <w:ind w:left="907" w:hanging="360"/>
        <w:textAlignment w:val="auto"/>
        <w:rPr>
          <w:rFonts w:ascii="Arial" w:eastAsia="Arial Unicode MS" w:hAnsi="Arial" w:cs="Arial Unicode MS"/>
          <w:color w:val="000000"/>
          <w:sz w:val="22"/>
          <w:szCs w:val="22"/>
        </w:rPr>
      </w:pPr>
    </w:p>
    <w:p w14:paraId="0C936C69" w14:textId="77777777" w:rsidR="00A233FA" w:rsidRDefault="00A233FA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eastAsia="Arial Unicode MS" w:hAnsi="Arial" w:cs="Arial Unicode MS"/>
          <w:color w:val="000000"/>
          <w:sz w:val="22"/>
          <w:szCs w:val="22"/>
        </w:rPr>
      </w:pPr>
      <w:r>
        <w:rPr>
          <w:rFonts w:ascii="Arial" w:eastAsia="Arial Unicode MS" w:hAnsi="Arial" w:cs="Arial Unicode MS"/>
          <w:color w:val="000000"/>
          <w:sz w:val="22"/>
          <w:szCs w:val="22"/>
        </w:rPr>
        <w:br w:type="page"/>
      </w:r>
    </w:p>
    <w:p w14:paraId="702D29B8" w14:textId="1F3EBFEB" w:rsidR="00460AC2" w:rsidRPr="00C236DE" w:rsidRDefault="00A233FA" w:rsidP="00460AC2">
      <w:pPr>
        <w:overflowPunct/>
        <w:autoSpaceDE/>
        <w:autoSpaceDN/>
        <w:adjustRightInd/>
        <w:spacing w:before="60" w:after="60" w:line="360" w:lineRule="exact"/>
        <w:ind w:left="907" w:hanging="360"/>
        <w:textAlignment w:val="auto"/>
        <w:rPr>
          <w:rFonts w:ascii="Arial" w:eastAsia="Arial Unicode MS" w:hAnsi="Arial" w:cs="Arial Unicode MS"/>
          <w:color w:val="000000"/>
          <w:sz w:val="22"/>
          <w:szCs w:val="22"/>
        </w:rPr>
      </w:pPr>
      <w:r>
        <w:rPr>
          <w:rFonts w:ascii="Arial" w:eastAsia="Arial Unicode MS" w:hAnsi="Arial" w:cs="Arial Unicode MS"/>
          <w:color w:val="000000"/>
          <w:sz w:val="22"/>
          <w:szCs w:val="22"/>
        </w:rPr>
        <w:lastRenderedPageBreak/>
        <w:t>b)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ab/>
      </w:r>
      <w:r w:rsidR="00460AC2" w:rsidRPr="004A55BA">
        <w:rPr>
          <w:rFonts w:ascii="Arial" w:eastAsia="Arial Unicode MS" w:hAnsi="Arial" w:cs="Arial Unicode MS"/>
          <w:color w:val="000000"/>
          <w:sz w:val="22"/>
          <w:szCs w:val="22"/>
        </w:rPr>
        <w:t xml:space="preserve">As discussed in Note </w:t>
      </w:r>
      <w:r w:rsidR="00460AC2">
        <w:rPr>
          <w:rFonts w:ascii="Arial" w:eastAsia="Arial Unicode MS" w:hAnsi="Arial" w:cs="Arial Unicode MS"/>
          <w:color w:val="000000"/>
          <w:sz w:val="22"/>
          <w:szCs w:val="22"/>
        </w:rPr>
        <w:t>2</w:t>
      </w:r>
      <w:r w:rsidR="005B4C5F">
        <w:rPr>
          <w:rFonts w:ascii="Arial" w:eastAsia="Arial Unicode MS" w:hAnsi="Arial" w:cs="Arial Unicode MS"/>
          <w:color w:val="000000"/>
          <w:sz w:val="22"/>
          <w:szCs w:val="22"/>
        </w:rPr>
        <w:t>6</w:t>
      </w:r>
      <w:r w:rsidR="00460AC2" w:rsidRPr="004A55BA">
        <w:rPr>
          <w:rFonts w:ascii="Arial" w:eastAsia="Arial Unicode MS" w:hAnsi="Arial" w:cs="Arial Unicode MS"/>
          <w:color w:val="000000"/>
          <w:sz w:val="22"/>
          <w:szCs w:val="22"/>
        </w:rPr>
        <w:t xml:space="preserve"> to the</w:t>
      </w:r>
      <w:r w:rsidR="00460AC2" w:rsidRPr="007A1AAC">
        <w:rPr>
          <w:rFonts w:ascii="Arial" w:eastAsia="Arial Unicode MS" w:hAnsi="Arial" w:cs="Arial Unicode MS"/>
          <w:color w:val="000000"/>
          <w:sz w:val="22"/>
          <w:szCs w:val="22"/>
        </w:rPr>
        <w:t xml:space="preserve"> </w:t>
      </w:r>
      <w:r w:rsidR="00460AC2">
        <w:rPr>
          <w:rFonts w:ascii="Arial" w:eastAsia="Arial Unicode MS" w:hAnsi="Arial" w:cs="Arial Unicode MS"/>
          <w:sz w:val="22"/>
          <w:szCs w:val="22"/>
        </w:rPr>
        <w:t>interim</w:t>
      </w:r>
      <w:r w:rsidR="00460AC2" w:rsidRPr="004A55BA">
        <w:rPr>
          <w:rFonts w:ascii="Arial" w:eastAsia="Arial Unicode MS" w:hAnsi="Arial" w:cs="Arial Unicode MS"/>
          <w:color w:val="000000"/>
          <w:sz w:val="22"/>
          <w:szCs w:val="22"/>
        </w:rPr>
        <w:t xml:space="preserve"> consolidated financial statemen</w:t>
      </w:r>
      <w:r w:rsidR="00460AC2">
        <w:rPr>
          <w:rFonts w:ascii="Arial" w:eastAsia="Arial Unicode MS" w:hAnsi="Arial" w:cs="Arial Unicode MS"/>
          <w:color w:val="000000"/>
          <w:sz w:val="22"/>
          <w:szCs w:val="22"/>
        </w:rPr>
        <w:t>ts, the Company is involved in</w:t>
      </w:r>
      <w:r w:rsidR="00460AC2" w:rsidRPr="004A55BA">
        <w:rPr>
          <w:rFonts w:ascii="Arial" w:eastAsia="Arial Unicode MS" w:hAnsi="Arial" w:cs="Arial Unicode MS"/>
          <w:color w:val="000000"/>
          <w:sz w:val="22"/>
          <w:szCs w:val="22"/>
        </w:rPr>
        <w:t xml:space="preserve"> </w:t>
      </w:r>
      <w:r w:rsidR="00460AC2">
        <w:rPr>
          <w:rFonts w:ascii="Arial" w:eastAsia="Arial Unicode MS" w:hAnsi="Arial" w:cs="Arial Unicode MS"/>
          <w:color w:val="000000"/>
          <w:sz w:val="22"/>
          <w:szCs w:val="22"/>
        </w:rPr>
        <w:t xml:space="preserve">litigations and commercial </w:t>
      </w:r>
      <w:r w:rsidR="00460AC2" w:rsidRPr="004A55BA">
        <w:rPr>
          <w:rFonts w:ascii="Arial" w:eastAsia="Arial Unicode MS" w:hAnsi="Arial" w:cs="Arial Unicode MS"/>
          <w:color w:val="000000"/>
          <w:sz w:val="22"/>
          <w:szCs w:val="22"/>
        </w:rPr>
        <w:t>dispute</w:t>
      </w:r>
      <w:r w:rsidR="00460AC2">
        <w:rPr>
          <w:rFonts w:ascii="Arial" w:eastAsia="Arial Unicode MS" w:hAnsi="Arial" w:cs="Arial Unicode MS"/>
          <w:color w:val="000000"/>
          <w:sz w:val="22"/>
          <w:szCs w:val="22"/>
        </w:rPr>
        <w:t>s,</w:t>
      </w:r>
      <w:r w:rsidR="00460AC2" w:rsidRPr="004A55BA">
        <w:rPr>
          <w:rFonts w:ascii="Arial" w:eastAsia="Arial Unicode MS" w:hAnsi="Arial" w:cs="Arial Unicode MS"/>
          <w:color w:val="000000"/>
          <w:sz w:val="22"/>
          <w:szCs w:val="22"/>
        </w:rPr>
        <w:t xml:space="preserve"> </w:t>
      </w:r>
      <w:r w:rsidR="00460AC2" w:rsidRPr="00553633">
        <w:rPr>
          <w:rFonts w:ascii="Arial" w:hAnsi="Arial"/>
          <w:sz w:val="22"/>
          <w:szCs w:val="22"/>
        </w:rPr>
        <w:t>regarding additional revenue sharing payment (Excise Tax</w:t>
      </w:r>
      <w:r w:rsidR="00460AC2">
        <w:rPr>
          <w:rFonts w:ascii="Arial" w:hAnsi="Arial"/>
          <w:sz w:val="22"/>
          <w:szCs w:val="22"/>
        </w:rPr>
        <w:t>) under the Concession Agreement</w:t>
      </w:r>
      <w:r w:rsidR="00460AC2">
        <w:rPr>
          <w:rFonts w:ascii="Arial" w:hAnsi="Arial" w:hint="cs"/>
          <w:sz w:val="22"/>
          <w:szCs w:val="22"/>
          <w:cs/>
        </w:rPr>
        <w:t xml:space="preserve"> </w:t>
      </w:r>
      <w:r w:rsidR="00460AC2">
        <w:rPr>
          <w:rFonts w:ascii="Arial" w:hAnsi="Arial"/>
          <w:sz w:val="22"/>
          <w:szCs w:val="22"/>
        </w:rPr>
        <w:t xml:space="preserve">and </w:t>
      </w:r>
      <w:r w:rsidR="00460AC2" w:rsidRPr="00553633">
        <w:rPr>
          <w:rFonts w:ascii="Arial" w:hAnsi="Arial"/>
          <w:sz w:val="22"/>
          <w:szCs w:val="22"/>
        </w:rPr>
        <w:t xml:space="preserve">regarding </w:t>
      </w:r>
      <w:r w:rsidR="00460AC2">
        <w:rPr>
          <w:rFonts w:ascii="Arial" w:hAnsi="Arial"/>
          <w:sz w:val="22"/>
          <w:szCs w:val="22"/>
        </w:rPr>
        <w:t xml:space="preserve">additional </w:t>
      </w:r>
      <w:r w:rsidR="00460AC2" w:rsidRPr="00553633">
        <w:rPr>
          <w:rFonts w:ascii="Arial" w:hAnsi="Arial"/>
          <w:sz w:val="22"/>
          <w:szCs w:val="22"/>
        </w:rPr>
        <w:t>revenue shar</w:t>
      </w:r>
      <w:r w:rsidR="00460AC2">
        <w:rPr>
          <w:rFonts w:ascii="Arial" w:hAnsi="Arial"/>
          <w:sz w:val="22"/>
          <w:szCs w:val="22"/>
        </w:rPr>
        <w:t>ing</w:t>
      </w:r>
      <w:r w:rsidR="00460AC2" w:rsidRPr="00553633">
        <w:rPr>
          <w:rFonts w:ascii="Arial" w:hAnsi="Arial"/>
          <w:sz w:val="22"/>
          <w:szCs w:val="22"/>
        </w:rPr>
        <w:t xml:space="preserve"> calculation in relation to Interconnection Charge</w:t>
      </w:r>
      <w:r w:rsidR="00460AC2">
        <w:rPr>
          <w:rFonts w:ascii="Arial" w:hAnsi="Arial" w:hint="cs"/>
          <w:sz w:val="22"/>
          <w:szCs w:val="22"/>
          <w:cs/>
        </w:rPr>
        <w:t xml:space="preserve"> </w:t>
      </w:r>
      <w:r w:rsidR="00460AC2" w:rsidRPr="00553633">
        <w:rPr>
          <w:rFonts w:ascii="Arial" w:hAnsi="Arial"/>
          <w:sz w:val="22"/>
          <w:szCs w:val="22"/>
        </w:rPr>
        <w:t xml:space="preserve">revenue after the enforcement of the </w:t>
      </w:r>
      <w:r w:rsidR="00460AC2">
        <w:rPr>
          <w:rFonts w:ascii="Arial" w:hAnsi="Arial"/>
          <w:sz w:val="22"/>
          <w:szCs w:val="22"/>
        </w:rPr>
        <w:t>Interconnection</w:t>
      </w:r>
      <w:r w:rsidR="00460AC2" w:rsidRPr="00553633">
        <w:rPr>
          <w:rFonts w:ascii="Arial" w:hAnsi="Arial"/>
          <w:sz w:val="22"/>
          <w:szCs w:val="22"/>
        </w:rPr>
        <w:t xml:space="preserve"> Notification</w:t>
      </w:r>
      <w:r w:rsidR="00460AC2">
        <w:rPr>
          <w:rFonts w:ascii="Arial" w:hAnsi="Arial"/>
          <w:sz w:val="22"/>
          <w:szCs w:val="22"/>
        </w:rPr>
        <w:t>,</w:t>
      </w:r>
      <w:r w:rsidR="00460AC2">
        <w:rPr>
          <w:rFonts w:ascii="Arial" w:hAnsi="Arial" w:hint="cs"/>
          <w:sz w:val="22"/>
          <w:szCs w:val="22"/>
          <w:cs/>
        </w:rPr>
        <w:t xml:space="preserve"> </w:t>
      </w:r>
      <w:r w:rsidR="00460AC2">
        <w:rPr>
          <w:rFonts w:ascii="Arial" w:hAnsi="Arial"/>
          <w:sz w:val="22"/>
          <w:szCs w:val="22"/>
        </w:rPr>
        <w:t>with CAT</w:t>
      </w:r>
      <w:r w:rsidR="00460AC2">
        <w:rPr>
          <w:rFonts w:ascii="Arial" w:eastAsia="Arial Unicode MS" w:hAnsi="Arial" w:cs="Arial Unicode MS"/>
          <w:sz w:val="22"/>
          <w:szCs w:val="22"/>
        </w:rPr>
        <w:t xml:space="preserve"> (At present, TOT Public Company Limited and CAT Telecom Public Company Limited have been merged into the National Telecom Public Company Limited</w:t>
      </w:r>
      <w:r w:rsidR="008125E1">
        <w:rPr>
          <w:rFonts w:ascii="Arial" w:eastAsia="Arial Unicode MS" w:hAnsi="Arial" w:cs="Arial Unicode MS"/>
          <w:sz w:val="22"/>
          <w:szCs w:val="22"/>
        </w:rPr>
        <w:t xml:space="preserve"> (“NT”)</w:t>
      </w:r>
      <w:r w:rsidR="00460AC2">
        <w:rPr>
          <w:rFonts w:ascii="Arial" w:eastAsia="Arial Unicode MS" w:hAnsi="Arial" w:cs="Arial Unicode MS"/>
          <w:sz w:val="22"/>
          <w:szCs w:val="22"/>
        </w:rPr>
        <w:t xml:space="preserve">), </w:t>
      </w:r>
      <w:r w:rsidR="00460AC2">
        <w:rPr>
          <w:rFonts w:ascii="Arial" w:hAnsi="Arial"/>
          <w:sz w:val="22"/>
          <w:szCs w:val="22"/>
        </w:rPr>
        <w:t>as well as other legal cases</w:t>
      </w:r>
      <w:r w:rsidR="00460AC2" w:rsidRPr="004A55BA">
        <w:rPr>
          <w:rFonts w:ascii="Arial" w:eastAsia="Arial Unicode MS" w:hAnsi="Arial" w:cs="Arial Unicode MS"/>
          <w:color w:val="000000"/>
          <w:sz w:val="22"/>
          <w:szCs w:val="22"/>
        </w:rPr>
        <w:t>.</w:t>
      </w:r>
      <w:r w:rsidR="008125E1">
        <w:rPr>
          <w:rFonts w:ascii="Arial" w:eastAsia="Arial Unicode MS" w:hAnsi="Arial" w:cs="Arial Unicode MS"/>
          <w:color w:val="000000"/>
          <w:sz w:val="22"/>
          <w:szCs w:val="22"/>
        </w:rPr>
        <w:t xml:space="preserve">        </w:t>
      </w:r>
      <w:r w:rsidR="00460AC2" w:rsidRPr="004A55BA">
        <w:rPr>
          <w:rFonts w:ascii="Arial" w:eastAsia="Arial Unicode MS" w:hAnsi="Arial" w:cs="Arial Unicode MS"/>
          <w:color w:val="000000"/>
          <w:sz w:val="22"/>
          <w:szCs w:val="22"/>
        </w:rPr>
        <w:t xml:space="preserve">At present, </w:t>
      </w:r>
      <w:r w:rsidR="00460AC2">
        <w:rPr>
          <w:rFonts w:ascii="Arial" w:eastAsia="Arial Unicode MS" w:hAnsi="Arial" w:cs="Arial Unicode MS"/>
          <w:color w:val="000000"/>
          <w:sz w:val="22"/>
          <w:szCs w:val="22"/>
        </w:rPr>
        <w:t>these</w:t>
      </w:r>
      <w:r w:rsidR="00460AC2" w:rsidRPr="004A55BA">
        <w:rPr>
          <w:rFonts w:ascii="Arial" w:eastAsia="Arial Unicode MS" w:hAnsi="Arial" w:cs="Arial Unicode MS"/>
          <w:color w:val="000000"/>
          <w:sz w:val="22"/>
          <w:szCs w:val="22"/>
        </w:rPr>
        <w:t xml:space="preserve"> dispute</w:t>
      </w:r>
      <w:r w:rsidR="00460AC2">
        <w:rPr>
          <w:rFonts w:ascii="Arial" w:eastAsia="Arial Unicode MS" w:hAnsi="Arial" w:cs="Arial Unicode MS"/>
          <w:color w:val="000000"/>
          <w:sz w:val="22"/>
          <w:szCs w:val="22"/>
        </w:rPr>
        <w:t>s and legal cases are</w:t>
      </w:r>
      <w:r w:rsidR="00460AC2" w:rsidRPr="004A55BA">
        <w:rPr>
          <w:rFonts w:ascii="Arial" w:eastAsia="Arial Unicode MS" w:hAnsi="Arial" w:cs="Arial Unicode MS"/>
          <w:color w:val="000000"/>
          <w:sz w:val="22"/>
          <w:szCs w:val="22"/>
        </w:rPr>
        <w:t xml:space="preserve"> under formal arbitration </w:t>
      </w:r>
      <w:r w:rsidR="00460AC2">
        <w:rPr>
          <w:rFonts w:ascii="Arial" w:eastAsia="Arial Unicode MS" w:hAnsi="Arial" w:cs="Arial Unicode MS"/>
          <w:color w:val="000000"/>
          <w:sz w:val="22"/>
          <w:szCs w:val="22"/>
        </w:rPr>
        <w:t xml:space="preserve">and court </w:t>
      </w:r>
      <w:r w:rsidR="00460AC2" w:rsidRPr="004A55BA">
        <w:rPr>
          <w:rFonts w:ascii="Arial" w:eastAsia="Arial Unicode MS" w:hAnsi="Arial" w:cs="Arial Unicode MS"/>
          <w:color w:val="000000"/>
          <w:sz w:val="22"/>
          <w:szCs w:val="22"/>
        </w:rPr>
        <w:t>proceeding</w:t>
      </w:r>
      <w:r w:rsidR="00460AC2">
        <w:rPr>
          <w:rFonts w:ascii="Arial" w:eastAsia="Arial Unicode MS" w:hAnsi="Arial" w:cs="Arial Unicode MS"/>
          <w:color w:val="000000"/>
          <w:sz w:val="22"/>
          <w:szCs w:val="22"/>
        </w:rPr>
        <w:t>s</w:t>
      </w:r>
      <w:r w:rsidR="00460AC2" w:rsidRPr="004A55BA">
        <w:rPr>
          <w:rFonts w:ascii="Arial" w:eastAsia="Arial Unicode MS" w:hAnsi="Arial" w:cs="Arial Unicode MS"/>
          <w:color w:val="000000"/>
          <w:sz w:val="22"/>
          <w:szCs w:val="22"/>
        </w:rPr>
        <w:t>. The outcome cannot be determined and depend</w:t>
      </w:r>
      <w:r w:rsidR="00460AC2">
        <w:rPr>
          <w:rFonts w:ascii="Arial" w:eastAsia="Arial Unicode MS" w:hAnsi="Arial" w:cs="Arial Unicode MS"/>
          <w:color w:val="000000"/>
          <w:sz w:val="22"/>
          <w:szCs w:val="22"/>
        </w:rPr>
        <w:t>s</w:t>
      </w:r>
      <w:r w:rsidR="00460AC2" w:rsidRPr="004A55BA">
        <w:rPr>
          <w:rFonts w:ascii="Arial" w:eastAsia="Arial Unicode MS" w:hAnsi="Arial" w:cs="Arial Unicode MS"/>
          <w:color w:val="000000"/>
          <w:sz w:val="22"/>
          <w:szCs w:val="22"/>
        </w:rPr>
        <w:t xml:space="preserve"> on future judicial proceeding</w:t>
      </w:r>
      <w:r w:rsidR="00460AC2">
        <w:rPr>
          <w:rFonts w:ascii="Arial" w:eastAsia="Arial Unicode MS" w:hAnsi="Arial" w:cs="Arial Unicode MS"/>
          <w:color w:val="000000"/>
          <w:sz w:val="22"/>
          <w:szCs w:val="22"/>
        </w:rPr>
        <w:t>s</w:t>
      </w:r>
      <w:r w:rsidR="00460AC2" w:rsidRPr="004A55BA">
        <w:rPr>
          <w:rFonts w:ascii="Arial" w:eastAsia="Arial Unicode MS" w:hAnsi="Arial" w:cs="Arial Unicode MS"/>
          <w:color w:val="000000"/>
          <w:sz w:val="22"/>
          <w:szCs w:val="22"/>
        </w:rPr>
        <w:t>.</w:t>
      </w:r>
    </w:p>
    <w:p w14:paraId="0FA66997" w14:textId="77777777" w:rsidR="00460AC2" w:rsidRDefault="00460AC2" w:rsidP="00460AC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540"/>
        </w:tabs>
        <w:spacing w:before="60" w:after="60" w:line="360" w:lineRule="exact"/>
        <w:ind w:left="540" w:hanging="540"/>
        <w:rPr>
          <w:rFonts w:ascii="Arial" w:eastAsia="Arial Unicode MS" w:hAnsi="Arial" w:cs="Arial Unicode MS"/>
          <w:color w:val="000000"/>
          <w:sz w:val="22"/>
          <w:szCs w:val="22"/>
        </w:rPr>
      </w:pPr>
      <w:r>
        <w:rPr>
          <w:rFonts w:ascii="Arial" w:eastAsia="Arial Unicode MS" w:hAnsi="Arial" w:cs="Arial Unicode MS"/>
          <w:color w:val="000000"/>
          <w:sz w:val="22"/>
          <w:szCs w:val="22"/>
        </w:rPr>
        <w:t>2.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ab/>
        <w:t>Regulatory risks concerning the telecommunications business</w:t>
      </w:r>
    </w:p>
    <w:p w14:paraId="7E2D6F23" w14:textId="4E3AFA06" w:rsidR="00460AC2" w:rsidRDefault="00460AC2" w:rsidP="00460AC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540"/>
        </w:tabs>
        <w:spacing w:before="60" w:after="60" w:line="360" w:lineRule="exact"/>
        <w:ind w:left="540" w:hanging="540"/>
        <w:rPr>
          <w:rFonts w:ascii="Arial" w:eastAsia="Arial Unicode MS" w:hAnsi="Arial" w:cs="Arial Unicode MS"/>
          <w:color w:val="000000"/>
          <w:sz w:val="22"/>
          <w:szCs w:val="22"/>
        </w:rPr>
      </w:pPr>
      <w:r>
        <w:rPr>
          <w:rFonts w:ascii="Arial" w:eastAsia="Arial Unicode MS" w:hAnsi="Arial" w:cs="Arial Unicode MS"/>
          <w:color w:val="000000"/>
          <w:sz w:val="22"/>
          <w:szCs w:val="22"/>
        </w:rPr>
        <w:tab/>
        <w:t>A</w:t>
      </w:r>
      <w:r w:rsidRPr="00417962">
        <w:rPr>
          <w:rFonts w:ascii="Arial" w:eastAsia="Arial Unicode MS" w:hAnsi="Arial" w:cs="Arial Unicode MS"/>
          <w:color w:val="000000"/>
          <w:sz w:val="22"/>
          <w:szCs w:val="22"/>
        </w:rPr>
        <w:t xml:space="preserve">s discussed in Note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>2</w:t>
      </w:r>
      <w:r w:rsidR="005B4C5F">
        <w:rPr>
          <w:rFonts w:ascii="Arial" w:eastAsia="Arial Unicode MS" w:hAnsi="Arial" w:cs="Arial Unicode MS"/>
          <w:color w:val="000000"/>
          <w:sz w:val="22"/>
          <w:szCs w:val="22"/>
        </w:rPr>
        <w:t>7</w:t>
      </w:r>
      <w:r w:rsidRPr="00417962">
        <w:rPr>
          <w:rFonts w:ascii="Arial" w:eastAsia="Arial Unicode MS" w:hAnsi="Arial" w:cs="Arial Unicode MS"/>
          <w:color w:val="000000"/>
          <w:sz w:val="22"/>
          <w:szCs w:val="22"/>
        </w:rPr>
        <w:t xml:space="preserve"> to the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 </w:t>
      </w:r>
      <w:r>
        <w:rPr>
          <w:rFonts w:ascii="Arial" w:eastAsia="Arial Unicode MS" w:hAnsi="Arial" w:cs="Arial Unicode MS"/>
          <w:sz w:val="22"/>
          <w:szCs w:val="22"/>
        </w:rPr>
        <w:t>interim</w:t>
      </w:r>
      <w:r w:rsidRPr="00981CA8">
        <w:rPr>
          <w:rFonts w:ascii="Arial" w:eastAsia="Arial Unicode MS" w:hAnsi="Arial" w:cs="Arial Unicode MS"/>
          <w:color w:val="000000"/>
          <w:sz w:val="22"/>
          <w:szCs w:val="22"/>
        </w:rPr>
        <w:t xml:space="preserve"> consolidated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financial statements, the Group is exposed to certain significant </w:t>
      </w:r>
      <w:r w:rsidRPr="00981CA8">
        <w:rPr>
          <w:rFonts w:ascii="Arial" w:eastAsia="Arial Unicode MS" w:hAnsi="Arial" w:cs="Arial Unicode MS"/>
          <w:color w:val="000000"/>
          <w:sz w:val="22"/>
          <w:szCs w:val="22"/>
        </w:rPr>
        <w:t>regulatory risk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>s</w:t>
      </w:r>
      <w:r w:rsidRPr="00981CA8">
        <w:rPr>
          <w:rFonts w:ascii="Arial" w:eastAsia="Arial Unicode MS" w:hAnsi="Arial" w:cs="Arial Unicode MS"/>
          <w:color w:val="000000"/>
          <w:sz w:val="22"/>
          <w:szCs w:val="22"/>
        </w:rPr>
        <w:t xml:space="preserve">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>related to the telecommunications busines</w:t>
      </w:r>
      <w:r w:rsidRPr="00417962">
        <w:rPr>
          <w:rFonts w:ascii="Arial" w:eastAsia="Arial Unicode MS" w:hAnsi="Arial" w:cs="Arial Unicode MS"/>
          <w:color w:val="000000"/>
          <w:sz w:val="22"/>
          <w:szCs w:val="22"/>
        </w:rPr>
        <w:t>s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>,</w:t>
      </w:r>
      <w:r w:rsidRPr="0057369F">
        <w:rPr>
          <w:rFonts w:ascii="Arial" w:eastAsia="Arial Unicode MS" w:hAnsi="Arial" w:cs="Arial Unicode MS"/>
          <w:color w:val="000000"/>
          <w:sz w:val="22"/>
          <w:szCs w:val="22"/>
        </w:rPr>
        <w:t xml:space="preserve"> including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those related to the management under the </w:t>
      </w:r>
      <w:r w:rsidRPr="0057369F">
        <w:rPr>
          <w:rFonts w:ascii="Arial" w:eastAsia="Arial Unicode MS" w:hAnsi="Arial" w:cs="Arial Unicode MS"/>
          <w:color w:val="000000"/>
          <w:sz w:val="22"/>
          <w:szCs w:val="22"/>
        </w:rPr>
        <w:t>spectrum license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>s</w:t>
      </w:r>
      <w:r w:rsidRPr="0057369F">
        <w:rPr>
          <w:rFonts w:ascii="Arial" w:eastAsia="Arial Unicode MS" w:hAnsi="Arial" w:cs="Arial Unicode MS"/>
          <w:color w:val="000000"/>
          <w:sz w:val="22"/>
          <w:szCs w:val="22"/>
        </w:rPr>
        <w:t xml:space="preserve">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>at appropriate costs for use in the operation of the mobile telecommunication business, which is significant to the Group’s operation of its</w:t>
      </w:r>
      <w:r w:rsidRPr="0057369F">
        <w:rPr>
          <w:rFonts w:ascii="Arial" w:eastAsia="Arial Unicode MS" w:hAnsi="Arial" w:cs="Arial Unicode MS"/>
          <w:color w:val="000000"/>
          <w:sz w:val="22"/>
          <w:szCs w:val="22"/>
        </w:rPr>
        <w:t xml:space="preserve"> telecommunica</w:t>
      </w:r>
      <w:r w:rsidRPr="00124264">
        <w:rPr>
          <w:rFonts w:ascii="Arial" w:eastAsia="Arial Unicode MS" w:hAnsi="Arial" w:cs="Arial Unicode MS"/>
          <w:color w:val="000000"/>
          <w:sz w:val="22"/>
          <w:szCs w:val="22"/>
        </w:rPr>
        <w:t>tion business at present.</w:t>
      </w:r>
    </w:p>
    <w:p w14:paraId="68A58D81" w14:textId="667A0C5C" w:rsidR="002D0F12" w:rsidRPr="00525FAC" w:rsidRDefault="00C04438" w:rsidP="002D0DBD">
      <w:pPr>
        <w:tabs>
          <w:tab w:val="center" w:pos="6480"/>
        </w:tabs>
        <w:spacing w:before="1400" w:line="360" w:lineRule="exact"/>
        <w:ind w:right="-43"/>
        <w:jc w:val="both"/>
        <w:rPr>
          <w:rFonts w:ascii="Arial" w:eastAsia="Arial Unicode MS" w:hAnsi="Arial" w:cs="Arial Unicode MS"/>
          <w:sz w:val="22"/>
          <w:szCs w:val="22"/>
        </w:rPr>
      </w:pPr>
      <w:r w:rsidRPr="00C04438">
        <w:rPr>
          <w:rFonts w:ascii="Arial" w:eastAsia="Arial Unicode MS" w:hAnsi="Arial" w:cs="Arial Unicode MS"/>
          <w:sz w:val="22"/>
          <w:szCs w:val="22"/>
        </w:rPr>
        <w:t>Pimjai Manitkajohnkit</w:t>
      </w:r>
    </w:p>
    <w:p w14:paraId="32328886" w14:textId="003CEE36" w:rsidR="002D0F12" w:rsidRPr="00525FAC" w:rsidRDefault="002D0F12" w:rsidP="002D0F12">
      <w:pPr>
        <w:tabs>
          <w:tab w:val="center" w:pos="6480"/>
        </w:tabs>
        <w:spacing w:after="360" w:line="360" w:lineRule="exact"/>
        <w:ind w:right="-43"/>
        <w:jc w:val="both"/>
        <w:rPr>
          <w:rFonts w:ascii="Arial" w:eastAsia="Arial Unicode MS" w:hAnsi="Arial" w:cs="Arial Unicode MS"/>
          <w:sz w:val="22"/>
          <w:szCs w:val="22"/>
        </w:rPr>
      </w:pPr>
      <w:r w:rsidRPr="00525FAC">
        <w:rPr>
          <w:rFonts w:ascii="Arial" w:eastAsia="Arial Unicode MS" w:hAnsi="Arial" w:cs="Arial Unicode MS"/>
          <w:sz w:val="22"/>
          <w:szCs w:val="22"/>
        </w:rPr>
        <w:t xml:space="preserve">Certified Public Accountant </w:t>
      </w:r>
      <w:r w:rsidRPr="00525FAC">
        <w:rPr>
          <w:rFonts w:ascii="Arial" w:eastAsia="Arial Unicode MS" w:hAnsi="Arial" w:cs="Arial Unicode MS"/>
          <w:sz w:val="22"/>
          <w:szCs w:val="22"/>
          <w:cs/>
          <w:lang w:val="en-GB"/>
        </w:rPr>
        <w:t>(</w:t>
      </w:r>
      <w:r w:rsidRPr="00525FAC">
        <w:rPr>
          <w:rFonts w:ascii="Arial" w:eastAsia="Arial Unicode MS" w:hAnsi="Arial" w:cs="Arial Unicode MS"/>
          <w:sz w:val="22"/>
          <w:szCs w:val="22"/>
        </w:rPr>
        <w:t>Thailand</w:t>
      </w:r>
      <w:r w:rsidRPr="00525FAC">
        <w:rPr>
          <w:rFonts w:ascii="Arial" w:eastAsia="Arial Unicode MS" w:hAnsi="Arial" w:cs="Arial Unicode MS"/>
          <w:sz w:val="22"/>
          <w:szCs w:val="22"/>
          <w:cs/>
          <w:lang w:val="en-GB"/>
        </w:rPr>
        <w:t xml:space="preserve">) </w:t>
      </w:r>
      <w:r w:rsidRPr="00525FAC">
        <w:rPr>
          <w:rFonts w:ascii="Arial" w:eastAsia="Arial Unicode MS" w:hAnsi="Arial" w:cs="Arial Unicode MS"/>
          <w:sz w:val="22"/>
          <w:szCs w:val="22"/>
        </w:rPr>
        <w:t>No</w:t>
      </w:r>
      <w:r w:rsidRPr="00525FAC">
        <w:rPr>
          <w:rFonts w:ascii="Arial" w:eastAsia="Arial Unicode MS" w:hAnsi="Arial" w:cs="Arial Unicode MS"/>
          <w:sz w:val="22"/>
          <w:szCs w:val="22"/>
          <w:cs/>
          <w:lang w:val="en-GB"/>
        </w:rPr>
        <w:t xml:space="preserve">. </w:t>
      </w:r>
      <w:r w:rsidR="00CB7EF6" w:rsidRPr="00CB7EF6">
        <w:rPr>
          <w:rFonts w:ascii="Arial" w:eastAsia="Arial Unicode MS" w:hAnsi="Arial" w:cs="Arial Unicode MS"/>
          <w:sz w:val="22"/>
          <w:szCs w:val="22"/>
          <w:lang w:val="en-GB"/>
        </w:rPr>
        <w:t>4521</w:t>
      </w:r>
    </w:p>
    <w:p w14:paraId="57AC3D6B" w14:textId="77777777" w:rsidR="002D0F12" w:rsidRPr="006D15C9" w:rsidRDefault="002D0F12" w:rsidP="002D0F12">
      <w:pPr>
        <w:spacing w:before="240" w:line="380" w:lineRule="exact"/>
        <w:rPr>
          <w:rFonts w:ascii="Arial" w:hAnsi="Arial" w:cs="Arial"/>
          <w:spacing w:val="-3"/>
          <w:sz w:val="22"/>
          <w:szCs w:val="22"/>
        </w:rPr>
      </w:pPr>
      <w:r w:rsidRPr="006D15C9">
        <w:rPr>
          <w:rFonts w:ascii="Arial" w:hAnsi="Arial" w:cs="Arial"/>
          <w:spacing w:val="-3"/>
          <w:sz w:val="22"/>
          <w:szCs w:val="22"/>
        </w:rPr>
        <w:t>EY Office Limited</w:t>
      </w:r>
    </w:p>
    <w:p w14:paraId="05BD0951" w14:textId="5FD5BB01" w:rsidR="00CC1192" w:rsidRPr="002D280C" w:rsidRDefault="002D0F12" w:rsidP="002D280C">
      <w:pPr>
        <w:tabs>
          <w:tab w:val="center" w:pos="6480"/>
        </w:tabs>
        <w:spacing w:line="360" w:lineRule="exact"/>
        <w:ind w:right="-43"/>
        <w:jc w:val="both"/>
        <w:rPr>
          <w:rFonts w:ascii="Arial" w:eastAsia="Arial Unicode MS" w:hAnsi="Arial" w:cs="Arial Unicode MS"/>
          <w:sz w:val="22"/>
          <w:szCs w:val="22"/>
        </w:rPr>
      </w:pPr>
      <w:r w:rsidRPr="00525FAC">
        <w:rPr>
          <w:rFonts w:ascii="Arial" w:eastAsia="Arial Unicode MS" w:hAnsi="Arial" w:cs="Arial Unicode MS"/>
          <w:sz w:val="22"/>
          <w:szCs w:val="22"/>
        </w:rPr>
        <w:t xml:space="preserve">Bangkok: </w:t>
      </w:r>
      <w:r w:rsidR="00D74E14">
        <w:rPr>
          <w:rFonts w:ascii="Arial" w:eastAsia="Arial Unicode MS" w:hAnsi="Arial" w:cs="Arial Unicode MS"/>
          <w:sz w:val="22"/>
          <w:szCs w:val="22"/>
        </w:rPr>
        <w:t>22 October</w:t>
      </w:r>
      <w:r w:rsidR="00E35562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4C6E99">
        <w:rPr>
          <w:rFonts w:ascii="Arial" w:eastAsia="Arial Unicode MS" w:hAnsi="Arial" w:cs="Arial Unicode MS"/>
          <w:sz w:val="22"/>
          <w:szCs w:val="22"/>
        </w:rPr>
        <w:t>202</w:t>
      </w:r>
      <w:r w:rsidR="002F74EE">
        <w:rPr>
          <w:rFonts w:ascii="Arial" w:eastAsia="Arial Unicode MS" w:hAnsi="Arial" w:cs="Arial Unicode MS"/>
          <w:sz w:val="22"/>
          <w:szCs w:val="22"/>
        </w:rPr>
        <w:t>1</w:t>
      </w:r>
    </w:p>
    <w:sectPr w:rsidR="00CC1192" w:rsidRPr="002D280C" w:rsidSect="002D0DBD">
      <w:footerReference w:type="default" r:id="rId13"/>
      <w:footerReference w:type="first" r:id="rId14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E539FD" w14:textId="77777777" w:rsidR="00642CE3" w:rsidRDefault="00642CE3" w:rsidP="008A2929">
      <w:r>
        <w:separator/>
      </w:r>
    </w:p>
  </w:endnote>
  <w:endnote w:type="continuationSeparator" w:id="0">
    <w:p w14:paraId="70D42A4D" w14:textId="77777777" w:rsidR="00642CE3" w:rsidRDefault="00642CE3" w:rsidP="008A2929">
      <w:r>
        <w:continuationSeparator/>
      </w:r>
    </w:p>
  </w:endnote>
  <w:endnote w:type="continuationNotice" w:id="1">
    <w:p w14:paraId="27F9818C" w14:textId="77777777" w:rsidR="00642CE3" w:rsidRDefault="00642C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D22DBD" w14:textId="77777777" w:rsidR="00A1503E" w:rsidRPr="00A1503E" w:rsidRDefault="00A1503E" w:rsidP="00A1503E">
    <w:pPr>
      <w:pStyle w:val="Footer"/>
      <w:jc w:val="right"/>
      <w:rPr>
        <w:rFonts w:ascii="Arial" w:hAnsi="Arial" w:cs="Arial"/>
        <w:sz w:val="22"/>
        <w:szCs w:val="22"/>
      </w:rPr>
    </w:pPr>
  </w:p>
  <w:p w14:paraId="5E316906" w14:textId="77777777" w:rsidR="00A1503E" w:rsidRDefault="00A150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40AFEC" w14:textId="77777777" w:rsidR="00A1503E" w:rsidRPr="00A05B9D" w:rsidRDefault="00A1503E" w:rsidP="00A1503E">
    <w:pPr>
      <w:pStyle w:val="Footer"/>
      <w:framePr w:w="465" w:wrap="around" w:vAnchor="text" w:hAnchor="page" w:x="10027" w:y="30"/>
      <w:jc w:val="right"/>
      <w:rPr>
        <w:rStyle w:val="PageNumber"/>
        <w:rFonts w:ascii="Arial" w:eastAsia="Arial Unicode MS" w:hAnsi="Arial" w:cs="Arial Unicode MS"/>
        <w:sz w:val="22"/>
        <w:szCs w:val="22"/>
      </w:rPr>
    </w:pPr>
    <w:r>
      <w:rPr>
        <w:rStyle w:val="PageNumber"/>
        <w:rFonts w:ascii="Arial" w:eastAsia="Arial Unicode MS" w:hAnsi="Arial" w:cs="Arial Unicode MS"/>
        <w:sz w:val="22"/>
        <w:szCs w:val="22"/>
      </w:rPr>
      <w:t>2</w:t>
    </w:r>
    <w:r w:rsidRPr="00A05B9D">
      <w:rPr>
        <w:rStyle w:val="PageNumber"/>
        <w:rFonts w:ascii="Arial" w:eastAsia="Arial Unicode MS" w:hAnsi="Arial" w:cs="Arial Unicode MS"/>
        <w:sz w:val="22"/>
        <w:szCs w:val="22"/>
      </w:rPr>
      <w:t xml:space="preserve">  </w:t>
    </w:r>
  </w:p>
  <w:p w14:paraId="00A9CA0E" w14:textId="77777777" w:rsidR="00A1503E" w:rsidRDefault="00A1503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733C0F" w14:textId="77777777" w:rsidR="001F702F" w:rsidRPr="002D0DBD" w:rsidRDefault="00D74E14" w:rsidP="002D0DB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00338485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18"/>
      </w:rPr>
    </w:sdtEndPr>
    <w:sdtContent>
      <w:p w14:paraId="32A72E47" w14:textId="77777777" w:rsidR="002D0DBD" w:rsidRPr="002D0DBD" w:rsidRDefault="002D0DBD" w:rsidP="002D0DBD">
        <w:pPr>
          <w:pStyle w:val="Footer"/>
          <w:jc w:val="right"/>
          <w:rPr>
            <w:rFonts w:ascii="Arial" w:hAnsi="Arial" w:cs="Arial"/>
            <w:sz w:val="22"/>
            <w:szCs w:val="18"/>
          </w:rPr>
        </w:pPr>
        <w:r w:rsidRPr="002D0DBD">
          <w:rPr>
            <w:rFonts w:ascii="Arial" w:hAnsi="Arial" w:cs="Arial"/>
            <w:sz w:val="22"/>
            <w:szCs w:val="18"/>
          </w:rPr>
          <w:fldChar w:fldCharType="begin"/>
        </w:r>
        <w:r w:rsidRPr="002D0DBD">
          <w:rPr>
            <w:rFonts w:ascii="Arial" w:hAnsi="Arial" w:cs="Arial"/>
            <w:sz w:val="22"/>
            <w:szCs w:val="18"/>
          </w:rPr>
          <w:instrText xml:space="preserve"> PAGE   \* MERGEFORMAT </w:instrText>
        </w:r>
        <w:r w:rsidRPr="002D0DBD">
          <w:rPr>
            <w:rFonts w:ascii="Arial" w:hAnsi="Arial" w:cs="Arial"/>
            <w:sz w:val="22"/>
            <w:szCs w:val="18"/>
          </w:rPr>
          <w:fldChar w:fldCharType="separate"/>
        </w:r>
        <w:r w:rsidR="002E1E06">
          <w:rPr>
            <w:rFonts w:ascii="Arial" w:hAnsi="Arial" w:cs="Arial"/>
            <w:noProof/>
            <w:sz w:val="22"/>
            <w:szCs w:val="18"/>
          </w:rPr>
          <w:t>3</w:t>
        </w:r>
        <w:r w:rsidRPr="002D0DBD">
          <w:rPr>
            <w:rFonts w:ascii="Arial" w:hAnsi="Arial" w:cs="Arial"/>
            <w:noProof/>
            <w:sz w:val="22"/>
            <w:szCs w:val="18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13378284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18"/>
      </w:rPr>
    </w:sdtEndPr>
    <w:sdtContent>
      <w:p w14:paraId="700DA6B5" w14:textId="77777777" w:rsidR="002D0DBD" w:rsidRPr="002D0DBD" w:rsidRDefault="002D0DBD" w:rsidP="002D0DBD">
        <w:pPr>
          <w:pStyle w:val="Footer"/>
          <w:jc w:val="right"/>
          <w:rPr>
            <w:rFonts w:ascii="Arial" w:hAnsi="Arial" w:cs="Arial"/>
            <w:sz w:val="22"/>
            <w:szCs w:val="18"/>
          </w:rPr>
        </w:pPr>
        <w:r w:rsidRPr="002D0DBD">
          <w:rPr>
            <w:rFonts w:ascii="Arial" w:hAnsi="Arial" w:cs="Arial"/>
            <w:sz w:val="22"/>
            <w:szCs w:val="18"/>
          </w:rPr>
          <w:fldChar w:fldCharType="begin"/>
        </w:r>
        <w:r w:rsidRPr="002D0DBD">
          <w:rPr>
            <w:rFonts w:ascii="Arial" w:hAnsi="Arial" w:cs="Arial"/>
            <w:sz w:val="22"/>
            <w:szCs w:val="18"/>
          </w:rPr>
          <w:instrText xml:space="preserve"> PAGE   \* MERGEFORMAT </w:instrText>
        </w:r>
        <w:r w:rsidRPr="002D0DBD">
          <w:rPr>
            <w:rFonts w:ascii="Arial" w:hAnsi="Arial" w:cs="Arial"/>
            <w:sz w:val="22"/>
            <w:szCs w:val="18"/>
          </w:rPr>
          <w:fldChar w:fldCharType="separate"/>
        </w:r>
        <w:r w:rsidR="002E1E06">
          <w:rPr>
            <w:rFonts w:ascii="Arial" w:hAnsi="Arial" w:cs="Arial"/>
            <w:noProof/>
            <w:sz w:val="22"/>
            <w:szCs w:val="18"/>
          </w:rPr>
          <w:t>2</w:t>
        </w:r>
        <w:r w:rsidRPr="002D0DBD">
          <w:rPr>
            <w:rFonts w:ascii="Arial" w:hAnsi="Arial" w:cs="Arial"/>
            <w:noProof/>
            <w:sz w:val="22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892D6E" w14:textId="77777777" w:rsidR="00642CE3" w:rsidRDefault="00642CE3" w:rsidP="008A2929">
      <w:r>
        <w:separator/>
      </w:r>
    </w:p>
  </w:footnote>
  <w:footnote w:type="continuationSeparator" w:id="0">
    <w:p w14:paraId="30FC8203" w14:textId="77777777" w:rsidR="00642CE3" w:rsidRDefault="00642CE3" w:rsidP="008A2929">
      <w:r>
        <w:continuationSeparator/>
      </w:r>
    </w:p>
  </w:footnote>
  <w:footnote w:type="continuationNotice" w:id="1">
    <w:p w14:paraId="484CCCD9" w14:textId="77777777" w:rsidR="00642CE3" w:rsidRDefault="00642CE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86A"/>
    <w:rsid w:val="0002313B"/>
    <w:rsid w:val="00023BF9"/>
    <w:rsid w:val="000507AB"/>
    <w:rsid w:val="0007426F"/>
    <w:rsid w:val="00095948"/>
    <w:rsid w:val="000B3840"/>
    <w:rsid w:val="000F7AEC"/>
    <w:rsid w:val="00124264"/>
    <w:rsid w:val="001C4D27"/>
    <w:rsid w:val="001C727D"/>
    <w:rsid w:val="001E4E45"/>
    <w:rsid w:val="001E5929"/>
    <w:rsid w:val="00202ACB"/>
    <w:rsid w:val="00216733"/>
    <w:rsid w:val="0022692C"/>
    <w:rsid w:val="00244C0F"/>
    <w:rsid w:val="00257C8C"/>
    <w:rsid w:val="0026032A"/>
    <w:rsid w:val="00260E81"/>
    <w:rsid w:val="00265660"/>
    <w:rsid w:val="0028344B"/>
    <w:rsid w:val="002A224E"/>
    <w:rsid w:val="002A29B6"/>
    <w:rsid w:val="002A7A77"/>
    <w:rsid w:val="002D0DBD"/>
    <w:rsid w:val="002D0F12"/>
    <w:rsid w:val="002D280C"/>
    <w:rsid w:val="002E1E06"/>
    <w:rsid w:val="002F74EE"/>
    <w:rsid w:val="00306E9C"/>
    <w:rsid w:val="003349CD"/>
    <w:rsid w:val="0034412D"/>
    <w:rsid w:val="00393ADC"/>
    <w:rsid w:val="003C274F"/>
    <w:rsid w:val="003F5B55"/>
    <w:rsid w:val="003F7134"/>
    <w:rsid w:val="004308E9"/>
    <w:rsid w:val="004437FC"/>
    <w:rsid w:val="00460AC2"/>
    <w:rsid w:val="004742E7"/>
    <w:rsid w:val="0049206B"/>
    <w:rsid w:val="00496866"/>
    <w:rsid w:val="004A5668"/>
    <w:rsid w:val="004A7A3E"/>
    <w:rsid w:val="004C6E99"/>
    <w:rsid w:val="004D226E"/>
    <w:rsid w:val="004D27B4"/>
    <w:rsid w:val="004D5372"/>
    <w:rsid w:val="00535AFF"/>
    <w:rsid w:val="00541941"/>
    <w:rsid w:val="00550343"/>
    <w:rsid w:val="00555896"/>
    <w:rsid w:val="00564551"/>
    <w:rsid w:val="00572E45"/>
    <w:rsid w:val="00574BA1"/>
    <w:rsid w:val="00580008"/>
    <w:rsid w:val="00593F37"/>
    <w:rsid w:val="005A43D6"/>
    <w:rsid w:val="005A63BB"/>
    <w:rsid w:val="005A64C4"/>
    <w:rsid w:val="005B4C5F"/>
    <w:rsid w:val="005C0205"/>
    <w:rsid w:val="005C7315"/>
    <w:rsid w:val="005D373B"/>
    <w:rsid w:val="005D43A2"/>
    <w:rsid w:val="006002A9"/>
    <w:rsid w:val="00612594"/>
    <w:rsid w:val="00634254"/>
    <w:rsid w:val="00642CE3"/>
    <w:rsid w:val="006501A6"/>
    <w:rsid w:val="006559A6"/>
    <w:rsid w:val="0067403E"/>
    <w:rsid w:val="00690C8F"/>
    <w:rsid w:val="006924CA"/>
    <w:rsid w:val="006A35F3"/>
    <w:rsid w:val="006B0799"/>
    <w:rsid w:val="006B42B1"/>
    <w:rsid w:val="006F47B6"/>
    <w:rsid w:val="006F7CBE"/>
    <w:rsid w:val="00750D1D"/>
    <w:rsid w:val="00750EB5"/>
    <w:rsid w:val="00795122"/>
    <w:rsid w:val="00797FCA"/>
    <w:rsid w:val="007A1AAC"/>
    <w:rsid w:val="007B3CA6"/>
    <w:rsid w:val="007B5F34"/>
    <w:rsid w:val="007C0602"/>
    <w:rsid w:val="007D7311"/>
    <w:rsid w:val="007F5860"/>
    <w:rsid w:val="008125E1"/>
    <w:rsid w:val="00820D98"/>
    <w:rsid w:val="00834ED5"/>
    <w:rsid w:val="00846550"/>
    <w:rsid w:val="008518F7"/>
    <w:rsid w:val="008566BB"/>
    <w:rsid w:val="0087334B"/>
    <w:rsid w:val="00881D96"/>
    <w:rsid w:val="008A20A2"/>
    <w:rsid w:val="008A2929"/>
    <w:rsid w:val="008A324F"/>
    <w:rsid w:val="008B3009"/>
    <w:rsid w:val="008E2BEB"/>
    <w:rsid w:val="0090086A"/>
    <w:rsid w:val="00924A01"/>
    <w:rsid w:val="00924C93"/>
    <w:rsid w:val="0095040C"/>
    <w:rsid w:val="009607F0"/>
    <w:rsid w:val="009729F4"/>
    <w:rsid w:val="009A753A"/>
    <w:rsid w:val="009A7BED"/>
    <w:rsid w:val="009B367D"/>
    <w:rsid w:val="009C6452"/>
    <w:rsid w:val="009E00D0"/>
    <w:rsid w:val="009E0701"/>
    <w:rsid w:val="009E308B"/>
    <w:rsid w:val="009F3D04"/>
    <w:rsid w:val="00A1503E"/>
    <w:rsid w:val="00A233FA"/>
    <w:rsid w:val="00A62988"/>
    <w:rsid w:val="00A8699B"/>
    <w:rsid w:val="00A90E32"/>
    <w:rsid w:val="00A96982"/>
    <w:rsid w:val="00AA280B"/>
    <w:rsid w:val="00AB5B58"/>
    <w:rsid w:val="00AD04DE"/>
    <w:rsid w:val="00B77454"/>
    <w:rsid w:val="00B954EB"/>
    <w:rsid w:val="00BA1F35"/>
    <w:rsid w:val="00BA32DC"/>
    <w:rsid w:val="00BE2F77"/>
    <w:rsid w:val="00BE78E3"/>
    <w:rsid w:val="00BF4910"/>
    <w:rsid w:val="00C01425"/>
    <w:rsid w:val="00C04438"/>
    <w:rsid w:val="00C5740A"/>
    <w:rsid w:val="00C5758E"/>
    <w:rsid w:val="00CB5F76"/>
    <w:rsid w:val="00CB7EF6"/>
    <w:rsid w:val="00CC1192"/>
    <w:rsid w:val="00D044E2"/>
    <w:rsid w:val="00D30564"/>
    <w:rsid w:val="00D66322"/>
    <w:rsid w:val="00D672F6"/>
    <w:rsid w:val="00D70924"/>
    <w:rsid w:val="00D74E14"/>
    <w:rsid w:val="00D77962"/>
    <w:rsid w:val="00D877FB"/>
    <w:rsid w:val="00DA3CF3"/>
    <w:rsid w:val="00DB7DD4"/>
    <w:rsid w:val="00DD60DF"/>
    <w:rsid w:val="00DD72E0"/>
    <w:rsid w:val="00DE3B5E"/>
    <w:rsid w:val="00E04C12"/>
    <w:rsid w:val="00E04E95"/>
    <w:rsid w:val="00E26A28"/>
    <w:rsid w:val="00E35562"/>
    <w:rsid w:val="00E4455E"/>
    <w:rsid w:val="00E4627D"/>
    <w:rsid w:val="00E641DE"/>
    <w:rsid w:val="00EB1C10"/>
    <w:rsid w:val="00F13DF4"/>
    <w:rsid w:val="00F414E6"/>
    <w:rsid w:val="00F53078"/>
    <w:rsid w:val="00F71BF9"/>
    <w:rsid w:val="00FC0A87"/>
    <w:rsid w:val="00FD273E"/>
    <w:rsid w:val="00FD6219"/>
    <w:rsid w:val="00FD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1B15D1D"/>
  <w15:docId w15:val="{A89451B9-F2DC-4771-A099-71BCEB3BF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basedOn w:val="DefaultParagraphFont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basedOn w:val="DefaultParagraphFont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basedOn w:val="DefaultParagraphFont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CE8F94C8EC17E4F8032352936709A22" ma:contentTypeVersion="4" ma:contentTypeDescription="สร้างเอกสารใหม่" ma:contentTypeScope="" ma:versionID="bbd23bdc7d0ee8de75c62fc6772d39d0">
  <xsd:schema xmlns:xsd="http://www.w3.org/2001/XMLSchema" xmlns:xs="http://www.w3.org/2001/XMLSchema" xmlns:p="http://schemas.microsoft.com/office/2006/metadata/properties" xmlns:ns2="c18b424d-2539-469a-ac12-8f04a6711861" targetNamespace="http://schemas.microsoft.com/office/2006/metadata/properties" ma:root="true" ma:fieldsID="9f9fc18950f0c8d7c75cbe344df6d288" ns2:_="">
    <xsd:import namespace="c18b424d-2539-469a-ac12-8f04a67118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b424d-2539-469a-ac12-8f04a67118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834F73-3BA5-4754-A69B-A921D85A85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9C673B-A758-4F02-8A9D-F5DA066B8F90}">
  <ds:schemaRefs>
    <ds:schemaRef ds:uri="2b93069f-7a5b-4258-bf34-d1f9a7e3601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8AE9D91-81D0-4A33-8ED5-3A69DE54A8EA}"/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36427</vt:lpwstr>
  </property>
  <property fmtid="{D5CDD505-2E9C-101B-9397-08002B2CF9AE}" pid="4" name="OptimizationTime">
    <vt:lpwstr>20211013_2005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4</Pages>
  <Words>846</Words>
  <Characters>4827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Pasiree Pipatnoraseth</cp:lastModifiedBy>
  <cp:revision>27</cp:revision>
  <cp:lastPrinted>2021-04-26T08:35:00Z</cp:lastPrinted>
  <dcterms:created xsi:type="dcterms:W3CDTF">2020-04-20T15:36:00Z</dcterms:created>
  <dcterms:modified xsi:type="dcterms:W3CDTF">2021-08-16T06:20:00Z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0x0101008CE8F94C8EC17E4F8032352936709A22</vt:lpwstr>
  </property>
</Properties>
</file>