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42BED6B8" w14:textId="77777777" w:rsidTr="00A341BF">
        <w:trPr>
          <w:trHeight w:val="2865"/>
        </w:trPr>
        <w:tc>
          <w:tcPr>
            <w:tcW w:w="2268" w:type="dxa"/>
          </w:tcPr>
          <w:p w14:paraId="773A3FE7" w14:textId="77777777" w:rsidR="00E0585C" w:rsidRPr="00E0585C" w:rsidRDefault="00E0585C">
            <w:pPr>
              <w:rPr>
                <w:rFonts w:ascii="Angsana New" w:hAnsi="Angsana New"/>
                <w:sz w:val="36"/>
                <w:szCs w:val="36"/>
                <w:cs/>
              </w:rPr>
            </w:pPr>
          </w:p>
        </w:tc>
        <w:tc>
          <w:tcPr>
            <w:tcW w:w="7320" w:type="dxa"/>
            <w:vAlign w:val="center"/>
          </w:tcPr>
          <w:p w14:paraId="10B27163"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14:paraId="28B4AF2B" w14:textId="43321A09" w:rsidR="00001688" w:rsidRPr="00B848E8" w:rsidRDefault="00E01A4F" w:rsidP="00001688">
            <w:pPr>
              <w:spacing w:line="380" w:lineRule="exact"/>
              <w:ind w:left="14"/>
              <w:rPr>
                <w:rFonts w:cs="Times New Roman"/>
                <w:color w:val="7E7F82"/>
                <w:sz w:val="27"/>
                <w:szCs w:val="27"/>
              </w:rPr>
            </w:pPr>
            <w:r>
              <w:rPr>
                <w:rFonts w:cstheme="minorBidi" w:hint="cs"/>
                <w:color w:val="7E7F82"/>
                <w:sz w:val="27"/>
                <w:szCs w:val="27"/>
                <w:cs/>
              </w:rPr>
              <w:t xml:space="preserve">    </w:t>
            </w:r>
            <w:r w:rsidR="00001688" w:rsidRPr="00B848E8">
              <w:rPr>
                <w:rFonts w:cs="Times New Roman"/>
                <w:color w:val="7E7F82"/>
                <w:sz w:val="27"/>
                <w:szCs w:val="27"/>
              </w:rPr>
              <w:t>and its subsidiaries</w:t>
            </w:r>
          </w:p>
          <w:p w14:paraId="36B0D40C" w14:textId="09FFDE08"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w:t>
            </w:r>
            <w:r w:rsidR="00900EB7" w:rsidRPr="00B848E8">
              <w:rPr>
                <w:rFonts w:cs="Times New Roman"/>
                <w:color w:val="7E7F82"/>
                <w:sz w:val="27"/>
                <w:szCs w:val="27"/>
              </w:rPr>
              <w:t xml:space="preserve">interim </w:t>
            </w:r>
            <w:r w:rsidRPr="00B848E8">
              <w:rPr>
                <w:rFonts w:cs="Times New Roman"/>
                <w:color w:val="7E7F82"/>
                <w:sz w:val="27"/>
                <w:szCs w:val="27"/>
              </w:rPr>
              <w:t xml:space="preserve">financial </w:t>
            </w:r>
            <w:r w:rsidR="005F186A">
              <w:rPr>
                <w:rFonts w:cs="Times New Roman"/>
                <w:color w:val="7E7F82"/>
                <w:sz w:val="27"/>
                <w:szCs w:val="27"/>
              </w:rPr>
              <w:t>information</w:t>
            </w:r>
          </w:p>
          <w:p w14:paraId="47679B09" w14:textId="1495BC9C" w:rsidR="00BD3F01" w:rsidRDefault="00001688" w:rsidP="00174C99">
            <w:pPr>
              <w:spacing w:line="380" w:lineRule="exact"/>
              <w:ind w:left="14"/>
              <w:rPr>
                <w:rFonts w:cs="Times New Roman"/>
                <w:color w:val="7E7F82"/>
                <w:sz w:val="27"/>
                <w:szCs w:val="27"/>
              </w:rPr>
            </w:pPr>
            <w:r w:rsidRPr="00B848E8">
              <w:rPr>
                <w:rFonts w:cs="Times New Roman"/>
                <w:color w:val="7E7F82"/>
                <w:sz w:val="27"/>
                <w:szCs w:val="27"/>
              </w:rPr>
              <w:t xml:space="preserve">For the </w:t>
            </w:r>
            <w:r w:rsidR="00E02098">
              <w:rPr>
                <w:rFonts w:cs="Times New Roman"/>
                <w:color w:val="7E7F82"/>
                <w:sz w:val="27"/>
                <w:szCs w:val="27"/>
              </w:rPr>
              <w:t xml:space="preserve">three-month </w:t>
            </w:r>
            <w:r w:rsidR="001C7AD4">
              <w:rPr>
                <w:rFonts w:cs="Times New Roman"/>
                <w:color w:val="7E7F82"/>
                <w:sz w:val="27"/>
                <w:szCs w:val="27"/>
              </w:rPr>
              <w:t xml:space="preserve">and </w:t>
            </w:r>
            <w:r w:rsidR="00BD3F01">
              <w:rPr>
                <w:color w:val="7E7F82"/>
                <w:sz w:val="27"/>
                <w:szCs w:val="34"/>
              </w:rPr>
              <w:t>nine</w:t>
            </w:r>
            <w:r>
              <w:rPr>
                <w:color w:val="7E7F82"/>
                <w:sz w:val="27"/>
                <w:szCs w:val="34"/>
              </w:rPr>
              <w:t xml:space="preserve">-month </w:t>
            </w:r>
            <w:r w:rsidR="001A69CB">
              <w:rPr>
                <w:color w:val="7E7F82"/>
                <w:sz w:val="27"/>
                <w:szCs w:val="34"/>
              </w:rPr>
              <w:t>period</w:t>
            </w:r>
            <w:r w:rsidR="00E02098">
              <w:rPr>
                <w:color w:val="7E7F82"/>
                <w:sz w:val="27"/>
                <w:szCs w:val="34"/>
              </w:rPr>
              <w:t xml:space="preserve">s </w:t>
            </w:r>
            <w:r w:rsidR="003C05D2">
              <w:rPr>
                <w:rFonts w:cs="Times New Roman"/>
                <w:color w:val="7E7F82"/>
                <w:sz w:val="27"/>
                <w:szCs w:val="27"/>
              </w:rPr>
              <w:t xml:space="preserve">ended </w:t>
            </w:r>
          </w:p>
          <w:p w14:paraId="38C39884" w14:textId="50B4DA94" w:rsidR="006F04B3" w:rsidRPr="003C05D2" w:rsidRDefault="00E01A4F" w:rsidP="00174C99">
            <w:pPr>
              <w:spacing w:line="380" w:lineRule="exact"/>
              <w:ind w:left="14"/>
              <w:rPr>
                <w:rFonts w:cs="Times New Roman"/>
                <w:color w:val="7E7F82"/>
                <w:sz w:val="27"/>
                <w:szCs w:val="27"/>
              </w:rPr>
            </w:pPr>
            <w:r>
              <w:rPr>
                <w:rFonts w:cstheme="minorBidi" w:hint="cs"/>
                <w:color w:val="7E7F82"/>
                <w:sz w:val="27"/>
                <w:szCs w:val="27"/>
                <w:cs/>
              </w:rPr>
              <w:t xml:space="preserve">    </w:t>
            </w:r>
            <w:r w:rsidR="006D11B0">
              <w:rPr>
                <w:rFonts w:cs="Times New Roman"/>
                <w:color w:val="7E7F82"/>
                <w:sz w:val="27"/>
                <w:szCs w:val="27"/>
              </w:rPr>
              <w:t xml:space="preserve">30 </w:t>
            </w:r>
            <w:r w:rsidR="00BD3F01">
              <w:rPr>
                <w:rFonts w:cs="Times New Roman"/>
                <w:color w:val="7E7F82"/>
                <w:sz w:val="27"/>
                <w:szCs w:val="27"/>
              </w:rPr>
              <w:t>September</w:t>
            </w:r>
            <w:r w:rsidR="00001688" w:rsidRPr="00B848E8">
              <w:rPr>
                <w:rFonts w:cs="Times New Roman"/>
                <w:color w:val="7E7F82"/>
                <w:sz w:val="27"/>
                <w:szCs w:val="27"/>
              </w:rPr>
              <w:t xml:space="preserve"> </w:t>
            </w:r>
            <w:r w:rsidR="00301B26">
              <w:rPr>
                <w:rFonts w:cs="Times New Roman"/>
                <w:color w:val="7E7F82"/>
                <w:sz w:val="27"/>
                <w:szCs w:val="27"/>
              </w:rPr>
              <w:t>202</w:t>
            </w:r>
            <w:r w:rsidR="001F62C9">
              <w:rPr>
                <w:rFonts w:cs="Times New Roman"/>
                <w:color w:val="7E7F82"/>
                <w:sz w:val="27"/>
                <w:szCs w:val="27"/>
              </w:rPr>
              <w:t>1</w:t>
            </w:r>
          </w:p>
        </w:tc>
      </w:tr>
    </w:tbl>
    <w:p w14:paraId="2E4037B9" w14:textId="77777777" w:rsidR="00B626F4" w:rsidRDefault="00B626F4">
      <w:pPr>
        <w:sectPr w:rsidR="00B626F4" w:rsidSect="00A341BF">
          <w:footerReference w:type="default" r:id="rId7"/>
          <w:headerReference w:type="first" r:id="rId8"/>
          <w:pgSz w:w="11907" w:h="16840" w:code="9"/>
          <w:pgMar w:top="1728" w:right="1080" w:bottom="11520" w:left="360" w:header="720" w:footer="720" w:gutter="0"/>
          <w:cols w:space="720"/>
          <w:docGrid w:linePitch="360"/>
        </w:sectPr>
      </w:pPr>
    </w:p>
    <w:p w14:paraId="70A676BE" w14:textId="77777777" w:rsidR="00A341BF" w:rsidRPr="00357613" w:rsidRDefault="00A341BF" w:rsidP="00E02098">
      <w:pPr>
        <w:tabs>
          <w:tab w:val="left" w:pos="720"/>
          <w:tab w:val="left" w:pos="2160"/>
          <w:tab w:val="right" w:pos="7200"/>
          <w:tab w:val="right" w:pos="8540"/>
        </w:tabs>
        <w:spacing w:before="120"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14:paraId="3D263C41" w14:textId="77777777" w:rsidR="00001688" w:rsidRPr="00C269F0" w:rsidRDefault="00001688" w:rsidP="00E02098">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14:paraId="7EE24C5F" w14:textId="656A37FB" w:rsidR="00001688" w:rsidRPr="00314344" w:rsidRDefault="00001688" w:rsidP="00E02098">
      <w:pPr>
        <w:spacing w:before="360" w:after="12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6D11B0">
        <w:rPr>
          <w:rFonts w:ascii="Arial" w:hAnsi="Arial" w:cs="Arial"/>
          <w:sz w:val="22"/>
          <w:szCs w:val="22"/>
        </w:rPr>
        <w:t xml:space="preserve">30 </w:t>
      </w:r>
      <w:r w:rsidR="00BD3F01">
        <w:rPr>
          <w:rFonts w:ascii="Arial" w:hAnsi="Arial" w:cs="Arial"/>
          <w:sz w:val="22"/>
          <w:szCs w:val="22"/>
        </w:rPr>
        <w:t>September</w:t>
      </w:r>
      <w:r w:rsidRPr="00314344">
        <w:rPr>
          <w:rFonts w:ascii="Arial" w:hAnsi="Arial" w:cs="Arial"/>
          <w:sz w:val="22"/>
          <w:szCs w:val="22"/>
        </w:rPr>
        <w:t xml:space="preserve"> </w:t>
      </w:r>
      <w:r w:rsidR="00301B26">
        <w:rPr>
          <w:rFonts w:ascii="Arial" w:hAnsi="Arial" w:cs="Arial"/>
          <w:sz w:val="22"/>
          <w:szCs w:val="22"/>
        </w:rPr>
        <w:t>202</w:t>
      </w:r>
      <w:r w:rsidR="001F62C9">
        <w:rPr>
          <w:rFonts w:ascii="Arial" w:hAnsi="Arial" w:cs="Arial"/>
          <w:sz w:val="22"/>
          <w:szCs w:val="22"/>
        </w:rPr>
        <w:t>1</w:t>
      </w:r>
      <w:r w:rsidRPr="00314344">
        <w:rPr>
          <w:rFonts w:ascii="Arial" w:hAnsi="Arial" w:cs="Arial"/>
          <w:sz w:val="22"/>
          <w:szCs w:val="22"/>
        </w:rPr>
        <w:t>, the related consolidated statements of comprehensive income</w:t>
      </w:r>
      <w:r w:rsidR="00E02098">
        <w:rPr>
          <w:rFonts w:ascii="Arial" w:hAnsi="Arial" w:cs="Arial"/>
          <w:sz w:val="22"/>
          <w:szCs w:val="22"/>
        </w:rPr>
        <w:t xml:space="preserve"> for the three-month and </w:t>
      </w:r>
      <w:r w:rsidR="00BD3F01">
        <w:rPr>
          <w:rFonts w:ascii="Arial" w:hAnsi="Arial" w:cs="Arial"/>
          <w:sz w:val="22"/>
          <w:szCs w:val="22"/>
        </w:rPr>
        <w:t>nine</w:t>
      </w:r>
      <w:r w:rsidR="00E02098">
        <w:rPr>
          <w:rFonts w:ascii="Arial" w:hAnsi="Arial" w:cs="Arial"/>
          <w:sz w:val="22"/>
          <w:szCs w:val="22"/>
        </w:rPr>
        <w:t>-month periods then ended</w:t>
      </w:r>
      <w:r w:rsidR="003C05D2">
        <w:rPr>
          <w:rFonts w:ascii="Arial" w:hAnsi="Arial" w:cs="Arial"/>
          <w:sz w:val="22"/>
          <w:szCs w:val="22"/>
        </w:rPr>
        <w:t>,</w:t>
      </w:r>
      <w:r>
        <w:rPr>
          <w:rFonts w:ascii="Arial" w:hAnsi="Arial" w:cs="Arial"/>
          <w:sz w:val="22"/>
          <w:szCs w:val="22"/>
        </w:rPr>
        <w:t xml:space="preserve"> </w:t>
      </w:r>
      <w:r w:rsidR="00E02098">
        <w:rPr>
          <w:rFonts w:ascii="Arial" w:hAnsi="Arial" w:cs="Arial"/>
          <w:sz w:val="22"/>
          <w:szCs w:val="22"/>
        </w:rPr>
        <w:t xml:space="preserve">and the related consolidated statements of </w:t>
      </w:r>
      <w:r w:rsidRPr="00314344">
        <w:rPr>
          <w:rFonts w:ascii="Arial" w:hAnsi="Arial" w:cs="Arial"/>
          <w:sz w:val="22"/>
          <w:szCs w:val="22"/>
        </w:rPr>
        <w:t>changes in shareholders’ equi</w:t>
      </w:r>
      <w:r w:rsidR="002A7E76">
        <w:rPr>
          <w:rFonts w:ascii="Arial" w:hAnsi="Arial" w:cs="Arial"/>
          <w:sz w:val="22"/>
          <w:szCs w:val="22"/>
        </w:rPr>
        <w:t>ty</w:t>
      </w:r>
      <w:r w:rsidR="00DE37E4">
        <w:rPr>
          <w:rFonts w:ascii="Arial" w:hAnsi="Arial" w:cs="Arial"/>
          <w:sz w:val="22"/>
          <w:szCs w:val="22"/>
        </w:rPr>
        <w:t xml:space="preserve"> and</w:t>
      </w:r>
      <w:r w:rsidR="002A7E76">
        <w:rPr>
          <w:rFonts w:ascii="Arial" w:hAnsi="Arial" w:cs="Arial"/>
          <w:sz w:val="22"/>
          <w:szCs w:val="22"/>
        </w:rPr>
        <w:t xml:space="preserve"> </w:t>
      </w:r>
      <w:r>
        <w:rPr>
          <w:rFonts w:ascii="Arial" w:hAnsi="Arial" w:cs="Arial"/>
          <w:sz w:val="22"/>
          <w:szCs w:val="22"/>
        </w:rPr>
        <w:t>cash flows for th</w:t>
      </w:r>
      <w:r w:rsidR="00BD3F01">
        <w:rPr>
          <w:rFonts w:ascii="Arial" w:hAnsi="Arial" w:cs="Arial"/>
          <w:sz w:val="22"/>
          <w:szCs w:val="22"/>
        </w:rPr>
        <w:t>e nine</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 xml:space="preserve">the condensed notes to the </w:t>
      </w:r>
      <w:r w:rsidR="005F186A">
        <w:rPr>
          <w:rFonts w:ascii="Arial" w:hAnsi="Arial" w:cs="Arial"/>
          <w:sz w:val="22"/>
          <w:szCs w:val="22"/>
        </w:rPr>
        <w:t xml:space="preserve">interim </w:t>
      </w:r>
      <w:r w:rsidRPr="00314344">
        <w:rPr>
          <w:rFonts w:ascii="Arial" w:hAnsi="Arial" w:cs="Arial"/>
          <w:sz w:val="22"/>
          <w:szCs w:val="22"/>
        </w:rPr>
        <w:t>consolidated financial statements. I have also reviewed the separate financial information of Bangkok Airways Public Company Limited for the same period</w:t>
      </w:r>
      <w:r w:rsidR="00E02098">
        <w:rPr>
          <w:rFonts w:ascii="Arial" w:hAnsi="Arial" w:cs="Arial"/>
          <w:sz w:val="22"/>
          <w:szCs w:val="22"/>
        </w:rPr>
        <w:t>s</w:t>
      </w:r>
      <w:r w:rsidR="005F186A">
        <w:rPr>
          <w:rFonts w:ascii="Arial" w:hAnsi="Arial" w:cs="Arial"/>
          <w:sz w:val="22"/>
          <w:szCs w:val="22"/>
        </w:rPr>
        <w:t xml:space="preserve"> (collectively “interim financial information”)</w:t>
      </w:r>
      <w:r w:rsidRPr="00314344">
        <w:rPr>
          <w:rFonts w:ascii="Arial" w:hAnsi="Arial" w:cs="Arial"/>
          <w:sz w:val="22"/>
          <w:szCs w:val="22"/>
        </w:rPr>
        <w:t>.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My responsibility is to express a conclusion on this interim financial information based on</w:t>
      </w:r>
      <w:r w:rsidR="00E02098">
        <w:rPr>
          <w:rFonts w:ascii="Arial" w:hAnsi="Arial" w:cs="Arial"/>
          <w:sz w:val="22"/>
          <w:szCs w:val="22"/>
        </w:rPr>
        <w:t xml:space="preserve"> </w:t>
      </w:r>
      <w:r w:rsidRPr="00314344">
        <w:rPr>
          <w:rFonts w:ascii="Arial" w:hAnsi="Arial" w:cs="Arial"/>
          <w:sz w:val="22"/>
          <w:szCs w:val="22"/>
        </w:rPr>
        <w:t>my review.</w:t>
      </w:r>
    </w:p>
    <w:p w14:paraId="4A98D2A5" w14:textId="77777777" w:rsidR="00001688" w:rsidRPr="00314344" w:rsidRDefault="00001688" w:rsidP="00E02098">
      <w:pPr>
        <w:spacing w:before="120" w:after="120" w:line="380" w:lineRule="exact"/>
        <w:outlineLvl w:val="0"/>
        <w:rPr>
          <w:rFonts w:ascii="Arial" w:hAnsi="Arial" w:cs="Arial"/>
          <w:b/>
          <w:bCs/>
          <w:sz w:val="22"/>
          <w:szCs w:val="22"/>
        </w:rPr>
      </w:pPr>
      <w:r w:rsidRPr="00314344">
        <w:rPr>
          <w:rFonts w:ascii="Arial" w:hAnsi="Arial" w:cs="Arial"/>
          <w:b/>
          <w:bCs/>
          <w:sz w:val="22"/>
          <w:szCs w:val="22"/>
        </w:rPr>
        <w:t>Scope of Review</w:t>
      </w:r>
    </w:p>
    <w:p w14:paraId="63D5E0C7" w14:textId="77777777" w:rsidR="00001688" w:rsidRPr="00314344" w:rsidRDefault="00001688" w:rsidP="00E02098">
      <w:pPr>
        <w:spacing w:before="120" w:after="12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w:t>
      </w:r>
      <w:r w:rsidRPr="00314344">
        <w:rPr>
          <w:rFonts w:ascii="Arial" w:hAnsi="Arial" w:cs="Arial"/>
          <w:sz w:val="22"/>
          <w:szCs w:val="22"/>
        </w:rPr>
        <w:lastRenderedPageBreak/>
        <w:t xml:space="preserve">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14:paraId="1F1D0E28" w14:textId="77777777" w:rsidR="00001688" w:rsidRPr="00314344" w:rsidRDefault="00001688" w:rsidP="00E02098">
      <w:pPr>
        <w:spacing w:before="120" w:after="120" w:line="380" w:lineRule="exact"/>
        <w:outlineLvl w:val="0"/>
        <w:rPr>
          <w:rFonts w:ascii="Arial" w:hAnsi="Arial" w:cs="Arial"/>
          <w:b/>
          <w:bCs/>
          <w:sz w:val="22"/>
          <w:szCs w:val="22"/>
        </w:rPr>
      </w:pPr>
      <w:r w:rsidRPr="00314344">
        <w:rPr>
          <w:rFonts w:ascii="Arial" w:hAnsi="Arial" w:cs="Arial"/>
          <w:b/>
          <w:bCs/>
          <w:sz w:val="22"/>
          <w:szCs w:val="22"/>
        </w:rPr>
        <w:t>Conclusion</w:t>
      </w:r>
    </w:p>
    <w:p w14:paraId="38B4E288" w14:textId="6DB877AB" w:rsidR="00001688" w:rsidRDefault="00001688" w:rsidP="00E02098">
      <w:pPr>
        <w:spacing w:before="120" w:after="120" w:line="38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14:paraId="2BE8B2EA" w14:textId="77777777" w:rsidR="005F186A" w:rsidRDefault="005F186A" w:rsidP="00E02098">
      <w:pPr>
        <w:spacing w:before="120" w:after="120" w:line="380" w:lineRule="exact"/>
        <w:rPr>
          <w:rFonts w:ascii="Arial" w:hAnsi="Arial" w:cs="Arial"/>
          <w:sz w:val="22"/>
          <w:szCs w:val="22"/>
        </w:rPr>
        <w:sectPr w:rsidR="005F186A" w:rsidSect="00E02098">
          <w:footerReference w:type="first" r:id="rId9"/>
          <w:pgSz w:w="11909" w:h="16834" w:code="9"/>
          <w:pgMar w:top="3168" w:right="1080" w:bottom="1080" w:left="1296" w:header="706" w:footer="706" w:gutter="0"/>
          <w:pgNumType w:start="2"/>
          <w:cols w:space="720"/>
          <w:titlePg/>
          <w:docGrid w:linePitch="326"/>
        </w:sectPr>
      </w:pPr>
    </w:p>
    <w:p w14:paraId="2F6C718D" w14:textId="25D32C25" w:rsidR="005F186A" w:rsidRPr="005E35CC" w:rsidRDefault="005F186A" w:rsidP="00E02098">
      <w:pPr>
        <w:spacing w:before="120" w:after="120" w:line="380" w:lineRule="exact"/>
        <w:rPr>
          <w:rFonts w:ascii="Arial" w:hAnsi="Arial" w:cstheme="minorBidi"/>
          <w:b/>
          <w:bCs/>
          <w:sz w:val="22"/>
          <w:szCs w:val="22"/>
        </w:rPr>
      </w:pPr>
      <w:r w:rsidRPr="005F186A">
        <w:rPr>
          <w:rFonts w:ascii="Arial" w:hAnsi="Arial" w:cs="Arial"/>
          <w:b/>
          <w:bCs/>
          <w:sz w:val="22"/>
          <w:szCs w:val="22"/>
        </w:rPr>
        <w:lastRenderedPageBreak/>
        <w:t xml:space="preserve">Emphasis of </w:t>
      </w:r>
      <w:r w:rsidRPr="005F186A">
        <w:rPr>
          <w:rFonts w:ascii="Arial" w:hAnsi="Arial"/>
          <w:b/>
          <w:bCs/>
          <w:sz w:val="22"/>
          <w:szCs w:val="22"/>
        </w:rPr>
        <w:t>M</w:t>
      </w:r>
      <w:r w:rsidRPr="005F186A">
        <w:rPr>
          <w:rFonts w:ascii="Arial" w:hAnsi="Arial" w:cs="Arial"/>
          <w:b/>
          <w:bCs/>
          <w:sz w:val="22"/>
          <w:szCs w:val="22"/>
        </w:rPr>
        <w:t>atter</w:t>
      </w:r>
      <w:r w:rsidR="00C803D9">
        <w:rPr>
          <w:rFonts w:ascii="Arial" w:hAnsi="Arial" w:cs="Arial"/>
          <w:b/>
          <w:bCs/>
          <w:sz w:val="22"/>
          <w:szCs w:val="22"/>
        </w:rPr>
        <w:t>s</w:t>
      </w:r>
    </w:p>
    <w:p w14:paraId="7EBB69B9" w14:textId="77777777" w:rsidR="00775132" w:rsidRPr="00775132" w:rsidRDefault="00775132" w:rsidP="00775132">
      <w:pPr>
        <w:spacing w:before="80" w:after="80" w:line="380" w:lineRule="exact"/>
        <w:rPr>
          <w:rFonts w:ascii="Arial" w:hAnsi="Arial" w:cs="Arial"/>
          <w:color w:val="000000"/>
          <w:sz w:val="22"/>
          <w:szCs w:val="22"/>
        </w:rPr>
      </w:pPr>
      <w:r w:rsidRPr="00775132">
        <w:rPr>
          <w:rFonts w:ascii="Arial" w:hAnsi="Arial" w:cs="Arial"/>
          <w:color w:val="000000"/>
          <w:sz w:val="22"/>
          <w:szCs w:val="22"/>
        </w:rPr>
        <w:t>I draw attention to the following matters.</w:t>
      </w:r>
    </w:p>
    <w:p w14:paraId="57DE34C4" w14:textId="700E453C" w:rsidR="00FE3275" w:rsidRPr="00FE3275" w:rsidRDefault="00775132" w:rsidP="00FE3275">
      <w:pPr>
        <w:spacing w:before="80" w:after="80" w:line="380" w:lineRule="exact"/>
        <w:ind w:left="630" w:hanging="630"/>
        <w:rPr>
          <w:rFonts w:ascii="Arial" w:hAnsi="Arial" w:cs="Arial"/>
          <w:color w:val="000000"/>
          <w:sz w:val="22"/>
          <w:szCs w:val="22"/>
        </w:rPr>
      </w:pPr>
      <w:bookmarkStart w:id="0" w:name="_Hlk79588989"/>
      <w:r w:rsidRPr="00775132">
        <w:rPr>
          <w:rFonts w:ascii="Arial" w:hAnsi="Arial" w:cs="Arial"/>
          <w:color w:val="000000"/>
          <w:sz w:val="22"/>
          <w:szCs w:val="22"/>
        </w:rPr>
        <w:t>a)</w:t>
      </w:r>
      <w:r w:rsidRPr="00775132">
        <w:rPr>
          <w:rFonts w:ascii="Arial" w:hAnsi="Arial" w:cs="Arial"/>
          <w:color w:val="000000"/>
          <w:sz w:val="22"/>
          <w:szCs w:val="22"/>
        </w:rPr>
        <w:tab/>
      </w:r>
      <w:r w:rsidR="007121EF" w:rsidRPr="007121EF">
        <w:rPr>
          <w:rFonts w:ascii="Arial" w:hAnsi="Arial" w:cs="Arial"/>
          <w:color w:val="000000"/>
          <w:sz w:val="22"/>
          <w:szCs w:val="22"/>
        </w:rPr>
        <w:t xml:space="preserve">As discussed in Note 1.2 to the interim consolidated financial statements regarding </w:t>
      </w:r>
      <w:bookmarkStart w:id="1" w:name="_Hlk79597292"/>
      <w:r w:rsidR="007121EF" w:rsidRPr="007121EF">
        <w:rPr>
          <w:rFonts w:ascii="Arial" w:hAnsi="Arial" w:cs="Arial"/>
          <w:color w:val="000000"/>
          <w:sz w:val="22"/>
          <w:szCs w:val="22"/>
        </w:rPr>
        <w:t xml:space="preserve">the Coronavirus disease 2019 pandemic which is currently affecting the Group’s business activities, in July 2021, the Civil Aviation Authority of Thailand announced guidelines for airport operators and airline operators for domestic flight operations, banning domestic passenger flights in and out of dark-red zones of maximum and strict COVID-19 control in order to </w:t>
      </w:r>
      <w:proofErr w:type="spellStart"/>
      <w:r w:rsidR="007121EF" w:rsidRPr="007121EF">
        <w:rPr>
          <w:rFonts w:ascii="Arial" w:hAnsi="Arial" w:cs="Arial"/>
          <w:color w:val="000000"/>
          <w:sz w:val="22"/>
          <w:szCs w:val="22"/>
        </w:rPr>
        <w:t>minimise</w:t>
      </w:r>
      <w:proofErr w:type="spellEnd"/>
      <w:r w:rsidR="007121EF" w:rsidRPr="007121EF">
        <w:rPr>
          <w:rFonts w:ascii="Arial" w:hAnsi="Arial" w:cs="Arial"/>
          <w:color w:val="000000"/>
          <w:sz w:val="22"/>
          <w:szCs w:val="22"/>
        </w:rPr>
        <w:t xml:space="preserve"> or discourage travel into or out of these areas, effective from 21 July 2021 </w:t>
      </w:r>
      <w:r w:rsidR="005842DB">
        <w:rPr>
          <w:rFonts w:ascii="Arial" w:hAnsi="Arial" w:cs="Arial"/>
          <w:color w:val="000000"/>
          <w:sz w:val="22"/>
          <w:szCs w:val="22"/>
        </w:rPr>
        <w:t>to 31 August 2021</w:t>
      </w:r>
      <w:r w:rsidR="007121EF" w:rsidRPr="007121EF">
        <w:rPr>
          <w:rFonts w:ascii="Arial" w:hAnsi="Arial" w:cs="Arial"/>
          <w:color w:val="000000"/>
          <w:sz w:val="22"/>
          <w:szCs w:val="22"/>
        </w:rPr>
        <w:t xml:space="preserve">. These events have directly affected the Group in terms of passenger fares as well as sales and service income, resulting in the Group incurring operating loss and total current liabilities significantly exceeding total current assets. </w:t>
      </w:r>
      <w:r w:rsidR="00C803D9">
        <w:rPr>
          <w:rFonts w:ascii="Arial" w:hAnsi="Arial" w:cs="Arial"/>
          <w:color w:val="000000"/>
          <w:sz w:val="22"/>
          <w:szCs w:val="22"/>
        </w:rPr>
        <w:t xml:space="preserve">   </w:t>
      </w:r>
      <w:r w:rsidR="007121EF" w:rsidRPr="007121EF">
        <w:rPr>
          <w:rFonts w:ascii="Arial" w:hAnsi="Arial" w:cs="Arial"/>
          <w:color w:val="000000"/>
          <w:sz w:val="22"/>
          <w:szCs w:val="22"/>
        </w:rPr>
        <w:t xml:space="preserve">The circumstances are significantly impacting the Group’s financial position, operating results, and cash flows, including compliance with debt covenants under </w:t>
      </w:r>
      <w:r w:rsidR="005842DB">
        <w:rPr>
          <w:rFonts w:ascii="Arial" w:hAnsi="Arial" w:cs="Arial"/>
          <w:color w:val="000000"/>
          <w:sz w:val="22"/>
          <w:szCs w:val="22"/>
        </w:rPr>
        <w:t xml:space="preserve">long-term loans agreements and </w:t>
      </w:r>
      <w:r w:rsidR="007121EF" w:rsidRPr="007121EF">
        <w:rPr>
          <w:rFonts w:ascii="Arial" w:hAnsi="Arial" w:cs="Arial"/>
          <w:color w:val="000000"/>
          <w:sz w:val="22"/>
          <w:szCs w:val="22"/>
        </w:rPr>
        <w:t xml:space="preserve">aircraft lease agreements at present and future. In this regard, the Group’s management has continuously monitored ongoing developments and assessed the financial impact in respect of the valuation of assets, </w:t>
      </w:r>
      <w:proofErr w:type="gramStart"/>
      <w:r w:rsidR="007121EF" w:rsidRPr="007121EF">
        <w:rPr>
          <w:rFonts w:ascii="Arial" w:hAnsi="Arial" w:cs="Arial"/>
          <w:color w:val="000000"/>
          <w:sz w:val="22"/>
          <w:szCs w:val="22"/>
        </w:rPr>
        <w:t>provisions</w:t>
      </w:r>
      <w:proofErr w:type="gramEnd"/>
      <w:r w:rsidR="007121EF" w:rsidRPr="007121EF">
        <w:rPr>
          <w:rFonts w:ascii="Arial" w:hAnsi="Arial" w:cs="Arial"/>
          <w:color w:val="000000"/>
          <w:sz w:val="22"/>
          <w:szCs w:val="22"/>
        </w:rPr>
        <w:t xml:space="preserve"> and contingent liabilities, and will record the impact when it is possible to do so</w:t>
      </w:r>
      <w:bookmarkEnd w:id="1"/>
      <w:r w:rsidR="007121EF" w:rsidRPr="007121EF">
        <w:rPr>
          <w:rFonts w:ascii="Arial" w:hAnsi="Arial" w:cs="Arial"/>
          <w:color w:val="000000"/>
          <w:sz w:val="22"/>
          <w:szCs w:val="22"/>
        </w:rPr>
        <w:t>.</w:t>
      </w:r>
    </w:p>
    <w:p w14:paraId="0FEC1918" w14:textId="5889FBF0" w:rsidR="00FE3275" w:rsidRDefault="00FE3275" w:rsidP="00FE3275">
      <w:pPr>
        <w:spacing w:before="80" w:after="80" w:line="380" w:lineRule="exact"/>
        <w:ind w:left="630" w:hanging="630"/>
        <w:rPr>
          <w:rFonts w:ascii="Arial" w:hAnsi="Arial" w:cs="Arial"/>
          <w:color w:val="000000"/>
          <w:sz w:val="22"/>
          <w:szCs w:val="22"/>
        </w:rPr>
      </w:pPr>
      <w:r w:rsidRPr="00FE3275">
        <w:rPr>
          <w:rFonts w:ascii="Arial" w:hAnsi="Arial" w:cs="Arial"/>
          <w:color w:val="000000"/>
          <w:sz w:val="22"/>
          <w:szCs w:val="22"/>
        </w:rPr>
        <w:tab/>
      </w:r>
      <w:bookmarkStart w:id="2" w:name="_Hlk79597319"/>
      <w:r w:rsidR="007121EF" w:rsidRPr="007121EF">
        <w:rPr>
          <w:rFonts w:ascii="Arial" w:hAnsi="Arial" w:cs="Arial"/>
          <w:color w:val="000000"/>
          <w:sz w:val="22"/>
          <w:szCs w:val="22"/>
        </w:rPr>
        <w:t xml:space="preserve">At present, the Group has liquidity from investments in equity securities of listed companies that are readily convertible, available lines of credit and other financial support from financial institutions. In addition, it is implementing various </w:t>
      </w:r>
      <w:r w:rsidR="007121EF" w:rsidRPr="007121EF">
        <w:rPr>
          <w:rFonts w:ascii="Arial" w:hAnsi="Arial" w:cs="Arial"/>
          <w:color w:val="000000"/>
          <w:sz w:val="22"/>
          <w:szCs w:val="22"/>
        </w:rPr>
        <w:lastRenderedPageBreak/>
        <w:t xml:space="preserve">measures related to sourcing additional funds, operation and management of the business, revision of business plans in response to changes in the current situation, and operating plans to reduce costs and relevant expenses, in order to manage the liquidity and cash flows of the Group. </w:t>
      </w:r>
      <w:r w:rsidR="005842DB">
        <w:rPr>
          <w:rFonts w:ascii="Arial" w:hAnsi="Arial" w:cs="Arial"/>
          <w:color w:val="000000"/>
          <w:sz w:val="22"/>
          <w:szCs w:val="22"/>
        </w:rPr>
        <w:t xml:space="preserve">Furthermore, the policy </w:t>
      </w:r>
      <w:r w:rsidR="00FC5014">
        <w:rPr>
          <w:rFonts w:ascii="Arial" w:hAnsi="Arial" w:cs="Arial"/>
          <w:color w:val="000000"/>
          <w:sz w:val="22"/>
          <w:szCs w:val="22"/>
        </w:rPr>
        <w:t>to reopen the country to international</w:t>
      </w:r>
      <w:r w:rsidR="005842DB">
        <w:rPr>
          <w:rFonts w:ascii="Arial" w:hAnsi="Arial" w:cs="Arial"/>
          <w:color w:val="000000"/>
          <w:sz w:val="22"/>
          <w:szCs w:val="22"/>
        </w:rPr>
        <w:t xml:space="preserve"> tourists</w:t>
      </w:r>
      <w:r w:rsidR="009A0E60">
        <w:rPr>
          <w:rFonts w:ascii="Arial" w:hAnsi="Arial" w:cstheme="minorBidi" w:hint="cs"/>
          <w:color w:val="000000"/>
          <w:sz w:val="22"/>
          <w:szCs w:val="22"/>
          <w:cs/>
        </w:rPr>
        <w:t xml:space="preserve"> </w:t>
      </w:r>
      <w:r w:rsidR="009A0E60">
        <w:rPr>
          <w:rFonts w:ascii="Arial" w:hAnsi="Arial" w:cstheme="minorBidi"/>
          <w:color w:val="000000"/>
          <w:sz w:val="22"/>
          <w:szCs w:val="22"/>
        </w:rPr>
        <w:t>i</w:t>
      </w:r>
      <w:r w:rsidR="005842DB">
        <w:rPr>
          <w:rFonts w:ascii="Arial" w:hAnsi="Arial" w:cs="Arial"/>
          <w:color w:val="000000"/>
          <w:sz w:val="22"/>
          <w:szCs w:val="22"/>
        </w:rPr>
        <w:t>ncluding</w:t>
      </w:r>
      <w:r w:rsidR="007121EF" w:rsidRPr="007121EF">
        <w:rPr>
          <w:rFonts w:ascii="Arial" w:hAnsi="Arial" w:cs="Arial"/>
          <w:color w:val="000000"/>
          <w:sz w:val="22"/>
          <w:szCs w:val="22"/>
        </w:rPr>
        <w:t xml:space="preserve"> the progress of vaccine development and the </w:t>
      </w:r>
      <w:proofErr w:type="spellStart"/>
      <w:r w:rsidR="007121EF" w:rsidRPr="007121EF">
        <w:rPr>
          <w:rFonts w:ascii="Arial" w:hAnsi="Arial" w:cs="Arial"/>
          <w:color w:val="000000"/>
          <w:sz w:val="22"/>
          <w:szCs w:val="22"/>
        </w:rPr>
        <w:t>immunisation</w:t>
      </w:r>
      <w:proofErr w:type="spellEnd"/>
      <w:r w:rsidR="007121EF" w:rsidRPr="007121EF">
        <w:rPr>
          <w:rFonts w:ascii="Arial" w:hAnsi="Arial" w:cs="Arial"/>
          <w:color w:val="000000"/>
          <w:sz w:val="22"/>
          <w:szCs w:val="22"/>
        </w:rPr>
        <w:t xml:space="preserve"> of the global population, the management believe that implementation of these measures will enable the Group to continue as a going concern. The interim financial information has, therefore, been prepared on a going concern basis. However, the success of the implementation of these measures, as well as all financing plans and operating plans to manage liquidity, depends on various material internal and external factors about which there are uncertainties, which may raise doubt about the Group’s ability to continue as a going concern</w:t>
      </w:r>
      <w:bookmarkEnd w:id="2"/>
      <w:r w:rsidRPr="00FE3275">
        <w:rPr>
          <w:rFonts w:ascii="Arial" w:hAnsi="Arial" w:cs="Arial"/>
          <w:color w:val="000000"/>
          <w:sz w:val="22"/>
          <w:szCs w:val="22"/>
        </w:rPr>
        <w:t>.</w:t>
      </w:r>
    </w:p>
    <w:p w14:paraId="66D42282" w14:textId="2E97835C" w:rsidR="007121EF" w:rsidRPr="00AC5CF5" w:rsidRDefault="00775132" w:rsidP="007121EF">
      <w:pPr>
        <w:spacing w:before="80" w:after="80" w:line="380" w:lineRule="exact"/>
        <w:ind w:left="630" w:hanging="630"/>
        <w:rPr>
          <w:rFonts w:ascii="Arial" w:hAnsi="Arial" w:cs="Browallia New"/>
          <w:color w:val="000000"/>
          <w:sz w:val="22"/>
        </w:rPr>
      </w:pPr>
      <w:r w:rsidRPr="00775132">
        <w:rPr>
          <w:rFonts w:ascii="Arial" w:hAnsi="Arial" w:cs="Arial"/>
          <w:color w:val="000000"/>
          <w:sz w:val="22"/>
          <w:szCs w:val="22"/>
        </w:rPr>
        <w:t>b)</w:t>
      </w:r>
      <w:r w:rsidRPr="00775132">
        <w:rPr>
          <w:rFonts w:ascii="Arial" w:hAnsi="Arial" w:cs="Arial"/>
          <w:color w:val="000000"/>
          <w:sz w:val="22"/>
          <w:szCs w:val="22"/>
        </w:rPr>
        <w:tab/>
      </w:r>
      <w:r w:rsidR="007121EF" w:rsidRPr="007121EF">
        <w:rPr>
          <w:rFonts w:ascii="Arial" w:hAnsi="Arial" w:cs="Arial"/>
          <w:color w:val="000000"/>
          <w:sz w:val="22"/>
          <w:szCs w:val="22"/>
        </w:rPr>
        <w:t>As discussed in Note 16 to the interim consolidated financial statements, Long-term lease liabilities from related party, on 27 May 2021 Meeting of the Board of Directors of the Company</w:t>
      </w:r>
      <w:r w:rsidR="007121EF">
        <w:rPr>
          <w:rFonts w:ascii="Arial" w:hAnsi="Arial" w:cs="Arial"/>
          <w:color w:val="000000"/>
          <w:sz w:val="22"/>
          <w:szCs w:val="22"/>
        </w:rPr>
        <w:t xml:space="preserve"> </w:t>
      </w:r>
      <w:r w:rsidR="007121EF" w:rsidRPr="007121EF">
        <w:rPr>
          <w:rFonts w:ascii="Arial" w:hAnsi="Arial" w:cs="Arial"/>
          <w:color w:val="000000"/>
          <w:sz w:val="22"/>
          <w:szCs w:val="22"/>
        </w:rPr>
        <w:t>No. 3/2021 approved the Company proposing to terminate the long-term lease agreement and related agreements relating to the Samui Airport leasehold made with Samui Airport Property Fund (Leasehold) (“the Fund”), with proposing to pay compensation of Baht 18,050 million for the termination of these agreements.</w:t>
      </w:r>
    </w:p>
    <w:p w14:paraId="0EE592B7" w14:textId="405A65E1" w:rsidR="007121EF" w:rsidRPr="007121EF" w:rsidRDefault="007121EF" w:rsidP="007121EF">
      <w:pPr>
        <w:spacing w:before="80" w:after="80" w:line="380" w:lineRule="exact"/>
        <w:ind w:left="630"/>
        <w:rPr>
          <w:rFonts w:ascii="Arial" w:hAnsi="Arial" w:cs="Arial"/>
          <w:color w:val="000000"/>
          <w:sz w:val="22"/>
          <w:szCs w:val="22"/>
        </w:rPr>
      </w:pPr>
      <w:bookmarkStart w:id="3" w:name="_Hlk79597926"/>
      <w:r w:rsidRPr="007121EF">
        <w:rPr>
          <w:rFonts w:ascii="Arial" w:hAnsi="Arial" w:cs="Arial"/>
          <w:color w:val="000000"/>
          <w:sz w:val="22"/>
          <w:szCs w:val="22"/>
        </w:rPr>
        <w:t>Subsequently on 14 July 2021, the Extraordinary General Meeting of Unitholders resolved to approve the termination of the Long Term Lease Agreements, Sublease Agreements, System Services Agreement and Agreements relating to Samui Airport (“Lease Agreement</w:t>
      </w:r>
      <w:r w:rsidR="006F5EE5">
        <w:rPr>
          <w:rFonts w:ascii="Arial" w:hAnsi="Arial" w:cs="Arial"/>
          <w:color w:val="000000"/>
          <w:sz w:val="22"/>
          <w:szCs w:val="22"/>
        </w:rPr>
        <w:t>s</w:t>
      </w:r>
      <w:r w:rsidRPr="007121EF">
        <w:rPr>
          <w:rFonts w:ascii="Arial" w:hAnsi="Arial" w:cs="Arial"/>
          <w:color w:val="000000"/>
          <w:sz w:val="22"/>
          <w:szCs w:val="22"/>
        </w:rPr>
        <w:t xml:space="preserve">”), as proposed by the Company, and </w:t>
      </w:r>
      <w:r w:rsidR="009A0E60">
        <w:rPr>
          <w:rFonts w:ascii="Arial" w:hAnsi="Arial" w:cs="Arial"/>
          <w:color w:val="000000"/>
          <w:sz w:val="22"/>
          <w:szCs w:val="22"/>
        </w:rPr>
        <w:t xml:space="preserve">also approve </w:t>
      </w:r>
      <w:r w:rsidRPr="007121EF">
        <w:rPr>
          <w:rFonts w:ascii="Arial" w:hAnsi="Arial" w:cs="Arial"/>
          <w:color w:val="000000"/>
          <w:sz w:val="22"/>
          <w:szCs w:val="22"/>
        </w:rPr>
        <w:t>to dissolve the Fund and delist the investment units from the Stock Exchange of Thailand.</w:t>
      </w:r>
      <w:bookmarkEnd w:id="3"/>
    </w:p>
    <w:bookmarkEnd w:id="0"/>
    <w:p w14:paraId="4AA7D9CC" w14:textId="02A52D62" w:rsidR="009F198D" w:rsidRPr="009F198D" w:rsidRDefault="009F198D" w:rsidP="00CB68AD">
      <w:pPr>
        <w:pStyle w:val="ps-000-normal"/>
        <w:spacing w:line="380" w:lineRule="exact"/>
        <w:ind w:left="630"/>
        <w:rPr>
          <w:rFonts w:ascii="Arial" w:hAnsi="Arial" w:cs="Arial"/>
          <w:sz w:val="22"/>
          <w:szCs w:val="22"/>
          <w:cs/>
        </w:rPr>
      </w:pPr>
      <w:r w:rsidRPr="009F198D">
        <w:rPr>
          <w:rFonts w:ascii="Arial" w:hAnsi="Arial" w:cs="Arial" w:hint="cs"/>
          <w:sz w:val="22"/>
          <w:szCs w:val="22"/>
        </w:rPr>
        <w:t xml:space="preserve">Following the vote at the Extraordinary General Meeting of Unitholders of the </w:t>
      </w:r>
      <w:proofErr w:type="gramStart"/>
      <w:r w:rsidRPr="009F198D">
        <w:rPr>
          <w:rFonts w:ascii="Arial" w:hAnsi="Arial" w:cs="Arial" w:hint="cs"/>
          <w:sz w:val="22"/>
          <w:szCs w:val="22"/>
        </w:rPr>
        <w:t xml:space="preserve">Fund, </w:t>
      </w:r>
      <w:r w:rsidR="00C803D9">
        <w:rPr>
          <w:rFonts w:ascii="Arial" w:hAnsi="Arial" w:cs="Arial"/>
          <w:sz w:val="22"/>
          <w:szCs w:val="22"/>
        </w:rPr>
        <w:t xml:space="preserve">  </w:t>
      </w:r>
      <w:proofErr w:type="gramEnd"/>
      <w:r w:rsidR="00C803D9">
        <w:rPr>
          <w:rFonts w:ascii="Arial" w:hAnsi="Arial" w:cs="Arial"/>
          <w:sz w:val="22"/>
          <w:szCs w:val="22"/>
        </w:rPr>
        <w:t xml:space="preserve">    </w:t>
      </w:r>
      <w:r w:rsidRPr="009F198D">
        <w:rPr>
          <w:rFonts w:ascii="Arial" w:hAnsi="Arial" w:cs="Arial" w:hint="cs"/>
          <w:sz w:val="22"/>
          <w:szCs w:val="22"/>
        </w:rPr>
        <w:t xml:space="preserve">the Company and the Fund entered into the Memorandum on the Termination of the Agreements for Investment and Procurement of Interest for Operation of Samui Airport. </w:t>
      </w:r>
      <w:r w:rsidR="009A0E60">
        <w:rPr>
          <w:rFonts w:ascii="Arial" w:hAnsi="Arial" w:cs="Arial"/>
          <w:sz w:val="22"/>
          <w:szCs w:val="22"/>
        </w:rPr>
        <w:t xml:space="preserve"> O</w:t>
      </w:r>
      <w:r w:rsidRPr="009F198D">
        <w:rPr>
          <w:rFonts w:ascii="Arial" w:hAnsi="Arial" w:cs="Arial" w:hint="cs"/>
          <w:sz w:val="22"/>
          <w:szCs w:val="22"/>
        </w:rPr>
        <w:t xml:space="preserve">n 27 July 2021, the Company and the Fund proceeded to register </w:t>
      </w:r>
      <w:r w:rsidR="00CB68AD">
        <w:rPr>
          <w:rFonts w:ascii="Arial" w:hAnsi="Arial" w:cs="Browallia New"/>
          <w:sz w:val="22"/>
          <w:szCs w:val="28"/>
        </w:rPr>
        <w:t xml:space="preserve">the </w:t>
      </w:r>
      <w:r w:rsidRPr="009F198D">
        <w:rPr>
          <w:rFonts w:ascii="Arial" w:hAnsi="Arial" w:cs="Arial" w:hint="cs"/>
          <w:sz w:val="22"/>
          <w:szCs w:val="22"/>
        </w:rPr>
        <w:t xml:space="preserve">termination of the </w:t>
      </w:r>
      <w:r w:rsidR="00CB68AD">
        <w:rPr>
          <w:rFonts w:ascii="Arial" w:hAnsi="Arial" w:cs="Arial"/>
          <w:sz w:val="22"/>
          <w:szCs w:val="22"/>
        </w:rPr>
        <w:t xml:space="preserve">lease </w:t>
      </w:r>
      <w:r w:rsidRPr="009F198D">
        <w:rPr>
          <w:rFonts w:ascii="Arial" w:hAnsi="Arial" w:cs="Arial" w:hint="cs"/>
          <w:sz w:val="22"/>
          <w:szCs w:val="22"/>
        </w:rPr>
        <w:t>agreement</w:t>
      </w:r>
      <w:r w:rsidR="00CB68AD">
        <w:rPr>
          <w:rFonts w:ascii="Arial" w:hAnsi="Arial" w:cs="Arial"/>
          <w:sz w:val="22"/>
          <w:szCs w:val="22"/>
        </w:rPr>
        <w:t>s</w:t>
      </w:r>
      <w:r w:rsidRPr="009F198D">
        <w:rPr>
          <w:rFonts w:ascii="Arial" w:hAnsi="Arial" w:cs="Arial" w:hint="cs"/>
          <w:sz w:val="22"/>
          <w:szCs w:val="22"/>
        </w:rPr>
        <w:t xml:space="preserve"> and take other steps required to render the termination legally enforceable. The Company paid compensation for </w:t>
      </w:r>
      <w:r w:rsidR="00CB68AD">
        <w:rPr>
          <w:rFonts w:ascii="Arial" w:hAnsi="Arial" w:cs="Arial"/>
          <w:sz w:val="22"/>
          <w:szCs w:val="22"/>
        </w:rPr>
        <w:t xml:space="preserve">the </w:t>
      </w:r>
      <w:r w:rsidR="009A0E60">
        <w:rPr>
          <w:rFonts w:ascii="Arial" w:hAnsi="Arial" w:cs="Arial"/>
          <w:sz w:val="22"/>
          <w:szCs w:val="22"/>
        </w:rPr>
        <w:t>Termination of the A</w:t>
      </w:r>
      <w:r w:rsidRPr="009F198D">
        <w:rPr>
          <w:rFonts w:ascii="Arial" w:hAnsi="Arial" w:cs="Arial" w:hint="cs"/>
          <w:sz w:val="22"/>
          <w:szCs w:val="22"/>
        </w:rPr>
        <w:t>greements of Baht 18,050 million</w:t>
      </w:r>
      <w:r w:rsidR="009A0E60">
        <w:rPr>
          <w:rFonts w:ascii="Arial" w:hAnsi="Arial" w:cs="Arial"/>
          <w:sz w:val="22"/>
          <w:szCs w:val="22"/>
        </w:rPr>
        <w:t xml:space="preserve"> to the Fund</w:t>
      </w:r>
      <w:r w:rsidRPr="009F198D">
        <w:rPr>
          <w:rFonts w:ascii="Arial" w:hAnsi="Arial" w:cs="Arial" w:hint="cs"/>
          <w:sz w:val="22"/>
          <w:szCs w:val="22"/>
        </w:rPr>
        <w:t xml:space="preserve"> </w:t>
      </w:r>
      <w:r w:rsidR="00AC5CF5">
        <w:rPr>
          <w:rFonts w:ascii="Arial" w:hAnsi="Arial" w:cs="Arial"/>
          <w:sz w:val="22"/>
          <w:szCs w:val="22"/>
        </w:rPr>
        <w:t>to</w:t>
      </w:r>
      <w:r w:rsidRPr="009F198D">
        <w:rPr>
          <w:rFonts w:ascii="Arial" w:hAnsi="Arial" w:cs="Arial" w:hint="cs"/>
          <w:sz w:val="22"/>
          <w:szCs w:val="22"/>
        </w:rPr>
        <w:t xml:space="preserve"> settle long-term lease liabilities from related party</w:t>
      </w:r>
      <w:r w:rsidR="00AC5CF5">
        <w:rPr>
          <w:rFonts w:ascii="Arial" w:hAnsi="Arial" w:cs="Arial"/>
          <w:sz w:val="22"/>
          <w:szCs w:val="22"/>
        </w:rPr>
        <w:t xml:space="preserve">. </w:t>
      </w:r>
      <w:r w:rsidR="00C803D9">
        <w:rPr>
          <w:rFonts w:ascii="Arial" w:hAnsi="Arial" w:cs="Arial"/>
          <w:sz w:val="22"/>
          <w:szCs w:val="22"/>
        </w:rPr>
        <w:t xml:space="preserve">  </w:t>
      </w:r>
      <w:r w:rsidR="009A0E60">
        <w:rPr>
          <w:rFonts w:ascii="Arial" w:hAnsi="Arial" w:cs="Arial"/>
          <w:sz w:val="22"/>
          <w:szCs w:val="22"/>
        </w:rPr>
        <w:t xml:space="preserve">  </w:t>
      </w:r>
      <w:r w:rsidR="00AC5CF5">
        <w:rPr>
          <w:rFonts w:ascii="Arial" w:hAnsi="Arial" w:cs="Arial"/>
          <w:sz w:val="22"/>
          <w:szCs w:val="22"/>
        </w:rPr>
        <w:t xml:space="preserve">The net </w:t>
      </w:r>
      <w:r w:rsidR="00C803D9">
        <w:rPr>
          <w:rFonts w:ascii="Arial" w:hAnsi="Arial" w:cs="Arial"/>
          <w:sz w:val="22"/>
          <w:szCs w:val="22"/>
        </w:rPr>
        <w:t xml:space="preserve">loss </w:t>
      </w:r>
      <w:r w:rsidR="00AC5CF5">
        <w:rPr>
          <w:rFonts w:ascii="Arial" w:hAnsi="Arial" w:cs="Arial"/>
          <w:sz w:val="22"/>
          <w:szCs w:val="22"/>
        </w:rPr>
        <w:t xml:space="preserve">of the </w:t>
      </w:r>
      <w:r w:rsidR="0098124B">
        <w:rPr>
          <w:rFonts w:ascii="Arial" w:hAnsi="Arial" w:cs="Arial"/>
          <w:sz w:val="22"/>
          <w:szCs w:val="22"/>
        </w:rPr>
        <w:t>lease</w:t>
      </w:r>
      <w:r w:rsidR="00AC5CF5">
        <w:rPr>
          <w:rFonts w:ascii="Arial" w:hAnsi="Arial" w:cs="Arial"/>
          <w:sz w:val="22"/>
          <w:szCs w:val="22"/>
        </w:rPr>
        <w:t xml:space="preserve"> agreement termination was presented </w:t>
      </w:r>
      <w:r w:rsidR="009A0E60">
        <w:rPr>
          <w:rFonts w:ascii="Arial" w:hAnsi="Arial" w:cs="Arial"/>
          <w:sz w:val="22"/>
          <w:szCs w:val="22"/>
        </w:rPr>
        <w:t xml:space="preserve">as part of </w:t>
      </w:r>
      <w:r w:rsidR="00AC5CF5">
        <w:rPr>
          <w:rFonts w:ascii="Arial" w:hAnsi="Arial" w:cs="Arial"/>
          <w:sz w:val="22"/>
          <w:szCs w:val="22"/>
        </w:rPr>
        <w:t xml:space="preserve">the statement of </w:t>
      </w:r>
      <w:r w:rsidR="00AC5CF5">
        <w:rPr>
          <w:rFonts w:ascii="Arial" w:hAnsi="Arial" w:cs="Arial"/>
          <w:sz w:val="22"/>
          <w:szCs w:val="22"/>
        </w:rPr>
        <w:lastRenderedPageBreak/>
        <w:t>comprehensive income for the three-month and nine-month periods ended 30 September 2021 amounting to Baht 5,435 million (the separate financial statements: Baht 6,259 million).</w:t>
      </w:r>
    </w:p>
    <w:p w14:paraId="6F48FB72" w14:textId="0052C1F9" w:rsidR="00EB3521" w:rsidRDefault="00EB3521" w:rsidP="00EB3521">
      <w:pPr>
        <w:pStyle w:val="ps-000-normal"/>
        <w:spacing w:line="380" w:lineRule="exact"/>
        <w:rPr>
          <w:rFonts w:ascii="Arial" w:hAnsi="Arial" w:cs="Arial"/>
          <w:sz w:val="22"/>
          <w:szCs w:val="22"/>
        </w:rPr>
      </w:pPr>
      <w:r w:rsidRPr="005F186A">
        <w:rPr>
          <w:rFonts w:ascii="Arial" w:hAnsi="Arial" w:cs="Arial"/>
          <w:sz w:val="22"/>
          <w:szCs w:val="22"/>
        </w:rPr>
        <w:t xml:space="preserve">My conclusion is not </w:t>
      </w:r>
      <w:r>
        <w:rPr>
          <w:rFonts w:ascii="Arial" w:hAnsi="Arial" w:cs="Arial"/>
          <w:sz w:val="22"/>
          <w:szCs w:val="22"/>
        </w:rPr>
        <w:t>modified in respect of th</w:t>
      </w:r>
      <w:r w:rsidR="00A5252B">
        <w:rPr>
          <w:rFonts w:ascii="Arial" w:hAnsi="Arial" w:cs="Arial"/>
          <w:sz w:val="22"/>
          <w:szCs w:val="22"/>
        </w:rPr>
        <w:t>e</w:t>
      </w:r>
      <w:r>
        <w:rPr>
          <w:rFonts w:ascii="Arial" w:hAnsi="Arial" w:cs="Arial"/>
          <w:sz w:val="22"/>
          <w:szCs w:val="22"/>
        </w:rPr>
        <w:t>s</w:t>
      </w:r>
      <w:r w:rsidR="00A5252B">
        <w:rPr>
          <w:rFonts w:ascii="Arial" w:hAnsi="Arial" w:cs="Arial"/>
          <w:sz w:val="22"/>
          <w:szCs w:val="22"/>
        </w:rPr>
        <w:t>e</w:t>
      </w:r>
      <w:r>
        <w:rPr>
          <w:rFonts w:ascii="Arial" w:hAnsi="Arial" w:cs="Arial"/>
          <w:sz w:val="22"/>
          <w:szCs w:val="22"/>
        </w:rPr>
        <w:t xml:space="preserve"> matter</w:t>
      </w:r>
      <w:r w:rsidR="00A5252B">
        <w:rPr>
          <w:rFonts w:ascii="Arial" w:hAnsi="Arial" w:cs="Arial"/>
          <w:sz w:val="22"/>
          <w:szCs w:val="22"/>
        </w:rPr>
        <w:t>s</w:t>
      </w:r>
      <w:r>
        <w:rPr>
          <w:rFonts w:ascii="Arial" w:hAnsi="Arial" w:cs="Arial"/>
          <w:sz w:val="22"/>
          <w:szCs w:val="22"/>
        </w:rPr>
        <w:t>.</w:t>
      </w:r>
    </w:p>
    <w:p w14:paraId="01E81972" w14:textId="77777777" w:rsidR="004F2014" w:rsidRPr="00EB3521" w:rsidRDefault="004F2014" w:rsidP="00EB3521">
      <w:pPr>
        <w:pStyle w:val="ps-000-normal"/>
        <w:spacing w:line="380" w:lineRule="exact"/>
        <w:rPr>
          <w:rFonts w:ascii="Arial" w:hAnsi="Arial" w:cstheme="minorBidi"/>
          <w:i/>
          <w:iCs/>
          <w:sz w:val="22"/>
          <w:szCs w:val="22"/>
        </w:rPr>
      </w:pPr>
    </w:p>
    <w:p w14:paraId="0E63589F" w14:textId="5DBC21CB" w:rsidR="00001688" w:rsidRPr="00314344" w:rsidRDefault="00900EB7" w:rsidP="004F2014">
      <w:pPr>
        <w:tabs>
          <w:tab w:val="left" w:pos="720"/>
          <w:tab w:val="center" w:pos="6300"/>
        </w:tabs>
        <w:spacing w:before="2400" w:line="380" w:lineRule="exact"/>
        <w:rPr>
          <w:rFonts w:ascii="Arial" w:hAnsi="Arial" w:cs="Arial"/>
          <w:spacing w:val="-3"/>
          <w:sz w:val="22"/>
          <w:szCs w:val="22"/>
        </w:rPr>
      </w:pPr>
      <w:r>
        <w:rPr>
          <w:rFonts w:ascii="Arial" w:hAnsi="Arial" w:cs="Arial"/>
          <w:spacing w:val="-3"/>
          <w:sz w:val="22"/>
          <w:szCs w:val="22"/>
        </w:rPr>
        <w:t>Rungnapa Lertsuwankul</w:t>
      </w:r>
    </w:p>
    <w:p w14:paraId="144B7DBE" w14:textId="77777777" w:rsidR="00001688" w:rsidRPr="00314344" w:rsidRDefault="00001688" w:rsidP="006D11B0">
      <w:pPr>
        <w:tabs>
          <w:tab w:val="left" w:pos="720"/>
          <w:tab w:val="center" w:pos="6300"/>
        </w:tabs>
        <w:spacing w:after="24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900EB7">
        <w:rPr>
          <w:rFonts w:ascii="Arial" w:hAnsi="Arial" w:cs="Arial"/>
          <w:spacing w:val="-3"/>
          <w:sz w:val="22"/>
          <w:szCs w:val="22"/>
        </w:rPr>
        <w:t>3516</w:t>
      </w:r>
    </w:p>
    <w:p w14:paraId="2F239B6B" w14:textId="77777777"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14:paraId="040E36F6" w14:textId="0F7781B2"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BF7D25">
        <w:rPr>
          <w:rFonts w:ascii="Arial" w:hAnsi="Arial" w:cs="Arial"/>
          <w:spacing w:val="-3"/>
          <w:sz w:val="22"/>
          <w:szCs w:val="22"/>
        </w:rPr>
        <w:t>12 November</w:t>
      </w:r>
      <w:r w:rsidR="00B1759C">
        <w:rPr>
          <w:rFonts w:ascii="Arial" w:hAnsi="Arial" w:cs="Arial"/>
          <w:spacing w:val="-3"/>
          <w:sz w:val="22"/>
          <w:szCs w:val="22"/>
        </w:rPr>
        <w:t xml:space="preserve"> </w:t>
      </w:r>
      <w:r w:rsidR="00301B26">
        <w:rPr>
          <w:rFonts w:ascii="Arial" w:hAnsi="Arial" w:cs="Arial"/>
          <w:spacing w:val="-3"/>
          <w:sz w:val="22"/>
          <w:szCs w:val="22"/>
        </w:rPr>
        <w:t>202</w:t>
      </w:r>
      <w:r w:rsidR="001F62C9">
        <w:rPr>
          <w:rFonts w:ascii="Arial" w:hAnsi="Arial" w:cs="Arial"/>
          <w:spacing w:val="-3"/>
          <w:sz w:val="22"/>
          <w:szCs w:val="22"/>
        </w:rPr>
        <w:t>1</w:t>
      </w:r>
    </w:p>
    <w:sectPr w:rsidR="00900CA2" w:rsidSect="00E02098">
      <w:footerReference w:type="defaul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1B522" w14:textId="77777777" w:rsidR="00333DC5" w:rsidRDefault="00333DC5" w:rsidP="0077481E">
      <w:r>
        <w:separator/>
      </w:r>
    </w:p>
  </w:endnote>
  <w:endnote w:type="continuationSeparator" w:id="0">
    <w:p w14:paraId="547B7F45" w14:textId="77777777" w:rsidR="00333DC5" w:rsidRDefault="00333DC5"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83C27" w14:textId="0FCEBEE0" w:rsidR="00F7397E" w:rsidRPr="00F7397E" w:rsidRDefault="004F2014" w:rsidP="00F7397E">
    <w:pPr>
      <w:pStyle w:val="Footer"/>
      <w:jc w:val="right"/>
      <w:rPr>
        <w:rFonts w:ascii="Arial" w:hAnsi="Arial" w:cs="Arial"/>
        <w:sz w:val="22"/>
        <w:szCs w:val="22"/>
      </w:rPr>
    </w:pPr>
    <w:sdt>
      <w:sdtPr>
        <w:rPr>
          <w:sz w:val="22"/>
          <w:szCs w:val="22"/>
        </w:rPr>
        <w:id w:val="972565576"/>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p>
  <w:p w14:paraId="11814CCE" w14:textId="0DEEDEC7" w:rsidR="00CA2BC7" w:rsidRPr="00CA2BC7" w:rsidRDefault="00CA2BC7" w:rsidP="00CA2BC7">
    <w:pPr>
      <w:pStyle w:val="Footer"/>
      <w:jc w:val="right"/>
      <w:rPr>
        <w:rFonts w:ascii="Arial" w:hAnsi="Arial" w:cs="Arial"/>
        <w:sz w:val="22"/>
        <w:szCs w:val="22"/>
      </w:rPr>
    </w:pPr>
  </w:p>
  <w:p w14:paraId="15CCD48B" w14:textId="6F6F0329" w:rsidR="00BD1978" w:rsidRPr="005F186A" w:rsidRDefault="00BD1978" w:rsidP="00BD1978">
    <w:pPr>
      <w:pStyle w:val="Footer"/>
      <w:jc w:val="right"/>
      <w:rPr>
        <w:rFonts w:ascii="Arial" w:hAnsi="Arial" w:cs="Arial"/>
        <w:sz w:val="22"/>
        <w:szCs w:val="22"/>
      </w:rPr>
    </w:pPr>
  </w:p>
  <w:p w14:paraId="4FB563C2" w14:textId="44E49716" w:rsidR="005F186A" w:rsidRPr="005F186A" w:rsidRDefault="005F186A" w:rsidP="005F186A">
    <w:pPr>
      <w:pStyle w:val="Footer"/>
      <w:jc w:val="right"/>
      <w:rPr>
        <w:rFonts w:ascii="Arial" w:hAnsi="Arial" w:cs="Arial"/>
        <w:sz w:val="22"/>
        <w:szCs w:val="22"/>
      </w:rPr>
    </w:pPr>
  </w:p>
  <w:p w14:paraId="31A4F0B2" w14:textId="77777777" w:rsidR="005F186A" w:rsidRDefault="005F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620E3" w14:textId="236496B6" w:rsidR="005F186A" w:rsidRPr="005F186A" w:rsidRDefault="005F186A">
    <w:pPr>
      <w:pStyle w:val="Footer"/>
      <w:jc w:val="right"/>
      <w:rPr>
        <w:rFonts w:ascii="Arial" w:hAnsi="Arial" w:cs="Arial"/>
        <w:sz w:val="22"/>
        <w:szCs w:val="22"/>
      </w:rPr>
    </w:pPr>
  </w:p>
  <w:p w14:paraId="4C9A468E" w14:textId="77777777" w:rsidR="000D3362" w:rsidRDefault="000D3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BEE58" w14:textId="77777777" w:rsidR="00F7397E" w:rsidRPr="00F7397E" w:rsidRDefault="004F2014" w:rsidP="00F7397E">
    <w:pPr>
      <w:pStyle w:val="Footer"/>
      <w:jc w:val="right"/>
      <w:rPr>
        <w:rFonts w:ascii="Arial" w:hAnsi="Arial" w:cs="Arial"/>
        <w:sz w:val="22"/>
        <w:szCs w:val="22"/>
      </w:rPr>
    </w:pPr>
    <w:sdt>
      <w:sdtPr>
        <w:rPr>
          <w:sz w:val="22"/>
          <w:szCs w:val="22"/>
        </w:rPr>
        <w:id w:val="-1565404731"/>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sdt>
      <w:sdtPr>
        <w:rPr>
          <w:sz w:val="22"/>
          <w:szCs w:val="22"/>
        </w:rPr>
        <w:id w:val="-489561454"/>
        <w:docPartObj>
          <w:docPartGallery w:val="Page Numbers (Bottom of Page)"/>
          <w:docPartUnique/>
        </w:docPartObj>
      </w:sdtPr>
      <w:sdtEndPr>
        <w:rPr>
          <w:rFonts w:ascii="Arial" w:hAnsi="Arial" w:cs="Arial"/>
          <w:noProof/>
        </w:rPr>
      </w:sdtEndPr>
      <w:sdtContent>
        <w:r w:rsidR="00F7397E" w:rsidRPr="00F7397E">
          <w:rPr>
            <w:rFonts w:ascii="Arial" w:hAnsi="Arial" w:cs="Arial"/>
            <w:sz w:val="22"/>
            <w:szCs w:val="22"/>
          </w:rPr>
          <w:fldChar w:fldCharType="begin"/>
        </w:r>
        <w:r w:rsidR="00F7397E" w:rsidRPr="00F7397E">
          <w:rPr>
            <w:rFonts w:ascii="Arial" w:hAnsi="Arial" w:cs="Arial"/>
            <w:sz w:val="22"/>
            <w:szCs w:val="22"/>
          </w:rPr>
          <w:instrText xml:space="preserve"> PAGE   \* MERGEFORMAT </w:instrText>
        </w:r>
        <w:r w:rsidR="00F7397E" w:rsidRPr="00F7397E">
          <w:rPr>
            <w:rFonts w:ascii="Arial" w:hAnsi="Arial" w:cs="Arial"/>
            <w:sz w:val="22"/>
            <w:szCs w:val="22"/>
          </w:rPr>
          <w:fldChar w:fldCharType="separate"/>
        </w:r>
        <w:r w:rsidR="00F7397E" w:rsidRPr="00F7397E">
          <w:rPr>
            <w:rFonts w:ascii="Arial" w:hAnsi="Arial" w:cs="Arial"/>
            <w:sz w:val="22"/>
            <w:szCs w:val="22"/>
          </w:rPr>
          <w:t>2</w:t>
        </w:r>
        <w:r w:rsidR="00F7397E" w:rsidRPr="00F7397E">
          <w:rPr>
            <w:rFonts w:ascii="Arial" w:hAnsi="Arial" w:cs="Arial"/>
            <w:noProof/>
            <w:sz w:val="22"/>
            <w:szCs w:val="22"/>
          </w:rPr>
          <w:fldChar w:fldCharType="end"/>
        </w:r>
      </w:sdtContent>
    </w:sdt>
  </w:p>
  <w:p w14:paraId="7AB36F52" w14:textId="77777777" w:rsidR="00F7397E" w:rsidRPr="00CA2BC7" w:rsidRDefault="00F7397E" w:rsidP="00CA2BC7">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8817675"/>
      <w:docPartObj>
        <w:docPartGallery w:val="Page Numbers (Bottom of Page)"/>
        <w:docPartUnique/>
      </w:docPartObj>
    </w:sdtPr>
    <w:sdtEndPr>
      <w:rPr>
        <w:rFonts w:ascii="Arial" w:hAnsi="Arial" w:cs="Arial"/>
        <w:noProof/>
        <w:sz w:val="22"/>
        <w:szCs w:val="22"/>
      </w:rPr>
    </w:sdtEndPr>
    <w:sdtContent>
      <w:p w14:paraId="0F58610E" w14:textId="4C2AB23A" w:rsidR="00F7397E" w:rsidRPr="00F7397E" w:rsidRDefault="00F7397E">
        <w:pPr>
          <w:pStyle w:val="Footer"/>
          <w:jc w:val="right"/>
          <w:rPr>
            <w:rFonts w:ascii="Arial" w:hAnsi="Arial" w:cs="Arial"/>
            <w:sz w:val="22"/>
            <w:szCs w:val="22"/>
          </w:rPr>
        </w:pPr>
        <w:r w:rsidRPr="00F7397E">
          <w:rPr>
            <w:rFonts w:ascii="Arial" w:hAnsi="Arial" w:cs="Arial"/>
            <w:sz w:val="22"/>
            <w:szCs w:val="22"/>
          </w:rPr>
          <w:fldChar w:fldCharType="begin"/>
        </w:r>
        <w:r w:rsidRPr="00F7397E">
          <w:rPr>
            <w:rFonts w:ascii="Arial" w:hAnsi="Arial" w:cs="Arial"/>
            <w:sz w:val="22"/>
            <w:szCs w:val="22"/>
          </w:rPr>
          <w:instrText xml:space="preserve"> PAGE   \* MERGEFORMAT </w:instrText>
        </w:r>
        <w:r w:rsidRPr="00F7397E">
          <w:rPr>
            <w:rFonts w:ascii="Arial" w:hAnsi="Arial" w:cs="Arial"/>
            <w:sz w:val="22"/>
            <w:szCs w:val="22"/>
          </w:rPr>
          <w:fldChar w:fldCharType="separate"/>
        </w:r>
        <w:r w:rsidRPr="00F7397E">
          <w:rPr>
            <w:rFonts w:ascii="Arial" w:hAnsi="Arial" w:cs="Arial"/>
            <w:noProof/>
            <w:sz w:val="22"/>
            <w:szCs w:val="22"/>
          </w:rPr>
          <w:t>2</w:t>
        </w:r>
        <w:r w:rsidRPr="00F7397E">
          <w:rPr>
            <w:rFonts w:ascii="Arial" w:hAnsi="Arial" w:cs="Arial"/>
            <w:noProof/>
            <w:sz w:val="22"/>
            <w:szCs w:val="22"/>
          </w:rPr>
          <w:fldChar w:fldCharType="end"/>
        </w:r>
      </w:p>
    </w:sdtContent>
  </w:sdt>
  <w:p w14:paraId="23FB2388" w14:textId="77777777" w:rsidR="00BD1978" w:rsidRDefault="00BD19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7C9AB" w14:textId="77777777" w:rsidR="00333DC5" w:rsidRDefault="00333DC5" w:rsidP="0077481E">
      <w:r>
        <w:separator/>
      </w:r>
    </w:p>
  </w:footnote>
  <w:footnote w:type="continuationSeparator" w:id="0">
    <w:p w14:paraId="16A80437" w14:textId="77777777" w:rsidR="00333DC5" w:rsidRDefault="00333DC5"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C93D2" w14:textId="77777777" w:rsidR="0077481E" w:rsidRDefault="0077481E" w:rsidP="0077481E">
    <w:pPr>
      <w:pStyle w:val="Header"/>
      <w:spacing w:before="240"/>
    </w:pPr>
  </w:p>
  <w:p w14:paraId="55BFC6EA"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CE0"/>
    <w:rsid w:val="00076952"/>
    <w:rsid w:val="00077B56"/>
    <w:rsid w:val="000805D8"/>
    <w:rsid w:val="0008095F"/>
    <w:rsid w:val="00081294"/>
    <w:rsid w:val="00081F68"/>
    <w:rsid w:val="00083464"/>
    <w:rsid w:val="00087B56"/>
    <w:rsid w:val="00087E33"/>
    <w:rsid w:val="00090166"/>
    <w:rsid w:val="0009034F"/>
    <w:rsid w:val="000905FD"/>
    <w:rsid w:val="00092336"/>
    <w:rsid w:val="00092AA6"/>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C7AD4"/>
    <w:rsid w:val="001D27BA"/>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2C9"/>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603"/>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61A2"/>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23"/>
    <w:rsid w:val="002F5450"/>
    <w:rsid w:val="002F5EFA"/>
    <w:rsid w:val="002F627C"/>
    <w:rsid w:val="002F693E"/>
    <w:rsid w:val="002F6AC1"/>
    <w:rsid w:val="002F7011"/>
    <w:rsid w:val="002F799E"/>
    <w:rsid w:val="00300057"/>
    <w:rsid w:val="003001E9"/>
    <w:rsid w:val="00301B26"/>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3DC5"/>
    <w:rsid w:val="00334F04"/>
    <w:rsid w:val="00335070"/>
    <w:rsid w:val="00335E5D"/>
    <w:rsid w:val="003366E1"/>
    <w:rsid w:val="00336DEE"/>
    <w:rsid w:val="00337594"/>
    <w:rsid w:val="00340089"/>
    <w:rsid w:val="00340DD9"/>
    <w:rsid w:val="00342919"/>
    <w:rsid w:val="00342A23"/>
    <w:rsid w:val="0034344E"/>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4FC4"/>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0909"/>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7F9"/>
    <w:rsid w:val="00492AFE"/>
    <w:rsid w:val="00493F31"/>
    <w:rsid w:val="00494A32"/>
    <w:rsid w:val="00494F1F"/>
    <w:rsid w:val="00495037"/>
    <w:rsid w:val="004970BE"/>
    <w:rsid w:val="00497260"/>
    <w:rsid w:val="00497AFA"/>
    <w:rsid w:val="00497C84"/>
    <w:rsid w:val="004A2E9E"/>
    <w:rsid w:val="004A3218"/>
    <w:rsid w:val="004A3D7B"/>
    <w:rsid w:val="004A3EF9"/>
    <w:rsid w:val="004A4BDF"/>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2014"/>
    <w:rsid w:val="004F321F"/>
    <w:rsid w:val="004F330C"/>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194"/>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2DB"/>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4D8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5CC"/>
    <w:rsid w:val="005E69FA"/>
    <w:rsid w:val="005E6B8A"/>
    <w:rsid w:val="005F0019"/>
    <w:rsid w:val="005F186A"/>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47E7"/>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11B0"/>
    <w:rsid w:val="006D2FEE"/>
    <w:rsid w:val="006D4289"/>
    <w:rsid w:val="006D598E"/>
    <w:rsid w:val="006D5FAC"/>
    <w:rsid w:val="006D628A"/>
    <w:rsid w:val="006D7055"/>
    <w:rsid w:val="006D750B"/>
    <w:rsid w:val="006E15EE"/>
    <w:rsid w:val="006E3D90"/>
    <w:rsid w:val="006E4453"/>
    <w:rsid w:val="006E452F"/>
    <w:rsid w:val="006E4D7E"/>
    <w:rsid w:val="006E559B"/>
    <w:rsid w:val="006E57E5"/>
    <w:rsid w:val="006E68BA"/>
    <w:rsid w:val="006F04B3"/>
    <w:rsid w:val="006F0F0B"/>
    <w:rsid w:val="006F12E4"/>
    <w:rsid w:val="006F14C4"/>
    <w:rsid w:val="006F1506"/>
    <w:rsid w:val="006F36C0"/>
    <w:rsid w:val="006F3908"/>
    <w:rsid w:val="006F5389"/>
    <w:rsid w:val="006F5406"/>
    <w:rsid w:val="006F5A37"/>
    <w:rsid w:val="006F5AAD"/>
    <w:rsid w:val="006F5B50"/>
    <w:rsid w:val="006F5EE5"/>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1EF"/>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26DF4"/>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132"/>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03C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1B03"/>
    <w:rsid w:val="008741F8"/>
    <w:rsid w:val="008753AC"/>
    <w:rsid w:val="00875AD2"/>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6CC0"/>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4E74"/>
    <w:rsid w:val="00976620"/>
    <w:rsid w:val="00976B97"/>
    <w:rsid w:val="00976C4D"/>
    <w:rsid w:val="0098091A"/>
    <w:rsid w:val="0098103E"/>
    <w:rsid w:val="0098124B"/>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0E60"/>
    <w:rsid w:val="009A361D"/>
    <w:rsid w:val="009A4054"/>
    <w:rsid w:val="009A4A70"/>
    <w:rsid w:val="009A5496"/>
    <w:rsid w:val="009A75D7"/>
    <w:rsid w:val="009A7CB8"/>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31B"/>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98D"/>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252B"/>
    <w:rsid w:val="00A53D99"/>
    <w:rsid w:val="00A53DBB"/>
    <w:rsid w:val="00A566C1"/>
    <w:rsid w:val="00A567FA"/>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CF5"/>
    <w:rsid w:val="00AC5DC7"/>
    <w:rsid w:val="00AD0659"/>
    <w:rsid w:val="00AD1D7C"/>
    <w:rsid w:val="00AD25A2"/>
    <w:rsid w:val="00AD4798"/>
    <w:rsid w:val="00AD5A99"/>
    <w:rsid w:val="00AD76C7"/>
    <w:rsid w:val="00AE3975"/>
    <w:rsid w:val="00AE3E96"/>
    <w:rsid w:val="00AE4941"/>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7C"/>
    <w:rsid w:val="00B11EAA"/>
    <w:rsid w:val="00B13211"/>
    <w:rsid w:val="00B133F5"/>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3E0"/>
    <w:rsid w:val="00B95F79"/>
    <w:rsid w:val="00B962C8"/>
    <w:rsid w:val="00B965B9"/>
    <w:rsid w:val="00B96769"/>
    <w:rsid w:val="00BA0086"/>
    <w:rsid w:val="00BA0C13"/>
    <w:rsid w:val="00BA0C63"/>
    <w:rsid w:val="00BA1390"/>
    <w:rsid w:val="00BA27C0"/>
    <w:rsid w:val="00BA5CEB"/>
    <w:rsid w:val="00BA6553"/>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978"/>
    <w:rsid w:val="00BD1F63"/>
    <w:rsid w:val="00BD2884"/>
    <w:rsid w:val="00BD3F01"/>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BF7D25"/>
    <w:rsid w:val="00C0096A"/>
    <w:rsid w:val="00C019E5"/>
    <w:rsid w:val="00C024BE"/>
    <w:rsid w:val="00C0398C"/>
    <w:rsid w:val="00C03F8C"/>
    <w:rsid w:val="00C05E3C"/>
    <w:rsid w:val="00C063A7"/>
    <w:rsid w:val="00C064A1"/>
    <w:rsid w:val="00C06518"/>
    <w:rsid w:val="00C06EE3"/>
    <w:rsid w:val="00C1036B"/>
    <w:rsid w:val="00C11764"/>
    <w:rsid w:val="00C11A86"/>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03D9"/>
    <w:rsid w:val="00C822E6"/>
    <w:rsid w:val="00C843B8"/>
    <w:rsid w:val="00C849CD"/>
    <w:rsid w:val="00C84C28"/>
    <w:rsid w:val="00C856B3"/>
    <w:rsid w:val="00C858FF"/>
    <w:rsid w:val="00C9391F"/>
    <w:rsid w:val="00C93C02"/>
    <w:rsid w:val="00C94C50"/>
    <w:rsid w:val="00C95A55"/>
    <w:rsid w:val="00C95E2E"/>
    <w:rsid w:val="00C96CD7"/>
    <w:rsid w:val="00C97A13"/>
    <w:rsid w:val="00CA1654"/>
    <w:rsid w:val="00CA2AB9"/>
    <w:rsid w:val="00CA2BC7"/>
    <w:rsid w:val="00CA4803"/>
    <w:rsid w:val="00CA7E2D"/>
    <w:rsid w:val="00CA7F97"/>
    <w:rsid w:val="00CB06D3"/>
    <w:rsid w:val="00CB06E9"/>
    <w:rsid w:val="00CB36A9"/>
    <w:rsid w:val="00CB3A4E"/>
    <w:rsid w:val="00CB46FF"/>
    <w:rsid w:val="00CB56FD"/>
    <w:rsid w:val="00CB68AD"/>
    <w:rsid w:val="00CB6B44"/>
    <w:rsid w:val="00CB7BB1"/>
    <w:rsid w:val="00CC027A"/>
    <w:rsid w:val="00CC0962"/>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6EE"/>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979"/>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5F92"/>
    <w:rsid w:val="00DC61C6"/>
    <w:rsid w:val="00DC6394"/>
    <w:rsid w:val="00DD0C09"/>
    <w:rsid w:val="00DD158A"/>
    <w:rsid w:val="00DD160D"/>
    <w:rsid w:val="00DD1AC5"/>
    <w:rsid w:val="00DD29A9"/>
    <w:rsid w:val="00DD2CF9"/>
    <w:rsid w:val="00DD52B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A4F"/>
    <w:rsid w:val="00E01D44"/>
    <w:rsid w:val="00E02098"/>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BDD"/>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3521"/>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2354"/>
    <w:rsid w:val="00F034F8"/>
    <w:rsid w:val="00F0439E"/>
    <w:rsid w:val="00F05643"/>
    <w:rsid w:val="00F07120"/>
    <w:rsid w:val="00F07914"/>
    <w:rsid w:val="00F07CC8"/>
    <w:rsid w:val="00F11FAF"/>
    <w:rsid w:val="00F13AE6"/>
    <w:rsid w:val="00F14666"/>
    <w:rsid w:val="00F15FD1"/>
    <w:rsid w:val="00F164B1"/>
    <w:rsid w:val="00F1786A"/>
    <w:rsid w:val="00F179FE"/>
    <w:rsid w:val="00F17E2E"/>
    <w:rsid w:val="00F2122E"/>
    <w:rsid w:val="00F21C51"/>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97E"/>
    <w:rsid w:val="00F73E1F"/>
    <w:rsid w:val="00F752FD"/>
    <w:rsid w:val="00F75CC4"/>
    <w:rsid w:val="00F7607A"/>
    <w:rsid w:val="00F765DA"/>
    <w:rsid w:val="00F76ACA"/>
    <w:rsid w:val="00F7786B"/>
    <w:rsid w:val="00F80C78"/>
    <w:rsid w:val="00F8204C"/>
    <w:rsid w:val="00F8383C"/>
    <w:rsid w:val="00F84588"/>
    <w:rsid w:val="00F84D19"/>
    <w:rsid w:val="00F85717"/>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32E6"/>
    <w:rsid w:val="00FB470E"/>
    <w:rsid w:val="00FB6862"/>
    <w:rsid w:val="00FB784D"/>
    <w:rsid w:val="00FB7C1B"/>
    <w:rsid w:val="00FC06D7"/>
    <w:rsid w:val="00FC1DD9"/>
    <w:rsid w:val="00FC4ACD"/>
    <w:rsid w:val="00FC5014"/>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3275"/>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8FD5F6"/>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customStyle="1" w:styleId="ps-000-normal">
    <w:name w:val="ps-000-normal"/>
    <w:basedOn w:val="Normal"/>
    <w:rsid w:val="005F186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256293">
      <w:bodyDiv w:val="1"/>
      <w:marLeft w:val="0"/>
      <w:marRight w:val="0"/>
      <w:marTop w:val="0"/>
      <w:marBottom w:val="0"/>
      <w:divBdr>
        <w:top w:val="none" w:sz="0" w:space="0" w:color="auto"/>
        <w:left w:val="none" w:sz="0" w:space="0" w:color="auto"/>
        <w:bottom w:val="none" w:sz="0" w:space="0" w:color="auto"/>
        <w:right w:val="none" w:sz="0" w:space="0" w:color="auto"/>
      </w:divBdr>
    </w:div>
    <w:div w:id="729840920">
      <w:bodyDiv w:val="1"/>
      <w:marLeft w:val="0"/>
      <w:marRight w:val="0"/>
      <w:marTop w:val="0"/>
      <w:marBottom w:val="0"/>
      <w:divBdr>
        <w:top w:val="none" w:sz="0" w:space="0" w:color="auto"/>
        <w:left w:val="none" w:sz="0" w:space="0" w:color="auto"/>
        <w:bottom w:val="none" w:sz="0" w:space="0" w:color="auto"/>
        <w:right w:val="none" w:sz="0" w:space="0" w:color="auto"/>
      </w:divBdr>
    </w:div>
    <w:div w:id="88001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1B35-FE40-4C71-B6FB-C997E94B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54</TotalTime>
  <Pages>4</Pages>
  <Words>992</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16</cp:revision>
  <cp:lastPrinted>2021-11-10T14:22:00Z</cp:lastPrinted>
  <dcterms:created xsi:type="dcterms:W3CDTF">2021-08-11T05:28:00Z</dcterms:created>
  <dcterms:modified xsi:type="dcterms:W3CDTF">2021-11-11T12:10:00Z</dcterms:modified>
</cp:coreProperties>
</file>