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F99CCC" w14:textId="70874AEE" w:rsidR="00DB308D" w:rsidRPr="00510080" w:rsidRDefault="00DB308D" w:rsidP="004C2111">
      <w:pPr>
        <w:pStyle w:val="Reference"/>
        <w:rPr>
          <w:rFonts w:cstheme="minorBidi"/>
          <w:cs/>
          <w:lang w:bidi="th-TH"/>
        </w:rPr>
      </w:pPr>
      <w:bookmarkStart w:id="1" w:name="_GoBack"/>
      <w:bookmarkEnd w:id="1"/>
    </w:p>
    <w:p w14:paraId="1D90873C" w14:textId="21DC54C7" w:rsidR="00DE3883" w:rsidRDefault="00DE3883" w:rsidP="00E32428">
      <w:pPr>
        <w:pStyle w:val="BodyText"/>
        <w:spacing w:after="0" w:line="360" w:lineRule="auto"/>
        <w:rPr>
          <w:rFonts w:ascii="Arial" w:hAnsi="Arial"/>
          <w:b/>
          <w:bCs/>
          <w:sz w:val="19"/>
          <w:szCs w:val="19"/>
        </w:rPr>
      </w:pPr>
    </w:p>
    <w:p w14:paraId="0D8398C6" w14:textId="343009B7" w:rsidR="009B7038" w:rsidRDefault="009B7038" w:rsidP="004156CC">
      <w:pPr>
        <w:pStyle w:val="BodyText"/>
        <w:spacing w:after="240" w:line="360" w:lineRule="auto"/>
        <w:rPr>
          <w:rFonts w:ascii="Arial" w:hAnsi="Arial"/>
          <w:b/>
          <w:bCs/>
          <w:sz w:val="19"/>
          <w:szCs w:val="19"/>
        </w:rPr>
      </w:pPr>
    </w:p>
    <w:p w14:paraId="31F17F8F" w14:textId="4830F5B6" w:rsidR="00664AB4" w:rsidRDefault="00664AB4" w:rsidP="004156CC">
      <w:pPr>
        <w:pStyle w:val="BodyText"/>
        <w:spacing w:after="240" w:line="360" w:lineRule="auto"/>
        <w:rPr>
          <w:rFonts w:ascii="Arial" w:hAnsi="Arial"/>
          <w:b/>
          <w:bCs/>
          <w:sz w:val="19"/>
          <w:szCs w:val="19"/>
        </w:rPr>
      </w:pPr>
    </w:p>
    <w:p w14:paraId="194F1F9C" w14:textId="6F7010FD" w:rsidR="00664AB4" w:rsidRDefault="00664AB4" w:rsidP="004156CC">
      <w:pPr>
        <w:pStyle w:val="BodyText"/>
        <w:spacing w:after="240" w:line="360" w:lineRule="auto"/>
        <w:rPr>
          <w:rFonts w:ascii="Arial" w:hAnsi="Arial"/>
          <w:b/>
          <w:bCs/>
          <w:sz w:val="19"/>
          <w:szCs w:val="19"/>
        </w:rPr>
      </w:pPr>
    </w:p>
    <w:p w14:paraId="3948AE6D" w14:textId="77777777" w:rsidR="00AF0C32" w:rsidRDefault="00AF0C32" w:rsidP="004156CC">
      <w:pPr>
        <w:pStyle w:val="BodyText"/>
        <w:spacing w:after="240" w:line="360" w:lineRule="auto"/>
        <w:rPr>
          <w:rFonts w:ascii="Arial" w:hAnsi="Arial"/>
          <w:b/>
          <w:bCs/>
          <w:sz w:val="19"/>
          <w:szCs w:val="19"/>
        </w:rPr>
      </w:pPr>
    </w:p>
    <w:p w14:paraId="46F298D4" w14:textId="77777777" w:rsidR="00985F81" w:rsidRDefault="00926867" w:rsidP="00E32428">
      <w:pPr>
        <w:pStyle w:val="BodyText"/>
        <w:spacing w:after="0" w:line="360" w:lineRule="auto"/>
        <w:rPr>
          <w:rFonts w:ascii="Arial" w:hAnsi="Arial" w:cstheme="minorBidi"/>
          <w:b/>
          <w:bCs/>
          <w:sz w:val="19"/>
          <w:szCs w:val="24"/>
          <w:lang w:val="en-US" w:bidi="th-TH"/>
        </w:rPr>
      </w:pPr>
      <w:r w:rsidRPr="00BB33A1">
        <w:rPr>
          <w:rFonts w:ascii="Arial" w:hAnsi="Arial"/>
          <w:b/>
          <w:bCs/>
          <w:sz w:val="19"/>
          <w:szCs w:val="19"/>
        </w:rPr>
        <w:t xml:space="preserve">To the </w:t>
      </w:r>
      <w:r>
        <w:rPr>
          <w:rFonts w:ascii="Arial" w:hAnsi="Arial"/>
          <w:b/>
          <w:bCs/>
          <w:sz w:val="19"/>
          <w:szCs w:val="19"/>
        </w:rPr>
        <w:t>Board of Director</w:t>
      </w:r>
      <w:r w:rsidR="006622FA">
        <w:rPr>
          <w:rFonts w:ascii="Arial" w:hAnsi="Arial"/>
          <w:b/>
          <w:bCs/>
          <w:sz w:val="19"/>
          <w:szCs w:val="19"/>
        </w:rPr>
        <w:t>s</w:t>
      </w:r>
      <w:r w:rsidRPr="00BB33A1">
        <w:rPr>
          <w:rFonts w:ascii="Arial" w:hAnsi="Arial"/>
          <w:b/>
          <w:bCs/>
          <w:sz w:val="19"/>
          <w:szCs w:val="19"/>
        </w:rPr>
        <w:t xml:space="preserve"> </w:t>
      </w:r>
      <w:r>
        <w:rPr>
          <w:rFonts w:ascii="Arial" w:hAnsi="Arial"/>
          <w:b/>
          <w:bCs/>
          <w:sz w:val="19"/>
          <w:szCs w:val="19"/>
        </w:rPr>
        <w:t>and the Shareholders</w:t>
      </w:r>
      <w:r w:rsidRPr="00BB33A1">
        <w:rPr>
          <w:rFonts w:ascii="Arial" w:hAnsi="Arial"/>
          <w:b/>
          <w:bCs/>
          <w:sz w:val="19"/>
          <w:szCs w:val="19"/>
        </w:rPr>
        <w:t xml:space="preserve"> of </w:t>
      </w:r>
      <w:r w:rsidR="00985F81" w:rsidRPr="00985F81">
        <w:rPr>
          <w:rFonts w:ascii="Arial" w:hAnsi="Arial" w:cstheme="minorBidi"/>
          <w:b/>
          <w:bCs/>
          <w:sz w:val="19"/>
          <w:szCs w:val="24"/>
          <w:lang w:val="en-US" w:bidi="th-TH"/>
        </w:rPr>
        <w:t xml:space="preserve">Fortune Parts Industry </w:t>
      </w:r>
    </w:p>
    <w:p w14:paraId="0FB0B422" w14:textId="19112976" w:rsidR="00E32428" w:rsidRPr="00BB33A1" w:rsidRDefault="00985F81" w:rsidP="00E32428">
      <w:pPr>
        <w:pStyle w:val="BodyText"/>
        <w:spacing w:after="0" w:line="360" w:lineRule="auto"/>
        <w:rPr>
          <w:rFonts w:ascii="Arial" w:hAnsi="Arial"/>
          <w:b/>
          <w:bCs/>
          <w:sz w:val="19"/>
          <w:szCs w:val="19"/>
        </w:rPr>
      </w:pPr>
      <w:r>
        <w:rPr>
          <w:rFonts w:ascii="Arial" w:hAnsi="Arial" w:cstheme="minorBidi"/>
          <w:b/>
          <w:bCs/>
          <w:sz w:val="19"/>
          <w:szCs w:val="24"/>
          <w:lang w:val="en-US" w:bidi="th-TH"/>
        </w:rPr>
        <w:t xml:space="preserve">      </w:t>
      </w:r>
      <w:r w:rsidRPr="00985F81">
        <w:rPr>
          <w:rFonts w:ascii="Arial" w:hAnsi="Arial" w:cstheme="minorBidi"/>
          <w:b/>
          <w:bCs/>
          <w:sz w:val="19"/>
          <w:szCs w:val="24"/>
          <w:lang w:val="en-US" w:bidi="th-TH"/>
        </w:rPr>
        <w:t>Public Company</w:t>
      </w:r>
      <w:r>
        <w:rPr>
          <w:rFonts w:ascii="Arial" w:hAnsi="Arial" w:cstheme="minorBidi"/>
          <w:b/>
          <w:bCs/>
          <w:sz w:val="19"/>
          <w:szCs w:val="24"/>
          <w:lang w:val="en-US" w:bidi="th-TH"/>
        </w:rPr>
        <w:t xml:space="preserve"> </w:t>
      </w:r>
      <w:r w:rsidRPr="00985F81">
        <w:rPr>
          <w:rFonts w:ascii="Arial" w:hAnsi="Arial" w:cstheme="minorBidi"/>
          <w:b/>
          <w:bCs/>
          <w:sz w:val="19"/>
          <w:szCs w:val="24"/>
          <w:lang w:val="en-US" w:bidi="th-TH"/>
        </w:rPr>
        <w:t>Limited</w:t>
      </w:r>
    </w:p>
    <w:p w14:paraId="08FB32AE" w14:textId="77777777" w:rsidR="00E32428" w:rsidRPr="00E32428" w:rsidRDefault="00E32428" w:rsidP="00E32428">
      <w:pPr>
        <w:pStyle w:val="BodyText"/>
        <w:spacing w:line="360" w:lineRule="auto"/>
        <w:rPr>
          <w:rFonts w:ascii="Arial" w:hAnsi="Arial"/>
          <w:sz w:val="19"/>
          <w:szCs w:val="19"/>
        </w:rPr>
      </w:pPr>
    </w:p>
    <w:p w14:paraId="1780EF3D" w14:textId="408DC23D" w:rsidR="001C7DD8" w:rsidRPr="00241487" w:rsidRDefault="001C7DD8" w:rsidP="001C7DD8">
      <w:pPr>
        <w:pStyle w:val="BodyText"/>
        <w:spacing w:line="360" w:lineRule="auto"/>
        <w:jc w:val="thaiDistribute"/>
        <w:rPr>
          <w:rFonts w:ascii="Arial" w:hAnsi="Arial"/>
          <w:sz w:val="19"/>
          <w:szCs w:val="19"/>
        </w:rPr>
      </w:pPr>
      <w:r w:rsidRPr="00241487">
        <w:rPr>
          <w:rFonts w:ascii="Arial" w:hAnsi="Arial"/>
          <w:sz w:val="19"/>
          <w:szCs w:val="19"/>
        </w:rPr>
        <w:t>I have reviewed the consolidated and separate financial</w:t>
      </w:r>
      <w:r w:rsidR="004A6D7E">
        <w:rPr>
          <w:rFonts w:ascii="Arial" w:hAnsi="Arial"/>
          <w:sz w:val="19"/>
          <w:szCs w:val="19"/>
        </w:rPr>
        <w:t xml:space="preserve"> </w:t>
      </w:r>
      <w:r w:rsidR="00B446F8">
        <w:rPr>
          <w:rFonts w:ascii="Arial" w:hAnsi="Arial"/>
          <w:sz w:val="19"/>
          <w:szCs w:val="19"/>
        </w:rPr>
        <w:t>position</w:t>
      </w:r>
      <w:r w:rsidR="004A6D7E">
        <w:rPr>
          <w:rFonts w:ascii="Arial" w:hAnsi="Arial"/>
          <w:sz w:val="19"/>
          <w:szCs w:val="19"/>
        </w:rPr>
        <w:t xml:space="preserve"> of</w:t>
      </w:r>
      <w:r w:rsidRPr="00241487">
        <w:rPr>
          <w:rFonts w:ascii="Arial" w:hAnsi="Arial"/>
          <w:sz w:val="19"/>
          <w:szCs w:val="19"/>
        </w:rPr>
        <w:t xml:space="preserve"> </w:t>
      </w:r>
      <w:r w:rsidR="00241487" w:rsidRPr="00241487">
        <w:rPr>
          <w:rFonts w:ascii="Arial" w:hAnsi="Arial"/>
          <w:sz w:val="19"/>
          <w:szCs w:val="19"/>
        </w:rPr>
        <w:t>Fortune Parts Industry Public Company Limited</w:t>
      </w:r>
      <w:r w:rsidRPr="00241487">
        <w:rPr>
          <w:rFonts w:ascii="Arial" w:hAnsi="Arial"/>
          <w:sz w:val="19"/>
          <w:szCs w:val="19"/>
        </w:rPr>
        <w:t xml:space="preserve"> and </w:t>
      </w:r>
      <w:r w:rsidR="004A6D7E">
        <w:rPr>
          <w:rFonts w:ascii="Arial" w:hAnsi="Arial"/>
          <w:sz w:val="19"/>
          <w:szCs w:val="19"/>
        </w:rPr>
        <w:t xml:space="preserve">its </w:t>
      </w:r>
      <w:r w:rsidRPr="00241487">
        <w:rPr>
          <w:rFonts w:ascii="Arial" w:hAnsi="Arial"/>
          <w:sz w:val="19"/>
          <w:szCs w:val="19"/>
        </w:rPr>
        <w:t>subsidiaries</w:t>
      </w:r>
      <w:r w:rsidR="00B724B2">
        <w:rPr>
          <w:rFonts w:ascii="Arial" w:hAnsi="Arial"/>
          <w:sz w:val="19"/>
          <w:szCs w:val="19"/>
        </w:rPr>
        <w:t xml:space="preserve"> (the “Group”)</w:t>
      </w:r>
      <w:r w:rsidR="00B47200">
        <w:rPr>
          <w:rFonts w:ascii="Arial" w:hAnsi="Arial"/>
          <w:sz w:val="19"/>
          <w:szCs w:val="19"/>
        </w:rPr>
        <w:t xml:space="preserve"> </w:t>
      </w:r>
      <w:r w:rsidR="00127E69">
        <w:rPr>
          <w:rFonts w:ascii="Arial" w:hAnsi="Arial"/>
          <w:sz w:val="19"/>
          <w:szCs w:val="19"/>
        </w:rPr>
        <w:t xml:space="preserve">as at 30 </w:t>
      </w:r>
      <w:bookmarkStart w:id="2" w:name="_Hlk81302895"/>
      <w:r w:rsidR="00FB75DF">
        <w:rPr>
          <w:rFonts w:ascii="Arial" w:hAnsi="Arial"/>
          <w:sz w:val="19"/>
          <w:szCs w:val="19"/>
        </w:rPr>
        <w:t>September</w:t>
      </w:r>
      <w:bookmarkEnd w:id="2"/>
      <w:r w:rsidR="00127E69">
        <w:rPr>
          <w:rFonts w:ascii="Arial" w:hAnsi="Arial"/>
          <w:sz w:val="19"/>
          <w:szCs w:val="19"/>
        </w:rPr>
        <w:t xml:space="preserve"> 2021</w:t>
      </w:r>
      <w:r w:rsidR="002731FD">
        <w:rPr>
          <w:rFonts w:ascii="Arial" w:hAnsi="Arial"/>
          <w:sz w:val="19"/>
          <w:szCs w:val="19"/>
        </w:rPr>
        <w:t xml:space="preserve">, the related consolidated and separate statements </w:t>
      </w:r>
      <w:r w:rsidR="001C69C8" w:rsidRPr="00241487">
        <w:rPr>
          <w:rFonts w:ascii="Arial" w:hAnsi="Arial"/>
          <w:sz w:val="19"/>
          <w:szCs w:val="19"/>
        </w:rPr>
        <w:t>of profit or loss and other comprehensive income</w:t>
      </w:r>
      <w:r w:rsidR="0064470A">
        <w:rPr>
          <w:rFonts w:ascii="Arial" w:hAnsi="Arial"/>
          <w:sz w:val="19"/>
          <w:szCs w:val="19"/>
        </w:rPr>
        <w:t xml:space="preserve"> for the </w:t>
      </w:r>
      <w:r w:rsidR="00FB75DF">
        <w:rPr>
          <w:rFonts w:ascii="Arial" w:hAnsi="Arial"/>
          <w:sz w:val="19"/>
          <w:szCs w:val="19"/>
        </w:rPr>
        <w:br/>
      </w:r>
      <w:r w:rsidR="0064470A">
        <w:rPr>
          <w:rFonts w:ascii="Arial" w:hAnsi="Arial"/>
          <w:sz w:val="19"/>
          <w:szCs w:val="19"/>
        </w:rPr>
        <w:t xml:space="preserve">three-month and </w:t>
      </w:r>
      <w:r w:rsidR="00FB75DF">
        <w:rPr>
          <w:rFonts w:ascii="Arial" w:hAnsi="Arial"/>
          <w:sz w:val="19"/>
          <w:szCs w:val="19"/>
        </w:rPr>
        <w:t>nine</w:t>
      </w:r>
      <w:r w:rsidR="0064470A">
        <w:rPr>
          <w:rFonts w:ascii="Arial" w:hAnsi="Arial"/>
          <w:sz w:val="19"/>
          <w:szCs w:val="19"/>
        </w:rPr>
        <w:t xml:space="preserve">-month periods ended 30 </w:t>
      </w:r>
      <w:r w:rsidR="00FB75DF" w:rsidRPr="00FB75DF">
        <w:rPr>
          <w:rFonts w:ascii="Arial" w:hAnsi="Arial"/>
          <w:sz w:val="19"/>
          <w:szCs w:val="19"/>
        </w:rPr>
        <w:t>September</w:t>
      </w:r>
      <w:r w:rsidR="0064470A">
        <w:rPr>
          <w:rFonts w:ascii="Arial" w:hAnsi="Arial"/>
          <w:sz w:val="19"/>
          <w:szCs w:val="19"/>
        </w:rPr>
        <w:t xml:space="preserve"> 202</w:t>
      </w:r>
      <w:r w:rsidR="00DC0B9E">
        <w:rPr>
          <w:rFonts w:ascii="Arial" w:hAnsi="Arial"/>
          <w:sz w:val="19"/>
          <w:szCs w:val="19"/>
        </w:rPr>
        <w:t xml:space="preserve">1, </w:t>
      </w:r>
      <w:r w:rsidR="00F354AD" w:rsidRPr="00A64CEF">
        <w:rPr>
          <w:rFonts w:ascii="Arial" w:hAnsi="Arial"/>
          <w:sz w:val="19"/>
          <w:szCs w:val="19"/>
        </w:rPr>
        <w:t xml:space="preserve">the consolidated and separate statements of changes in shareholders’ equity and cash flows for </w:t>
      </w:r>
      <w:r w:rsidR="00F354AD" w:rsidRPr="00F354AD">
        <w:rPr>
          <w:rFonts w:ascii="Arial" w:hAnsi="Arial"/>
          <w:sz w:val="19"/>
          <w:szCs w:val="19"/>
        </w:rPr>
        <w:t xml:space="preserve">the </w:t>
      </w:r>
      <w:r w:rsidR="00FB75DF">
        <w:rPr>
          <w:rFonts w:ascii="Arial" w:hAnsi="Arial" w:cstheme="minorBidi"/>
          <w:sz w:val="19"/>
          <w:szCs w:val="24"/>
          <w:lang w:bidi="th-TH"/>
        </w:rPr>
        <w:t>nine</w:t>
      </w:r>
      <w:r w:rsidR="00F354AD" w:rsidRPr="00F354AD">
        <w:rPr>
          <w:rFonts w:ascii="Arial" w:hAnsi="Arial" w:cstheme="minorBidi"/>
          <w:sz w:val="19"/>
          <w:szCs w:val="24"/>
          <w:lang w:bidi="th-TH"/>
        </w:rPr>
        <w:t>-month</w:t>
      </w:r>
      <w:r w:rsidR="00F354AD" w:rsidRPr="00F354AD">
        <w:rPr>
          <w:rFonts w:ascii="Arial" w:hAnsi="Arial"/>
          <w:sz w:val="19"/>
          <w:szCs w:val="19"/>
        </w:rPr>
        <w:t xml:space="preserve"> pe</w:t>
      </w:r>
      <w:r w:rsidR="00F354AD" w:rsidRPr="00F354AD">
        <w:rPr>
          <w:rFonts w:ascii="Arial" w:hAnsi="Arial" w:cstheme="minorBidi"/>
          <w:sz w:val="19"/>
          <w:szCs w:val="24"/>
          <w:lang w:bidi="th-TH"/>
        </w:rPr>
        <w:t xml:space="preserve">riod </w:t>
      </w:r>
      <w:r w:rsidR="00F354AD" w:rsidRPr="00F354AD">
        <w:rPr>
          <w:rFonts w:ascii="Arial" w:hAnsi="Arial"/>
          <w:sz w:val="19"/>
          <w:szCs w:val="19"/>
        </w:rPr>
        <w:t>then ended, and</w:t>
      </w:r>
      <w:r w:rsidR="00F354AD" w:rsidRPr="00A64CEF">
        <w:rPr>
          <w:rFonts w:ascii="Arial" w:hAnsi="Arial"/>
          <w:sz w:val="19"/>
          <w:szCs w:val="19"/>
        </w:rPr>
        <w:t xml:space="preserve"> condensed notes</w:t>
      </w:r>
      <w:r w:rsidR="00F354AD">
        <w:rPr>
          <w:rFonts w:ascii="Arial" w:hAnsi="Arial" w:cstheme="minorBidi"/>
          <w:sz w:val="19"/>
          <w:szCs w:val="24"/>
          <w:lang w:bidi="th-TH"/>
        </w:rPr>
        <w:t xml:space="preserve"> to </w:t>
      </w:r>
      <w:r w:rsidR="00F354AD">
        <w:rPr>
          <w:rFonts w:ascii="Arial" w:hAnsi="Arial" w:cstheme="minorBidi"/>
          <w:sz w:val="19"/>
          <w:szCs w:val="24"/>
          <w:lang w:val="en-US" w:bidi="th-TH"/>
        </w:rPr>
        <w:t xml:space="preserve">the interim financial </w:t>
      </w:r>
      <w:r w:rsidR="00F354AD" w:rsidRPr="00094ED2">
        <w:rPr>
          <w:rFonts w:ascii="Arial" w:hAnsi="Arial" w:cstheme="minorBidi"/>
          <w:sz w:val="19"/>
          <w:szCs w:val="24"/>
          <w:lang w:val="en-US" w:bidi="th-TH"/>
        </w:rPr>
        <w:t>statements</w:t>
      </w:r>
      <w:r w:rsidR="00F354AD" w:rsidRPr="00094ED2">
        <w:rPr>
          <w:rFonts w:ascii="Arial" w:hAnsi="Arial" w:cstheme="minorBidi"/>
          <w:sz w:val="19"/>
          <w:szCs w:val="24"/>
          <w:lang w:bidi="th-TH"/>
        </w:rPr>
        <w:t xml:space="preserve"> </w:t>
      </w:r>
      <w:r w:rsidR="00F354AD" w:rsidRPr="00094ED2">
        <w:rPr>
          <w:rFonts w:ascii="Arial" w:hAnsi="Arial" w:cs="Browallia New"/>
          <w:sz w:val="19"/>
          <w:szCs w:val="24"/>
          <w:lang w:val="en-US" w:bidi="th-TH"/>
        </w:rPr>
        <w:t>(collectively “</w:t>
      </w:r>
      <w:r w:rsidR="00F354AD" w:rsidRPr="00094ED2">
        <w:rPr>
          <w:rFonts w:ascii="Arial" w:hAnsi="Arial"/>
          <w:sz w:val="19"/>
          <w:szCs w:val="19"/>
        </w:rPr>
        <w:t xml:space="preserve">the interim financial </w:t>
      </w:r>
      <w:r w:rsidR="00F354AD" w:rsidRPr="00094ED2">
        <w:rPr>
          <w:rFonts w:ascii="Arial" w:hAnsi="Arial" w:cs="Browallia New"/>
          <w:sz w:val="19"/>
          <w:szCs w:val="24"/>
          <w:lang w:val="en-US" w:bidi="th-TH"/>
        </w:rPr>
        <w:t>information</w:t>
      </w:r>
      <w:r w:rsidR="00F354AD" w:rsidRPr="00094ED2">
        <w:rPr>
          <w:rFonts w:ascii="Arial" w:hAnsi="Arial"/>
          <w:sz w:val="19"/>
          <w:szCs w:val="19"/>
        </w:rPr>
        <w:t>”).</w:t>
      </w:r>
      <w:r w:rsidR="00605599">
        <w:rPr>
          <w:rFonts w:ascii="Arial" w:hAnsi="Arial"/>
          <w:sz w:val="19"/>
          <w:szCs w:val="19"/>
        </w:rPr>
        <w:t xml:space="preserve"> </w:t>
      </w:r>
      <w:r w:rsidRPr="00241487">
        <w:rPr>
          <w:rFonts w:ascii="Arial" w:hAnsi="Arial"/>
          <w:sz w:val="19"/>
          <w:szCs w:val="19"/>
        </w:rPr>
        <w:t>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06FC562D" w14:textId="77777777" w:rsidR="00E32428" w:rsidRPr="00E32428" w:rsidRDefault="00E32428" w:rsidP="00E32428">
      <w:pPr>
        <w:pStyle w:val="BodyText"/>
        <w:spacing w:after="0" w:line="360" w:lineRule="auto"/>
        <w:rPr>
          <w:rFonts w:ascii="Arial" w:hAnsi="Arial"/>
          <w:sz w:val="19"/>
          <w:szCs w:val="19"/>
        </w:rPr>
      </w:pPr>
    </w:p>
    <w:p w14:paraId="1982B273" w14:textId="77777777" w:rsidR="00E32428" w:rsidRPr="00A62910" w:rsidRDefault="00E32428" w:rsidP="00E32428">
      <w:pPr>
        <w:pStyle w:val="BodyText"/>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rsidP="00E32428">
      <w:pPr>
        <w:pStyle w:val="BodyText"/>
        <w:spacing w:after="0" w:line="360" w:lineRule="auto"/>
        <w:rPr>
          <w:rFonts w:ascii="Arial" w:hAnsi="Arial"/>
          <w:sz w:val="19"/>
          <w:szCs w:val="19"/>
        </w:rPr>
      </w:pPr>
    </w:p>
    <w:p w14:paraId="3A4CDAB7" w14:textId="11BC4849" w:rsidR="00E32428" w:rsidRPr="00E32428" w:rsidRDefault="00336E39" w:rsidP="00E32428">
      <w:pPr>
        <w:pStyle w:val="BodyText"/>
        <w:spacing w:line="360" w:lineRule="auto"/>
        <w:jc w:val="thaiDistribute"/>
        <w:rPr>
          <w:rFonts w:ascii="Arial" w:hAnsi="Arial"/>
          <w:sz w:val="19"/>
          <w:szCs w:val="19"/>
        </w:rPr>
      </w:pPr>
      <w:r w:rsidRPr="00336E39">
        <w:rPr>
          <w:rFonts w:ascii="Arial" w:hAnsi="Arial"/>
          <w:sz w:val="19"/>
          <w:szCs w:val="19"/>
        </w:rPr>
        <w:t xml:space="preserve">I conducted my review in accordance with Thai Standard on Review Engagements 2410 “Review of Interim Financial Information performed by the Independent Auditor of the Entity”. </w:t>
      </w:r>
      <w:r w:rsidR="00E238A5">
        <w:rPr>
          <w:rFonts w:ascii="Arial" w:hAnsi="Arial"/>
          <w:sz w:val="19"/>
          <w:szCs w:val="19"/>
        </w:rPr>
        <w:t xml:space="preserve"> </w:t>
      </w:r>
      <w:r w:rsidRPr="00336E39">
        <w:rPr>
          <w:rFonts w:ascii="Arial" w:hAnsi="Arial"/>
          <w:sz w:val="19"/>
          <w:szCs w:val="19"/>
        </w:rPr>
        <w:t xml:space="preserve">A review of interim financial information consists of making </w:t>
      </w:r>
      <w:r w:rsidR="008A4140" w:rsidRPr="00D900C6">
        <w:rPr>
          <w:rFonts w:ascii="Arial" w:hAnsi="Arial" w:cs="Browallia New"/>
          <w:sz w:val="19"/>
          <w:szCs w:val="24"/>
          <w:lang w:bidi="th-TH"/>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 </w:t>
      </w:r>
      <w:r w:rsidR="00E238A5">
        <w:rPr>
          <w:rFonts w:ascii="Arial" w:hAnsi="Arial"/>
          <w:sz w:val="19"/>
          <w:szCs w:val="19"/>
        </w:rPr>
        <w:t xml:space="preserve"> </w:t>
      </w:r>
      <w:r w:rsidRPr="00336E39">
        <w:rPr>
          <w:rFonts w:ascii="Arial" w:hAnsi="Arial"/>
          <w:sz w:val="19"/>
          <w:szCs w:val="19"/>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6C356372" w14:textId="719382C9" w:rsidR="00810851" w:rsidRDefault="00810851" w:rsidP="00C95DBE">
      <w:pPr>
        <w:pStyle w:val="BodyText"/>
        <w:spacing w:after="0" w:line="360" w:lineRule="auto"/>
        <w:rPr>
          <w:rFonts w:ascii="Arial" w:hAnsi="Arial"/>
          <w:sz w:val="19"/>
          <w:szCs w:val="19"/>
          <w:lang w:val="en-US"/>
        </w:rPr>
      </w:pPr>
    </w:p>
    <w:p w14:paraId="430D5793" w14:textId="683F9DBA" w:rsidR="0072488C" w:rsidRDefault="0072488C" w:rsidP="00C95DBE">
      <w:pPr>
        <w:pStyle w:val="BodyText"/>
        <w:spacing w:after="0" w:line="360" w:lineRule="auto"/>
        <w:rPr>
          <w:rFonts w:ascii="Arial" w:hAnsi="Arial"/>
          <w:sz w:val="19"/>
          <w:szCs w:val="19"/>
          <w:lang w:val="en-US"/>
        </w:rPr>
      </w:pPr>
    </w:p>
    <w:p w14:paraId="6B92C854" w14:textId="4507AF9D" w:rsidR="00C00F8F" w:rsidRDefault="00C00F8F" w:rsidP="00C95DBE">
      <w:pPr>
        <w:pStyle w:val="BodyText"/>
        <w:spacing w:after="0" w:line="360" w:lineRule="auto"/>
        <w:rPr>
          <w:rFonts w:ascii="Arial" w:hAnsi="Arial"/>
          <w:sz w:val="19"/>
          <w:szCs w:val="19"/>
          <w:lang w:val="en-US"/>
        </w:rPr>
      </w:pPr>
    </w:p>
    <w:p w14:paraId="52E90555" w14:textId="507E6BEA" w:rsidR="00C00F8F" w:rsidRDefault="00C00F8F" w:rsidP="00C95DBE">
      <w:pPr>
        <w:pStyle w:val="BodyText"/>
        <w:spacing w:after="0" w:line="360" w:lineRule="auto"/>
        <w:rPr>
          <w:rFonts w:ascii="Arial" w:hAnsi="Arial"/>
          <w:sz w:val="19"/>
          <w:szCs w:val="19"/>
          <w:lang w:val="en-US"/>
        </w:rPr>
      </w:pPr>
    </w:p>
    <w:p w14:paraId="1CFEC847" w14:textId="77777777" w:rsidR="00C00F8F" w:rsidRDefault="00C00F8F" w:rsidP="00C95DBE">
      <w:pPr>
        <w:pStyle w:val="BodyText"/>
        <w:spacing w:after="0" w:line="360" w:lineRule="auto"/>
        <w:rPr>
          <w:rFonts w:ascii="Arial" w:hAnsi="Arial"/>
          <w:sz w:val="19"/>
          <w:szCs w:val="19"/>
          <w:lang w:val="en-US"/>
        </w:rPr>
      </w:pPr>
    </w:p>
    <w:p w14:paraId="5F153F4F" w14:textId="127C18F8" w:rsidR="00236EF0" w:rsidRDefault="0004038F" w:rsidP="00C95DBE">
      <w:pPr>
        <w:pStyle w:val="BodyText"/>
        <w:spacing w:after="0" w:line="360" w:lineRule="auto"/>
        <w:rPr>
          <w:rFonts w:ascii="Arial" w:hAnsi="Arial"/>
          <w:b/>
          <w:bCs/>
          <w:sz w:val="19"/>
          <w:szCs w:val="19"/>
          <w:lang w:val="en-US"/>
        </w:rPr>
      </w:pPr>
      <w:r>
        <w:rPr>
          <w:rFonts w:ascii="Arial" w:hAnsi="Arial"/>
          <w:b/>
          <w:bCs/>
          <w:sz w:val="19"/>
          <w:szCs w:val="19"/>
          <w:lang w:val="en-US"/>
        </w:rPr>
        <w:lastRenderedPageBreak/>
        <w:t>C</w:t>
      </w:r>
      <w:r w:rsidR="00E067E4">
        <w:rPr>
          <w:rFonts w:ascii="Arial" w:hAnsi="Arial"/>
          <w:b/>
          <w:bCs/>
          <w:sz w:val="19"/>
          <w:szCs w:val="19"/>
          <w:lang w:val="en-US"/>
        </w:rPr>
        <w:t>onclusion</w:t>
      </w:r>
    </w:p>
    <w:p w14:paraId="3DD68C5B" w14:textId="6AD3439E" w:rsidR="00E067E4" w:rsidRPr="00464A0C" w:rsidRDefault="00E067E4" w:rsidP="00464A0C">
      <w:pPr>
        <w:pStyle w:val="BodyText"/>
        <w:spacing w:after="0" w:line="360" w:lineRule="auto"/>
        <w:jc w:val="both"/>
        <w:rPr>
          <w:rFonts w:ascii="Arial" w:hAnsi="Arial"/>
          <w:sz w:val="19"/>
          <w:szCs w:val="19"/>
          <w:lang w:val="en-US"/>
        </w:rPr>
      </w:pPr>
    </w:p>
    <w:p w14:paraId="7A9BE9FE" w14:textId="77777777" w:rsidR="00464A0C" w:rsidRPr="00464A0C" w:rsidRDefault="00464A0C" w:rsidP="00464A0C">
      <w:pPr>
        <w:pStyle w:val="BodyText"/>
        <w:spacing w:after="0" w:line="360" w:lineRule="auto"/>
        <w:jc w:val="both"/>
        <w:rPr>
          <w:rFonts w:ascii="Arial" w:hAnsi="Arial"/>
          <w:sz w:val="19"/>
          <w:szCs w:val="19"/>
          <w:lang w:val="en-US"/>
        </w:rPr>
      </w:pPr>
      <w:r w:rsidRPr="00464A0C">
        <w:rPr>
          <w:rFonts w:ascii="Arial" w:hAnsi="Arial"/>
          <w:sz w:val="19"/>
          <w:szCs w:val="19"/>
          <w:lang w:val="en-US"/>
        </w:rPr>
        <w:t>Based on my review, nothing has come to my attention that causes me to believe that the accompanying interim financial information is not prepared, in all material respects, in accordance with Thai Accounting Standard 34, “Interim Financial Reporting”.</w:t>
      </w:r>
    </w:p>
    <w:p w14:paraId="403A7B1D" w14:textId="77777777" w:rsidR="00236EF0" w:rsidRDefault="00236EF0" w:rsidP="00DA3356">
      <w:pPr>
        <w:pStyle w:val="BodyText"/>
        <w:spacing w:line="360" w:lineRule="auto"/>
        <w:rPr>
          <w:rFonts w:ascii="Arial" w:hAnsi="Arial"/>
          <w:b/>
          <w:bCs/>
          <w:sz w:val="19"/>
          <w:szCs w:val="19"/>
        </w:rPr>
      </w:pPr>
    </w:p>
    <w:p w14:paraId="58B4AA13" w14:textId="44FF9ABC" w:rsidR="001A690C" w:rsidRDefault="00D06CFE" w:rsidP="00AF0C32">
      <w:pPr>
        <w:pStyle w:val="BodyText"/>
        <w:spacing w:after="0" w:line="360" w:lineRule="auto"/>
        <w:rPr>
          <w:rFonts w:ascii="Arial" w:hAnsi="Arial"/>
          <w:b/>
          <w:bCs/>
          <w:sz w:val="19"/>
          <w:szCs w:val="19"/>
        </w:rPr>
      </w:pPr>
      <w:r>
        <w:rPr>
          <w:rFonts w:ascii="Arial" w:hAnsi="Arial"/>
          <w:b/>
          <w:bCs/>
          <w:sz w:val="19"/>
          <w:szCs w:val="19"/>
        </w:rPr>
        <w:t>Emphasis of Matter</w:t>
      </w:r>
    </w:p>
    <w:p w14:paraId="03A16C2D" w14:textId="695269E1" w:rsidR="00F7130A" w:rsidRDefault="00F7130A" w:rsidP="00F7130A">
      <w:pPr>
        <w:pStyle w:val="BodyText"/>
        <w:spacing w:after="0" w:line="360" w:lineRule="auto"/>
        <w:jc w:val="both"/>
        <w:rPr>
          <w:rFonts w:ascii="Arial" w:hAnsi="Arial"/>
          <w:sz w:val="19"/>
          <w:szCs w:val="19"/>
          <w:lang w:val="en-US"/>
        </w:rPr>
      </w:pPr>
    </w:p>
    <w:p w14:paraId="49E22FCD" w14:textId="38105849" w:rsidR="00FB54A0" w:rsidRPr="00FB54A0" w:rsidRDefault="00FB54A0" w:rsidP="00FB54A0">
      <w:pPr>
        <w:pStyle w:val="BodyText"/>
        <w:spacing w:after="0" w:line="360" w:lineRule="auto"/>
        <w:jc w:val="both"/>
        <w:rPr>
          <w:rFonts w:ascii="Arial" w:hAnsi="Arial"/>
          <w:sz w:val="19"/>
          <w:szCs w:val="19"/>
          <w:lang w:val="en-US"/>
        </w:rPr>
      </w:pPr>
      <w:r w:rsidRPr="00FB54A0">
        <w:rPr>
          <w:rFonts w:ascii="Arial" w:hAnsi="Arial"/>
          <w:sz w:val="19"/>
          <w:szCs w:val="19"/>
          <w:lang w:val="en-US"/>
        </w:rPr>
        <w:t>I draw attention to the Note 3.6 to the interim financial statements, the Group’s management has correction of errors of the previous year consolidated financial statements in order to restate the transactions of FPI Auto Parts India Private Limited which is the subsidiary in India which is 100% held by the Company. As a result of the management employed the responsible person and installed the IT system in order to prepare the accounting information of such subsidiary</w:t>
      </w:r>
      <w:r w:rsidR="003F0FDA">
        <w:rPr>
          <w:rFonts w:ascii="Arial" w:hAnsi="Arial"/>
          <w:sz w:val="19"/>
          <w:szCs w:val="19"/>
          <w:lang w:val="en-US"/>
        </w:rPr>
        <w:t xml:space="preserve"> in the </w:t>
      </w:r>
      <w:r w:rsidR="0046070B">
        <w:rPr>
          <w:rFonts w:ascii="Arial" w:hAnsi="Arial"/>
          <w:sz w:val="19"/>
          <w:szCs w:val="19"/>
          <w:lang w:val="en-US"/>
        </w:rPr>
        <w:t>second quarter.</w:t>
      </w:r>
      <w:r w:rsidRPr="00FB54A0">
        <w:rPr>
          <w:rFonts w:ascii="Arial" w:hAnsi="Arial"/>
          <w:sz w:val="19"/>
          <w:szCs w:val="19"/>
          <w:lang w:val="en-US"/>
        </w:rPr>
        <w:t xml:space="preserve"> </w:t>
      </w:r>
      <w:r w:rsidR="0046070B">
        <w:rPr>
          <w:rFonts w:ascii="Arial" w:hAnsi="Arial"/>
          <w:sz w:val="19"/>
          <w:szCs w:val="19"/>
          <w:lang w:val="en-US"/>
        </w:rPr>
        <w:t>T</w:t>
      </w:r>
      <w:r w:rsidRPr="00FB54A0">
        <w:rPr>
          <w:rFonts w:ascii="Arial" w:hAnsi="Arial"/>
          <w:sz w:val="19"/>
          <w:szCs w:val="19"/>
          <w:lang w:val="en-US"/>
        </w:rPr>
        <w:t xml:space="preserve">he auditor of subsidiary is able to review interim financial statement for the second quarter and audited for </w:t>
      </w:r>
      <w:proofErr w:type="gramStart"/>
      <w:r w:rsidRPr="00FB54A0">
        <w:rPr>
          <w:rFonts w:ascii="Arial" w:hAnsi="Arial"/>
          <w:sz w:val="19"/>
          <w:szCs w:val="19"/>
          <w:lang w:val="en-US"/>
        </w:rPr>
        <w:t>the  year</w:t>
      </w:r>
      <w:proofErr w:type="gramEnd"/>
      <w:r w:rsidRPr="00FB54A0">
        <w:rPr>
          <w:rFonts w:ascii="Arial" w:hAnsi="Arial"/>
          <w:sz w:val="19"/>
          <w:szCs w:val="19"/>
          <w:lang w:val="en-US"/>
        </w:rPr>
        <w:t xml:space="preserve"> </w:t>
      </w:r>
      <w:r w:rsidR="00C27EAE">
        <w:rPr>
          <w:rFonts w:ascii="Arial" w:hAnsi="Arial"/>
          <w:sz w:val="19"/>
          <w:szCs w:val="19"/>
          <w:lang w:val="en-US"/>
        </w:rPr>
        <w:t>ended 31 December 2020</w:t>
      </w:r>
      <w:r w:rsidRPr="00FB54A0">
        <w:rPr>
          <w:rFonts w:ascii="Arial" w:hAnsi="Arial"/>
          <w:sz w:val="19"/>
          <w:szCs w:val="19"/>
          <w:lang w:val="en-US"/>
        </w:rPr>
        <w:t>. The</w:t>
      </w:r>
      <w:r w:rsidR="00037BF7">
        <w:rPr>
          <w:rFonts w:ascii="Arial" w:hAnsi="Arial"/>
          <w:sz w:val="19"/>
          <w:szCs w:val="19"/>
          <w:lang w:val="en-US"/>
        </w:rPr>
        <w:t xml:space="preserve"> adjusted</w:t>
      </w:r>
      <w:r w:rsidRPr="00FB54A0">
        <w:rPr>
          <w:rFonts w:ascii="Arial" w:hAnsi="Arial"/>
          <w:sz w:val="19"/>
          <w:szCs w:val="19"/>
          <w:lang w:val="en-US"/>
        </w:rPr>
        <w:t xml:space="preserve"> transactions</w:t>
      </w:r>
      <w:r w:rsidR="00037BF7">
        <w:rPr>
          <w:rFonts w:ascii="Arial" w:hAnsi="Arial"/>
          <w:sz w:val="19"/>
          <w:szCs w:val="19"/>
          <w:lang w:val="en-US"/>
        </w:rPr>
        <w:t xml:space="preserve"> </w:t>
      </w:r>
      <w:r w:rsidRPr="00FB54A0">
        <w:rPr>
          <w:rFonts w:ascii="Arial" w:hAnsi="Arial"/>
          <w:sz w:val="19"/>
          <w:szCs w:val="19"/>
          <w:lang w:val="en-US"/>
        </w:rPr>
        <w:t xml:space="preserve">impact </w:t>
      </w:r>
      <w:r w:rsidR="00037BF7">
        <w:rPr>
          <w:rFonts w:ascii="Arial" w:hAnsi="Arial"/>
          <w:sz w:val="19"/>
          <w:szCs w:val="19"/>
          <w:lang w:val="en-US"/>
        </w:rPr>
        <w:t xml:space="preserve">to </w:t>
      </w:r>
      <w:r w:rsidRPr="00FB54A0">
        <w:rPr>
          <w:rFonts w:ascii="Arial" w:hAnsi="Arial"/>
          <w:sz w:val="19"/>
          <w:szCs w:val="19"/>
          <w:lang w:val="en-US"/>
        </w:rPr>
        <w:t>the consolidate</w:t>
      </w:r>
      <w:r w:rsidR="00BE27B1">
        <w:rPr>
          <w:rFonts w:ascii="Arial" w:hAnsi="Arial"/>
          <w:sz w:val="19"/>
          <w:szCs w:val="19"/>
          <w:lang w:val="en-US"/>
        </w:rPr>
        <w:t>d</w:t>
      </w:r>
      <w:r w:rsidRPr="00FB54A0">
        <w:rPr>
          <w:rFonts w:ascii="Arial" w:hAnsi="Arial"/>
          <w:sz w:val="19"/>
          <w:szCs w:val="19"/>
          <w:lang w:val="en-US"/>
        </w:rPr>
        <w:t xml:space="preserve"> financial statement for the year ended 31 December 2020 to understated other income, overstated cost of goods sold and administrative expenses, and understated allowance for expected credit losses, inventory, other current assets and accumulated depreciation and overstated accounts payable and other current liabilities. The Group has made the retrospective adjustment which effect in the consolidated financial statement. My conclusion is not modified in respect of these matters.</w:t>
      </w:r>
    </w:p>
    <w:p w14:paraId="19B4CEB5" w14:textId="77777777" w:rsidR="002F6FCA" w:rsidRPr="00F7130A" w:rsidRDefault="002F6FCA" w:rsidP="00F7130A">
      <w:pPr>
        <w:pStyle w:val="BodyText"/>
        <w:spacing w:after="0" w:line="360" w:lineRule="auto"/>
        <w:jc w:val="both"/>
        <w:rPr>
          <w:rFonts w:ascii="Arial" w:hAnsi="Arial"/>
          <w:sz w:val="19"/>
          <w:szCs w:val="19"/>
          <w:lang w:val="en-US"/>
        </w:rPr>
      </w:pPr>
    </w:p>
    <w:p w14:paraId="62DBCDE8" w14:textId="091D7A40" w:rsidR="0051160C" w:rsidRDefault="001F37E5" w:rsidP="00AD4892">
      <w:pPr>
        <w:pStyle w:val="BodyText"/>
        <w:spacing w:after="0" w:line="360" w:lineRule="auto"/>
        <w:rPr>
          <w:rFonts w:ascii="Arial" w:hAnsi="Arial"/>
          <w:b/>
          <w:bCs/>
          <w:sz w:val="19"/>
          <w:szCs w:val="19"/>
        </w:rPr>
      </w:pPr>
      <w:r>
        <w:rPr>
          <w:rFonts w:ascii="Arial" w:hAnsi="Arial"/>
          <w:b/>
          <w:bCs/>
          <w:sz w:val="19"/>
          <w:szCs w:val="19"/>
        </w:rPr>
        <w:t>Other matter</w:t>
      </w:r>
    </w:p>
    <w:p w14:paraId="5D3905BC" w14:textId="6F9DDF4D" w:rsidR="001F37E5" w:rsidRPr="006C66AD" w:rsidRDefault="001F37E5" w:rsidP="00AD4892">
      <w:pPr>
        <w:pStyle w:val="BodyText"/>
        <w:spacing w:after="0" w:line="360" w:lineRule="auto"/>
        <w:jc w:val="thaiDistribute"/>
        <w:rPr>
          <w:rFonts w:ascii="Arial" w:hAnsi="Arial"/>
          <w:sz w:val="19"/>
          <w:szCs w:val="19"/>
        </w:rPr>
      </w:pPr>
    </w:p>
    <w:p w14:paraId="3917C5A2" w14:textId="1FC8B764" w:rsidR="005B4DC1" w:rsidRDefault="005F6542" w:rsidP="00DA3356">
      <w:pPr>
        <w:pStyle w:val="BodyText"/>
        <w:spacing w:after="0" w:line="360" w:lineRule="auto"/>
        <w:jc w:val="thaiDistribute"/>
        <w:rPr>
          <w:rFonts w:ascii="Arial" w:hAnsi="Arial"/>
          <w:sz w:val="19"/>
          <w:szCs w:val="19"/>
        </w:rPr>
      </w:pPr>
      <w:r w:rsidRPr="005F6542">
        <w:rPr>
          <w:rFonts w:ascii="Arial" w:hAnsi="Arial"/>
          <w:sz w:val="19"/>
          <w:szCs w:val="19"/>
        </w:rPr>
        <w:t>The consolidated and separate</w:t>
      </w:r>
      <w:r w:rsidR="00E4625D">
        <w:rPr>
          <w:rFonts w:ascii="Arial" w:hAnsi="Arial"/>
          <w:sz w:val="19"/>
          <w:szCs w:val="19"/>
        </w:rPr>
        <w:t xml:space="preserve"> </w:t>
      </w:r>
      <w:r w:rsidRPr="005F6542">
        <w:rPr>
          <w:rFonts w:ascii="Arial" w:hAnsi="Arial"/>
          <w:sz w:val="19"/>
          <w:szCs w:val="19"/>
        </w:rPr>
        <w:t xml:space="preserve">statements of financial position of </w:t>
      </w:r>
      <w:r w:rsidR="00D6512F">
        <w:rPr>
          <w:rFonts w:ascii="Arial" w:hAnsi="Arial"/>
          <w:sz w:val="19"/>
          <w:szCs w:val="19"/>
        </w:rPr>
        <w:t>Fortune Parts Industry</w:t>
      </w:r>
      <w:r w:rsidRPr="005F6542">
        <w:rPr>
          <w:rFonts w:ascii="Arial" w:hAnsi="Arial"/>
          <w:sz w:val="19"/>
          <w:szCs w:val="19"/>
        </w:rPr>
        <w:t xml:space="preserve"> Public Company Limited and </w:t>
      </w:r>
      <w:r w:rsidR="00A16CB4">
        <w:rPr>
          <w:rFonts w:ascii="Arial" w:hAnsi="Arial"/>
          <w:sz w:val="19"/>
          <w:szCs w:val="19"/>
        </w:rPr>
        <w:t xml:space="preserve">its </w:t>
      </w:r>
      <w:r w:rsidRPr="005F6542">
        <w:rPr>
          <w:rFonts w:ascii="Arial" w:hAnsi="Arial"/>
          <w:sz w:val="19"/>
          <w:szCs w:val="19"/>
        </w:rPr>
        <w:t>subsidiar</w:t>
      </w:r>
      <w:r w:rsidR="00CA2E34">
        <w:rPr>
          <w:rFonts w:ascii="Arial" w:hAnsi="Arial"/>
          <w:sz w:val="19"/>
          <w:szCs w:val="19"/>
        </w:rPr>
        <w:t>ies</w:t>
      </w:r>
      <w:r w:rsidRPr="005F6542">
        <w:rPr>
          <w:rFonts w:ascii="Arial" w:hAnsi="Arial"/>
          <w:sz w:val="19"/>
          <w:szCs w:val="19"/>
        </w:rPr>
        <w:t xml:space="preserve"> as at 31 December 2020, presented as comparative information, were audited by other auditor who expressed an </w:t>
      </w:r>
      <w:r w:rsidR="0020570C">
        <w:rPr>
          <w:rFonts w:ascii="Arial" w:hAnsi="Arial"/>
          <w:sz w:val="19"/>
          <w:szCs w:val="19"/>
        </w:rPr>
        <w:t>q</w:t>
      </w:r>
      <w:r w:rsidR="0073284B">
        <w:rPr>
          <w:rFonts w:ascii="Arial" w:hAnsi="Arial"/>
          <w:sz w:val="19"/>
          <w:szCs w:val="19"/>
        </w:rPr>
        <w:t>ualified</w:t>
      </w:r>
      <w:r w:rsidR="006956FC">
        <w:rPr>
          <w:rFonts w:ascii="Arial" w:hAnsi="Arial"/>
          <w:sz w:val="19"/>
          <w:szCs w:val="19"/>
        </w:rPr>
        <w:t xml:space="preserve"> opinion </w:t>
      </w:r>
      <w:r w:rsidR="008E7241">
        <w:rPr>
          <w:rFonts w:ascii="Arial" w:hAnsi="Arial"/>
          <w:sz w:val="19"/>
          <w:szCs w:val="19"/>
        </w:rPr>
        <w:t>on these statements acco</w:t>
      </w:r>
      <w:r w:rsidR="006956FC">
        <w:rPr>
          <w:rFonts w:ascii="Arial" w:hAnsi="Arial"/>
          <w:sz w:val="19"/>
          <w:szCs w:val="19"/>
        </w:rPr>
        <w:t xml:space="preserve">rding to the report date 8 March </w:t>
      </w:r>
      <w:r w:rsidR="00C7682D">
        <w:rPr>
          <w:rFonts w:ascii="Arial" w:hAnsi="Arial"/>
          <w:sz w:val="19"/>
          <w:szCs w:val="19"/>
        </w:rPr>
        <w:t xml:space="preserve">2021 </w:t>
      </w:r>
      <w:r w:rsidR="00B43F4E">
        <w:rPr>
          <w:rFonts w:ascii="Arial" w:hAnsi="Arial" w:cstheme="minorBidi"/>
          <w:sz w:val="19"/>
          <w:szCs w:val="24"/>
          <w:lang w:val="en-US" w:bidi="th-TH"/>
        </w:rPr>
        <w:t>as</w:t>
      </w:r>
      <w:r w:rsidR="005B4DC1">
        <w:rPr>
          <w:rFonts w:ascii="Arial" w:hAnsi="Arial"/>
          <w:sz w:val="19"/>
          <w:szCs w:val="19"/>
        </w:rPr>
        <w:t xml:space="preserve"> following;</w:t>
      </w:r>
    </w:p>
    <w:p w14:paraId="20D2E17E" w14:textId="77777777" w:rsidR="00DA3356" w:rsidRDefault="00DA3356" w:rsidP="00DA3356">
      <w:pPr>
        <w:pStyle w:val="BodyText"/>
        <w:spacing w:after="0" w:line="360" w:lineRule="auto"/>
        <w:jc w:val="thaiDistribute"/>
        <w:rPr>
          <w:rFonts w:ascii="Arial" w:hAnsi="Arial"/>
          <w:sz w:val="19"/>
          <w:szCs w:val="19"/>
        </w:rPr>
      </w:pPr>
    </w:p>
    <w:p w14:paraId="7EFFACC1" w14:textId="67959800" w:rsidR="0081480E" w:rsidRDefault="00C00B47" w:rsidP="00FB498F">
      <w:pPr>
        <w:pStyle w:val="BodyText"/>
        <w:numPr>
          <w:ilvl w:val="0"/>
          <w:numId w:val="35"/>
        </w:numPr>
        <w:spacing w:after="0" w:line="360" w:lineRule="auto"/>
        <w:ind w:left="396"/>
        <w:jc w:val="thaiDistribute"/>
        <w:rPr>
          <w:rFonts w:ascii="Arial" w:hAnsi="Arial"/>
          <w:sz w:val="19"/>
          <w:szCs w:val="19"/>
        </w:rPr>
      </w:pPr>
      <w:r w:rsidRPr="00AF0C32">
        <w:rPr>
          <w:rFonts w:ascii="Arial" w:hAnsi="Arial"/>
          <w:sz w:val="19"/>
          <w:szCs w:val="19"/>
        </w:rPr>
        <w:t>Qualified opinion</w:t>
      </w:r>
      <w:r w:rsidR="00B01F1A" w:rsidRPr="00AF0C32">
        <w:rPr>
          <w:rFonts w:ascii="Arial" w:hAnsi="Arial"/>
          <w:sz w:val="19"/>
          <w:szCs w:val="19"/>
        </w:rPr>
        <w:t xml:space="preserve"> to the consolidated financial statement because </w:t>
      </w:r>
      <w:r w:rsidRPr="00AF0C32">
        <w:rPr>
          <w:rFonts w:ascii="Arial" w:hAnsi="Arial"/>
          <w:sz w:val="19"/>
          <w:szCs w:val="19"/>
        </w:rPr>
        <w:t>t</w:t>
      </w:r>
      <w:r w:rsidR="00E50B29" w:rsidRPr="00AF0C32">
        <w:rPr>
          <w:rFonts w:ascii="Arial" w:hAnsi="Arial"/>
          <w:sz w:val="19"/>
          <w:szCs w:val="19"/>
        </w:rPr>
        <w:t xml:space="preserve">he </w:t>
      </w:r>
      <w:r w:rsidR="00B97502" w:rsidRPr="00AF0C32">
        <w:rPr>
          <w:rFonts w:ascii="Arial" w:hAnsi="Arial"/>
          <w:sz w:val="19"/>
          <w:szCs w:val="19"/>
        </w:rPr>
        <w:t xml:space="preserve">scope </w:t>
      </w:r>
      <w:r w:rsidR="00E50B29" w:rsidRPr="00AF0C32">
        <w:rPr>
          <w:rFonts w:ascii="Arial" w:hAnsi="Arial"/>
          <w:sz w:val="19"/>
          <w:szCs w:val="19"/>
        </w:rPr>
        <w:t>limitation</w:t>
      </w:r>
      <w:r w:rsidR="000210CC" w:rsidRPr="00AF0C32">
        <w:rPr>
          <w:rFonts w:ascii="Arial" w:hAnsi="Arial"/>
          <w:sz w:val="19"/>
          <w:szCs w:val="19"/>
        </w:rPr>
        <w:t xml:space="preserve"> </w:t>
      </w:r>
      <w:r w:rsidR="00D97C53" w:rsidRPr="00AF0C32">
        <w:rPr>
          <w:rFonts w:ascii="Arial" w:hAnsi="Arial"/>
          <w:sz w:val="19"/>
          <w:szCs w:val="19"/>
        </w:rPr>
        <w:t>in</w:t>
      </w:r>
      <w:r w:rsidR="000210CC" w:rsidRPr="00AF0C32">
        <w:rPr>
          <w:rFonts w:ascii="Arial" w:hAnsi="Arial"/>
          <w:sz w:val="19"/>
          <w:szCs w:val="19"/>
        </w:rPr>
        <w:t xml:space="preserve"> obtain</w:t>
      </w:r>
      <w:r w:rsidR="00D97C53" w:rsidRPr="00AF0C32">
        <w:rPr>
          <w:rFonts w:ascii="Arial" w:hAnsi="Arial"/>
          <w:sz w:val="19"/>
          <w:szCs w:val="19"/>
        </w:rPr>
        <w:t>ing</w:t>
      </w:r>
      <w:r w:rsidR="000210CC" w:rsidRPr="00AF0C32">
        <w:rPr>
          <w:rFonts w:ascii="Arial" w:hAnsi="Arial"/>
          <w:sz w:val="19"/>
          <w:szCs w:val="19"/>
        </w:rPr>
        <w:t xml:space="preserve"> sufficient</w:t>
      </w:r>
      <w:r w:rsidR="00D97C53" w:rsidRPr="00AF0C32">
        <w:rPr>
          <w:rFonts w:ascii="Arial" w:hAnsi="Arial"/>
          <w:sz w:val="19"/>
          <w:szCs w:val="19"/>
        </w:rPr>
        <w:t xml:space="preserve"> and</w:t>
      </w:r>
      <w:r w:rsidR="00292298" w:rsidRPr="00AF0C32">
        <w:rPr>
          <w:rFonts w:ascii="Arial" w:hAnsi="Arial"/>
          <w:sz w:val="19"/>
          <w:szCs w:val="19"/>
        </w:rPr>
        <w:t xml:space="preserve"> appropriate audit evidence</w:t>
      </w:r>
      <w:r w:rsidR="00A92FEA" w:rsidRPr="00AF0C32">
        <w:rPr>
          <w:rFonts w:ascii="Arial" w:hAnsi="Arial"/>
          <w:sz w:val="19"/>
          <w:szCs w:val="19"/>
        </w:rPr>
        <w:t xml:space="preserve"> </w:t>
      </w:r>
      <w:r w:rsidR="00DE2FA8" w:rsidRPr="00AF0C32">
        <w:rPr>
          <w:rFonts w:ascii="Arial" w:hAnsi="Arial"/>
          <w:sz w:val="19"/>
          <w:szCs w:val="19"/>
        </w:rPr>
        <w:t>of the subsidiary in India and</w:t>
      </w:r>
      <w:r w:rsidR="003E7FCA" w:rsidRPr="00AF0C32">
        <w:rPr>
          <w:rFonts w:ascii="Arial" w:hAnsi="Arial"/>
          <w:sz w:val="19"/>
          <w:szCs w:val="19"/>
        </w:rPr>
        <w:t xml:space="preserve"> the testing of impairment of goodwill</w:t>
      </w:r>
      <w:r w:rsidR="00600A52" w:rsidRPr="00AF0C32">
        <w:rPr>
          <w:rFonts w:ascii="Arial" w:hAnsi="Arial"/>
          <w:sz w:val="19"/>
          <w:szCs w:val="19"/>
        </w:rPr>
        <w:t>. The Group’s management</w:t>
      </w:r>
      <w:r w:rsidR="003B2128" w:rsidRPr="00AF0C32">
        <w:rPr>
          <w:rFonts w:ascii="Arial" w:hAnsi="Arial"/>
          <w:sz w:val="19"/>
          <w:szCs w:val="19"/>
        </w:rPr>
        <w:t xml:space="preserve"> informed that there was a conflict with the previous shareholder group of </w:t>
      </w:r>
      <w:r w:rsidR="00752E0C" w:rsidRPr="00AF0C32">
        <w:rPr>
          <w:rFonts w:ascii="Arial" w:hAnsi="Arial"/>
          <w:sz w:val="19"/>
          <w:szCs w:val="19"/>
        </w:rPr>
        <w:t>the subsidiary</w:t>
      </w:r>
      <w:r w:rsidR="003B2128" w:rsidRPr="00AF0C32">
        <w:rPr>
          <w:rFonts w:ascii="Arial" w:hAnsi="Arial"/>
          <w:sz w:val="19"/>
          <w:szCs w:val="19"/>
        </w:rPr>
        <w:t xml:space="preserve">, resulting in incomplete supporting documents for accounting transactions during the transfer of control, and there were restrictions on international travel </w:t>
      </w:r>
      <w:r w:rsidR="00D92061" w:rsidRPr="00AF0C32">
        <w:rPr>
          <w:rFonts w:ascii="Arial" w:hAnsi="Arial"/>
          <w:sz w:val="19"/>
          <w:szCs w:val="19"/>
        </w:rPr>
        <w:t>because</w:t>
      </w:r>
      <w:r w:rsidR="003B2128" w:rsidRPr="00AF0C32">
        <w:rPr>
          <w:rFonts w:ascii="Arial" w:hAnsi="Arial"/>
          <w:sz w:val="19"/>
          <w:szCs w:val="19"/>
        </w:rPr>
        <w:t xml:space="preserve"> of the Coronavirus disease 2019 pandemic, </w:t>
      </w:r>
      <w:r w:rsidR="000828EC" w:rsidRPr="00AF0C32">
        <w:rPr>
          <w:rFonts w:ascii="Arial" w:hAnsi="Arial"/>
          <w:sz w:val="19"/>
          <w:szCs w:val="19"/>
        </w:rPr>
        <w:t>as a result</w:t>
      </w:r>
      <w:r w:rsidR="003B2128" w:rsidRPr="00AF0C32">
        <w:rPr>
          <w:rFonts w:ascii="Arial" w:hAnsi="Arial"/>
          <w:sz w:val="19"/>
          <w:szCs w:val="19"/>
        </w:rPr>
        <w:t xml:space="preserve"> management of the Group was </w:t>
      </w:r>
      <w:r w:rsidR="009E08FF" w:rsidRPr="00AF0C32">
        <w:rPr>
          <w:rFonts w:ascii="Arial" w:hAnsi="Arial"/>
          <w:sz w:val="19"/>
          <w:szCs w:val="19"/>
        </w:rPr>
        <w:t xml:space="preserve">not </w:t>
      </w:r>
      <w:r w:rsidR="003B2128" w:rsidRPr="00AF0C32">
        <w:rPr>
          <w:rFonts w:ascii="Arial" w:hAnsi="Arial"/>
          <w:sz w:val="19"/>
          <w:szCs w:val="19"/>
        </w:rPr>
        <w:t>able to assign the Group’s accounting responsible person to deal with the situation in India.</w:t>
      </w:r>
      <w:r w:rsidR="00311102" w:rsidRPr="00AF0C32">
        <w:rPr>
          <w:rFonts w:ascii="Arial" w:hAnsi="Arial"/>
          <w:sz w:val="19"/>
          <w:szCs w:val="19"/>
        </w:rPr>
        <w:t xml:space="preserve"> </w:t>
      </w:r>
    </w:p>
    <w:p w14:paraId="70F519B4" w14:textId="77777777" w:rsidR="008F6685" w:rsidRPr="00AF0C32" w:rsidRDefault="008F6685" w:rsidP="008F6685">
      <w:pPr>
        <w:pStyle w:val="BodyText"/>
        <w:spacing w:after="0" w:line="360" w:lineRule="auto"/>
        <w:ind w:left="396"/>
        <w:jc w:val="thaiDistribute"/>
        <w:rPr>
          <w:rFonts w:ascii="Arial" w:hAnsi="Arial"/>
          <w:sz w:val="19"/>
          <w:szCs w:val="19"/>
        </w:rPr>
      </w:pPr>
    </w:p>
    <w:p w14:paraId="0ECDDF9A" w14:textId="7555FE37" w:rsidR="0081480E" w:rsidRDefault="00DE5707" w:rsidP="00DA3356">
      <w:pPr>
        <w:pStyle w:val="BodyText"/>
        <w:numPr>
          <w:ilvl w:val="0"/>
          <w:numId w:val="35"/>
        </w:numPr>
        <w:spacing w:line="360" w:lineRule="auto"/>
        <w:ind w:left="405"/>
        <w:jc w:val="thaiDistribute"/>
        <w:rPr>
          <w:rFonts w:ascii="Arial" w:hAnsi="Arial"/>
          <w:sz w:val="19"/>
          <w:szCs w:val="19"/>
        </w:rPr>
      </w:pPr>
      <w:r>
        <w:rPr>
          <w:rFonts w:ascii="Arial" w:hAnsi="Arial"/>
          <w:sz w:val="19"/>
          <w:szCs w:val="19"/>
        </w:rPr>
        <w:t>Q</w:t>
      </w:r>
      <w:r w:rsidR="005479AE">
        <w:rPr>
          <w:rFonts w:ascii="Arial" w:hAnsi="Arial"/>
          <w:sz w:val="19"/>
          <w:szCs w:val="19"/>
        </w:rPr>
        <w:t xml:space="preserve">ualified opinion to the separate financial statements because of </w:t>
      </w:r>
      <w:r w:rsidR="00BD22AB">
        <w:rPr>
          <w:rFonts w:ascii="Arial" w:hAnsi="Arial"/>
          <w:sz w:val="19"/>
          <w:szCs w:val="19"/>
        </w:rPr>
        <w:t xml:space="preserve">he was </w:t>
      </w:r>
      <w:r w:rsidR="00823F70">
        <w:rPr>
          <w:rFonts w:ascii="Arial" w:hAnsi="Arial" w:cs="Browallia New"/>
          <w:sz w:val="19"/>
          <w:szCs w:val="24"/>
          <w:lang w:val="en-US" w:bidi="th-TH"/>
        </w:rPr>
        <w:t xml:space="preserve">not </w:t>
      </w:r>
      <w:r w:rsidR="00BD22AB">
        <w:rPr>
          <w:rFonts w:ascii="Arial" w:hAnsi="Arial"/>
          <w:sz w:val="19"/>
          <w:szCs w:val="19"/>
        </w:rPr>
        <w:t>able to</w:t>
      </w:r>
      <w:r w:rsidR="00C31A98">
        <w:rPr>
          <w:rFonts w:ascii="Arial" w:hAnsi="Arial"/>
          <w:sz w:val="19"/>
          <w:szCs w:val="19"/>
        </w:rPr>
        <w:t xml:space="preserve"> identify whether it was necessary to adjust value of such subsidiary investment </w:t>
      </w:r>
      <w:r w:rsidR="00F532F2">
        <w:rPr>
          <w:rFonts w:ascii="Arial" w:hAnsi="Arial"/>
          <w:sz w:val="19"/>
          <w:szCs w:val="19"/>
        </w:rPr>
        <w:t>resulted from</w:t>
      </w:r>
      <w:r w:rsidR="00BD22AB">
        <w:rPr>
          <w:rFonts w:ascii="Arial" w:hAnsi="Arial"/>
          <w:sz w:val="19"/>
          <w:szCs w:val="19"/>
        </w:rPr>
        <w:t xml:space="preserve"> </w:t>
      </w:r>
      <w:r w:rsidR="005479AE">
        <w:rPr>
          <w:rFonts w:ascii="Arial" w:hAnsi="Arial"/>
          <w:sz w:val="19"/>
          <w:szCs w:val="19"/>
        </w:rPr>
        <w:t>the</w:t>
      </w:r>
      <w:r>
        <w:rPr>
          <w:rFonts w:ascii="Arial" w:hAnsi="Arial"/>
          <w:sz w:val="19"/>
          <w:szCs w:val="19"/>
        </w:rPr>
        <w:t xml:space="preserve"> scope</w:t>
      </w:r>
      <w:r w:rsidR="00BD22AB">
        <w:rPr>
          <w:rFonts w:ascii="Arial" w:hAnsi="Arial"/>
          <w:sz w:val="19"/>
          <w:szCs w:val="19"/>
        </w:rPr>
        <w:t xml:space="preserve"> limitation</w:t>
      </w:r>
      <w:r w:rsidR="007D062E">
        <w:rPr>
          <w:rFonts w:ascii="Arial" w:hAnsi="Arial"/>
          <w:sz w:val="19"/>
          <w:szCs w:val="19"/>
        </w:rPr>
        <w:t>.</w:t>
      </w:r>
    </w:p>
    <w:p w14:paraId="39712095" w14:textId="77777777" w:rsidR="00C00F8F" w:rsidRDefault="00C00F8F" w:rsidP="00C00F8F">
      <w:pPr>
        <w:pStyle w:val="ListParagraph"/>
        <w:rPr>
          <w:rFonts w:ascii="Arial" w:hAnsi="Arial"/>
          <w:sz w:val="19"/>
          <w:szCs w:val="19"/>
        </w:rPr>
      </w:pPr>
    </w:p>
    <w:p w14:paraId="7F068D8C" w14:textId="4307F029" w:rsidR="00C00F8F" w:rsidRDefault="00C00F8F" w:rsidP="00C00F8F">
      <w:pPr>
        <w:pStyle w:val="BodyText"/>
        <w:spacing w:line="360" w:lineRule="auto"/>
        <w:ind w:left="405"/>
        <w:jc w:val="thaiDistribute"/>
        <w:rPr>
          <w:rFonts w:ascii="Arial" w:hAnsi="Arial"/>
          <w:sz w:val="19"/>
          <w:szCs w:val="19"/>
        </w:rPr>
      </w:pPr>
    </w:p>
    <w:p w14:paraId="22953C26" w14:textId="52313CD2" w:rsidR="00C00F8F" w:rsidRDefault="00C00F8F" w:rsidP="00C00F8F">
      <w:pPr>
        <w:pStyle w:val="BodyText"/>
        <w:spacing w:line="360" w:lineRule="auto"/>
        <w:ind w:left="405"/>
        <w:jc w:val="thaiDistribute"/>
        <w:rPr>
          <w:rFonts w:ascii="Arial" w:hAnsi="Arial"/>
          <w:sz w:val="19"/>
          <w:szCs w:val="19"/>
        </w:rPr>
      </w:pPr>
    </w:p>
    <w:p w14:paraId="45F714E9" w14:textId="77777777" w:rsidR="00C00F8F" w:rsidRDefault="00C00F8F" w:rsidP="00C00F8F">
      <w:pPr>
        <w:pStyle w:val="BodyText"/>
        <w:spacing w:line="360" w:lineRule="auto"/>
        <w:ind w:left="405"/>
        <w:jc w:val="thaiDistribute"/>
        <w:rPr>
          <w:rFonts w:ascii="Arial" w:hAnsi="Arial"/>
          <w:sz w:val="19"/>
          <w:szCs w:val="19"/>
        </w:rPr>
      </w:pPr>
    </w:p>
    <w:p w14:paraId="76EAE764" w14:textId="22D24129" w:rsidR="009975F2" w:rsidRDefault="007D062E" w:rsidP="00AE2EC1">
      <w:pPr>
        <w:pStyle w:val="BodyText"/>
        <w:numPr>
          <w:ilvl w:val="0"/>
          <w:numId w:val="35"/>
        </w:numPr>
        <w:spacing w:after="0" w:line="360" w:lineRule="auto"/>
        <w:ind w:left="405"/>
        <w:jc w:val="thaiDistribute"/>
        <w:rPr>
          <w:rFonts w:ascii="Arial" w:hAnsi="Arial"/>
          <w:sz w:val="19"/>
          <w:szCs w:val="19"/>
        </w:rPr>
      </w:pPr>
      <w:r w:rsidRPr="00C7682D">
        <w:rPr>
          <w:rFonts w:ascii="Arial" w:hAnsi="Arial"/>
          <w:sz w:val="19"/>
          <w:szCs w:val="19"/>
        </w:rPr>
        <w:lastRenderedPageBreak/>
        <w:t>E</w:t>
      </w:r>
      <w:r w:rsidR="00795CC8" w:rsidRPr="00C7682D">
        <w:rPr>
          <w:rFonts w:ascii="Arial" w:hAnsi="Arial"/>
          <w:sz w:val="19"/>
          <w:szCs w:val="19"/>
        </w:rPr>
        <w:t>mphasis</w:t>
      </w:r>
      <w:r w:rsidR="00CE1EFA" w:rsidRPr="00C7682D">
        <w:rPr>
          <w:rFonts w:ascii="Arial" w:hAnsi="Arial"/>
          <w:sz w:val="19"/>
          <w:szCs w:val="19"/>
        </w:rPr>
        <w:t xml:space="preserve"> of matters</w:t>
      </w:r>
      <w:r w:rsidR="00E51770" w:rsidRPr="00C7682D">
        <w:rPr>
          <w:rFonts w:ascii="Arial" w:hAnsi="Arial"/>
          <w:sz w:val="19"/>
          <w:szCs w:val="19"/>
        </w:rPr>
        <w:t xml:space="preserve"> paragraph</w:t>
      </w:r>
      <w:r w:rsidR="00CE1EFA" w:rsidRPr="00C7682D">
        <w:rPr>
          <w:rFonts w:ascii="Arial" w:hAnsi="Arial"/>
          <w:sz w:val="19"/>
          <w:szCs w:val="19"/>
        </w:rPr>
        <w:t xml:space="preserve"> </w:t>
      </w:r>
      <w:r w:rsidR="0002277D" w:rsidRPr="00C7682D">
        <w:rPr>
          <w:rFonts w:ascii="Arial" w:hAnsi="Arial"/>
          <w:sz w:val="19"/>
          <w:szCs w:val="19"/>
        </w:rPr>
        <w:t>related</w:t>
      </w:r>
      <w:r w:rsidR="00AC1BCD" w:rsidRPr="00C7682D">
        <w:rPr>
          <w:rFonts w:ascii="Arial" w:hAnsi="Arial"/>
          <w:sz w:val="19"/>
          <w:szCs w:val="19"/>
        </w:rPr>
        <w:t xml:space="preserve"> to</w:t>
      </w:r>
      <w:r w:rsidR="005810D0" w:rsidRPr="00C7682D">
        <w:rPr>
          <w:rFonts w:ascii="Arial" w:hAnsi="Arial"/>
          <w:sz w:val="19"/>
          <w:szCs w:val="19"/>
        </w:rPr>
        <w:t xml:space="preserve"> the Group ha</w:t>
      </w:r>
      <w:r w:rsidR="007C7F13" w:rsidRPr="00C7682D">
        <w:rPr>
          <w:rFonts w:ascii="Arial" w:hAnsi="Arial"/>
          <w:sz w:val="19"/>
          <w:szCs w:val="19"/>
        </w:rPr>
        <w:t>d</w:t>
      </w:r>
      <w:r w:rsidR="005810D0" w:rsidRPr="00C7682D">
        <w:rPr>
          <w:rFonts w:ascii="Arial" w:hAnsi="Arial"/>
          <w:sz w:val="19"/>
          <w:szCs w:val="19"/>
        </w:rPr>
        <w:t xml:space="preserve"> </w:t>
      </w:r>
      <w:r w:rsidR="003A3E40" w:rsidRPr="00C7682D">
        <w:rPr>
          <w:rFonts w:ascii="Arial" w:hAnsi="Arial"/>
          <w:sz w:val="19"/>
          <w:szCs w:val="19"/>
        </w:rPr>
        <w:t>assessed the financial impacts</w:t>
      </w:r>
      <w:r w:rsidR="00B07755" w:rsidRPr="00C7682D">
        <w:rPr>
          <w:rFonts w:ascii="Arial" w:hAnsi="Arial"/>
          <w:sz w:val="19"/>
          <w:szCs w:val="19"/>
        </w:rPr>
        <w:t xml:space="preserve"> of the valuation of expected credit losses and impairment of asse</w:t>
      </w:r>
      <w:r w:rsidR="002F1BEB" w:rsidRPr="00C7682D">
        <w:rPr>
          <w:rFonts w:ascii="Arial" w:hAnsi="Arial"/>
          <w:sz w:val="19"/>
          <w:szCs w:val="19"/>
        </w:rPr>
        <w:t xml:space="preserve">ts due to the uncertainties of the pandemic of </w:t>
      </w:r>
      <w:r w:rsidR="00EA3DDE" w:rsidRPr="00C7682D">
        <w:rPr>
          <w:rFonts w:ascii="Arial" w:hAnsi="Arial"/>
          <w:sz w:val="19"/>
          <w:szCs w:val="19"/>
          <w:lang w:val="en-US"/>
        </w:rPr>
        <w:t>Coronavirus disease 2019</w:t>
      </w:r>
      <w:r w:rsidR="00AE2015" w:rsidRPr="00C7682D">
        <w:rPr>
          <w:rFonts w:ascii="Arial" w:hAnsi="Arial"/>
          <w:sz w:val="19"/>
          <w:szCs w:val="19"/>
          <w:lang w:val="en-US"/>
        </w:rPr>
        <w:t>. As a result, in preparing the consolidated and separate financial statements</w:t>
      </w:r>
      <w:r w:rsidR="00947C1F" w:rsidRPr="00C7682D">
        <w:rPr>
          <w:rFonts w:ascii="Arial" w:hAnsi="Arial"/>
          <w:sz w:val="19"/>
          <w:szCs w:val="19"/>
          <w:lang w:val="en-US"/>
        </w:rPr>
        <w:t xml:space="preserve"> for the year ended 31 December 2020, the Group </w:t>
      </w:r>
      <w:r w:rsidR="00466AB7" w:rsidRPr="00C7682D">
        <w:rPr>
          <w:rFonts w:ascii="Arial" w:hAnsi="Arial"/>
          <w:sz w:val="19"/>
          <w:szCs w:val="19"/>
          <w:lang w:val="en-US"/>
        </w:rPr>
        <w:t>decided to discontinue</w:t>
      </w:r>
      <w:r w:rsidR="001F17B1" w:rsidRPr="00C7682D">
        <w:rPr>
          <w:rFonts w:ascii="Arial" w:hAnsi="Arial"/>
          <w:sz w:val="19"/>
          <w:szCs w:val="19"/>
          <w:lang w:val="en-US"/>
        </w:rPr>
        <w:t xml:space="preserve"> the</w:t>
      </w:r>
      <w:r w:rsidR="00466AB7" w:rsidRPr="00C7682D">
        <w:rPr>
          <w:rFonts w:ascii="Arial" w:hAnsi="Arial"/>
          <w:sz w:val="19"/>
          <w:szCs w:val="19"/>
          <w:lang w:val="en-US"/>
        </w:rPr>
        <w:t xml:space="preserve"> application of all the temporary relief measures which the Group</w:t>
      </w:r>
      <w:r w:rsidR="00350D5F" w:rsidRPr="00C7682D">
        <w:rPr>
          <w:rFonts w:ascii="Arial" w:hAnsi="Arial"/>
          <w:sz w:val="19"/>
          <w:szCs w:val="19"/>
          <w:lang w:val="en-US"/>
        </w:rPr>
        <w:t xml:space="preserve"> elect</w:t>
      </w:r>
      <w:r w:rsidR="003615CE" w:rsidRPr="00C7682D">
        <w:rPr>
          <w:rFonts w:ascii="Arial" w:hAnsi="Arial"/>
          <w:sz w:val="19"/>
          <w:szCs w:val="19"/>
          <w:lang w:val="en-US"/>
        </w:rPr>
        <w:t>ed to apply under the Accounting Guidance on Temporary Relief Measures for Accounting Alternatives</w:t>
      </w:r>
      <w:r w:rsidR="003E60C5" w:rsidRPr="00C7682D">
        <w:rPr>
          <w:rFonts w:ascii="Arial" w:hAnsi="Arial"/>
          <w:sz w:val="19"/>
          <w:szCs w:val="19"/>
          <w:lang w:val="en-US"/>
        </w:rPr>
        <w:t xml:space="preserve"> in </w:t>
      </w:r>
      <w:r w:rsidR="001B5278" w:rsidRPr="00C7682D">
        <w:rPr>
          <w:rFonts w:ascii="Arial" w:hAnsi="Arial"/>
          <w:sz w:val="19"/>
          <w:szCs w:val="19"/>
          <w:lang w:val="en-US"/>
        </w:rPr>
        <w:t>Response to the Impact of the COVID-19 Pandemic. Also,</w:t>
      </w:r>
      <w:r w:rsidR="00926795" w:rsidRPr="00C7682D">
        <w:rPr>
          <w:rFonts w:ascii="Arial" w:hAnsi="Arial"/>
          <w:sz w:val="19"/>
          <w:szCs w:val="19"/>
          <w:lang w:val="en-US"/>
        </w:rPr>
        <w:t xml:space="preserve"> the acquisition of investment in a subsidiary during the year 2020</w:t>
      </w:r>
      <w:r w:rsidR="00BE2DA5" w:rsidRPr="00C7682D">
        <w:rPr>
          <w:rFonts w:ascii="Arial" w:hAnsi="Arial"/>
          <w:sz w:val="19"/>
          <w:szCs w:val="19"/>
          <w:lang w:val="en-US"/>
        </w:rPr>
        <w:t xml:space="preserve">, the </w:t>
      </w:r>
      <w:r w:rsidR="00015D92" w:rsidRPr="00C7682D">
        <w:rPr>
          <w:rFonts w:ascii="Arial" w:hAnsi="Arial"/>
          <w:sz w:val="19"/>
          <w:szCs w:val="19"/>
          <w:lang w:val="en-US"/>
        </w:rPr>
        <w:t xml:space="preserve">Company arranged for the measurement of the fair value </w:t>
      </w:r>
      <w:r w:rsidR="006847B4" w:rsidRPr="00C7682D">
        <w:rPr>
          <w:rFonts w:ascii="Arial" w:hAnsi="Arial"/>
          <w:sz w:val="19"/>
          <w:szCs w:val="19"/>
          <w:lang w:val="en-US"/>
        </w:rPr>
        <w:t>of identifiable assets acquired</w:t>
      </w:r>
      <w:r w:rsidR="00AD0BF6" w:rsidRPr="00C7682D">
        <w:rPr>
          <w:rFonts w:ascii="Arial" w:hAnsi="Arial"/>
          <w:sz w:val="19"/>
          <w:szCs w:val="19"/>
          <w:lang w:val="en-US"/>
        </w:rPr>
        <w:t>,</w:t>
      </w:r>
      <w:r w:rsidR="006847B4" w:rsidRPr="00C7682D">
        <w:rPr>
          <w:rFonts w:ascii="Arial" w:hAnsi="Arial"/>
          <w:sz w:val="19"/>
          <w:szCs w:val="19"/>
          <w:lang w:val="en-US"/>
        </w:rPr>
        <w:t xml:space="preserve"> and liabilities assumed</w:t>
      </w:r>
      <w:r w:rsidR="00741192" w:rsidRPr="00C7682D">
        <w:rPr>
          <w:rFonts w:ascii="Arial" w:hAnsi="Arial"/>
          <w:sz w:val="19"/>
          <w:szCs w:val="19"/>
          <w:lang w:val="en-US"/>
        </w:rPr>
        <w:t xml:space="preserve"> at the acquisition date</w:t>
      </w:r>
      <w:r w:rsidR="006B05B2">
        <w:rPr>
          <w:rFonts w:ascii="Arial" w:hAnsi="Arial"/>
          <w:sz w:val="19"/>
          <w:szCs w:val="19"/>
          <w:lang w:val="en-US"/>
        </w:rPr>
        <w:t>.</w:t>
      </w:r>
      <w:r w:rsidR="005C6FBC" w:rsidRPr="00C7682D">
        <w:rPr>
          <w:rFonts w:ascii="Arial" w:hAnsi="Arial"/>
          <w:sz w:val="19"/>
          <w:szCs w:val="19"/>
        </w:rPr>
        <w:t xml:space="preserve"> </w:t>
      </w:r>
    </w:p>
    <w:p w14:paraId="00B14AE4" w14:textId="77777777" w:rsidR="00C7682D" w:rsidRPr="00C7682D" w:rsidRDefault="00C7682D" w:rsidP="00281085">
      <w:pPr>
        <w:pStyle w:val="BodyText"/>
        <w:spacing w:after="0" w:line="360" w:lineRule="auto"/>
        <w:jc w:val="thaiDistribute"/>
        <w:rPr>
          <w:rFonts w:ascii="Arial" w:hAnsi="Arial"/>
          <w:sz w:val="19"/>
          <w:szCs w:val="19"/>
        </w:rPr>
      </w:pPr>
    </w:p>
    <w:p w14:paraId="7657E2DD" w14:textId="797D4AAF" w:rsidR="0051160C" w:rsidRPr="000A043C" w:rsidRDefault="005F6542" w:rsidP="000A043C">
      <w:pPr>
        <w:pStyle w:val="BodyText"/>
        <w:spacing w:line="360" w:lineRule="auto"/>
        <w:jc w:val="thaiDistribute"/>
        <w:rPr>
          <w:rFonts w:ascii="Arial" w:hAnsi="Arial"/>
          <w:sz w:val="19"/>
          <w:szCs w:val="19"/>
        </w:rPr>
      </w:pPr>
      <w:r w:rsidRPr="005F6542">
        <w:rPr>
          <w:rFonts w:ascii="Arial" w:hAnsi="Arial"/>
          <w:sz w:val="19"/>
          <w:szCs w:val="19"/>
        </w:rPr>
        <w:t>The consolidated and separate statements of profit or loss and other comprehensive income</w:t>
      </w:r>
      <w:r w:rsidR="00952AD8">
        <w:rPr>
          <w:rFonts w:ascii="Arial" w:hAnsi="Arial"/>
          <w:sz w:val="19"/>
          <w:szCs w:val="19"/>
        </w:rPr>
        <w:t xml:space="preserve"> for the three-month and </w:t>
      </w:r>
      <w:r w:rsidR="005E3FFA">
        <w:rPr>
          <w:rFonts w:ascii="Arial" w:hAnsi="Arial"/>
          <w:sz w:val="19"/>
          <w:szCs w:val="19"/>
        </w:rPr>
        <w:t>nine</w:t>
      </w:r>
      <w:r w:rsidR="00952AD8">
        <w:rPr>
          <w:rFonts w:ascii="Arial" w:hAnsi="Arial"/>
          <w:sz w:val="19"/>
          <w:szCs w:val="19"/>
        </w:rPr>
        <w:t xml:space="preserve">-month periods ended 30 </w:t>
      </w:r>
      <w:r w:rsidR="005E3FFA" w:rsidRPr="005E3FFA">
        <w:rPr>
          <w:rFonts w:ascii="Arial" w:hAnsi="Arial"/>
          <w:sz w:val="19"/>
          <w:szCs w:val="19"/>
        </w:rPr>
        <w:t>September</w:t>
      </w:r>
      <w:r w:rsidR="00952AD8">
        <w:rPr>
          <w:rFonts w:ascii="Arial" w:hAnsi="Arial"/>
          <w:sz w:val="19"/>
          <w:szCs w:val="19"/>
        </w:rPr>
        <w:t xml:space="preserve"> 2020</w:t>
      </w:r>
      <w:r w:rsidRPr="005F6542">
        <w:rPr>
          <w:rFonts w:ascii="Arial" w:hAnsi="Arial"/>
          <w:sz w:val="19"/>
          <w:szCs w:val="19"/>
        </w:rPr>
        <w:t xml:space="preserve">, </w:t>
      </w:r>
      <w:r w:rsidR="000B2AAE">
        <w:rPr>
          <w:rFonts w:ascii="Arial" w:hAnsi="Arial"/>
          <w:sz w:val="19"/>
          <w:szCs w:val="19"/>
        </w:rPr>
        <w:t>the consolidated and separate</w:t>
      </w:r>
      <w:r w:rsidR="009D70A1">
        <w:rPr>
          <w:rFonts w:ascii="Arial" w:hAnsi="Arial"/>
          <w:sz w:val="19"/>
          <w:szCs w:val="19"/>
        </w:rPr>
        <w:t xml:space="preserve"> statements of </w:t>
      </w:r>
      <w:r w:rsidRPr="005F6542">
        <w:rPr>
          <w:rFonts w:ascii="Arial" w:hAnsi="Arial"/>
          <w:sz w:val="19"/>
          <w:szCs w:val="19"/>
        </w:rPr>
        <w:t xml:space="preserve">changes in shareholders’ equity and cash flows for the </w:t>
      </w:r>
      <w:r w:rsidR="005E3FFA">
        <w:rPr>
          <w:rFonts w:ascii="Arial" w:hAnsi="Arial"/>
          <w:sz w:val="19"/>
          <w:szCs w:val="19"/>
        </w:rPr>
        <w:t>nine</w:t>
      </w:r>
      <w:r w:rsidRPr="005F6542">
        <w:rPr>
          <w:rFonts w:ascii="Arial" w:hAnsi="Arial"/>
          <w:sz w:val="19"/>
          <w:szCs w:val="19"/>
        </w:rPr>
        <w:t xml:space="preserve">-month period </w:t>
      </w:r>
      <w:r w:rsidR="00952AD8">
        <w:rPr>
          <w:rFonts w:ascii="Arial" w:hAnsi="Arial"/>
          <w:sz w:val="19"/>
          <w:szCs w:val="19"/>
        </w:rPr>
        <w:t xml:space="preserve">then </w:t>
      </w:r>
      <w:r w:rsidRPr="005F6542">
        <w:rPr>
          <w:rFonts w:ascii="Arial" w:hAnsi="Arial"/>
          <w:sz w:val="19"/>
          <w:szCs w:val="19"/>
        </w:rPr>
        <w:t>ended, presented as comparative information, were reviewed by the aforementioned auditor who concluded that nothing has come to her attention that caused her to believe that the interim financial information was not prepared, in all material respects, in accordance with Thai Accounting Standard No. 34 “Interim financial reporting” with emphasis of matter</w:t>
      </w:r>
      <w:r w:rsidR="00B446F8">
        <w:rPr>
          <w:rFonts w:ascii="Arial" w:hAnsi="Arial"/>
          <w:sz w:val="19"/>
          <w:szCs w:val="19"/>
        </w:rPr>
        <w:t>s</w:t>
      </w:r>
      <w:r w:rsidRPr="005F6542">
        <w:rPr>
          <w:rFonts w:ascii="Arial" w:hAnsi="Arial"/>
          <w:sz w:val="19"/>
          <w:szCs w:val="19"/>
        </w:rPr>
        <w:t xml:space="preserve"> about</w:t>
      </w:r>
      <w:r w:rsidR="00CE5FD4">
        <w:rPr>
          <w:rFonts w:ascii="Arial" w:hAnsi="Arial"/>
          <w:sz w:val="19"/>
          <w:szCs w:val="19"/>
        </w:rPr>
        <w:t xml:space="preserve"> the </w:t>
      </w:r>
      <w:r w:rsidR="00D12682">
        <w:rPr>
          <w:rFonts w:ascii="Arial" w:hAnsi="Arial"/>
          <w:sz w:val="19"/>
          <w:szCs w:val="19"/>
        </w:rPr>
        <w:t>situation of</w:t>
      </w:r>
      <w:r w:rsidR="008D74DF">
        <w:rPr>
          <w:rFonts w:ascii="Arial" w:hAnsi="Arial"/>
          <w:sz w:val="19"/>
          <w:szCs w:val="19"/>
        </w:rPr>
        <w:t xml:space="preserve"> the COVID-19 pandemic and the</w:t>
      </w:r>
      <w:r w:rsidR="00D12682">
        <w:rPr>
          <w:rFonts w:ascii="Arial" w:hAnsi="Arial"/>
          <w:sz w:val="19"/>
          <w:szCs w:val="19"/>
        </w:rPr>
        <w:t xml:space="preserve"> </w:t>
      </w:r>
      <w:r w:rsidR="001E3B93">
        <w:rPr>
          <w:rFonts w:ascii="Arial" w:hAnsi="Arial"/>
          <w:sz w:val="19"/>
          <w:szCs w:val="19"/>
        </w:rPr>
        <w:t>impact</w:t>
      </w:r>
      <w:r w:rsidR="00106C85">
        <w:rPr>
          <w:rFonts w:ascii="Arial" w:hAnsi="Arial"/>
          <w:sz w:val="19"/>
          <w:szCs w:val="19"/>
        </w:rPr>
        <w:t xml:space="preserve"> to the Group’s business activities,</w:t>
      </w:r>
      <w:r w:rsidR="00C33576">
        <w:rPr>
          <w:rFonts w:ascii="Arial" w:hAnsi="Arial"/>
          <w:sz w:val="19"/>
          <w:szCs w:val="19"/>
        </w:rPr>
        <w:t xml:space="preserve"> the adoption of the Accounting Guidance on Temporary Relief Measures for Accounting Alternatives in Response to the Impact of the COVID-19 Pandemic issued by the Federatio</w:t>
      </w:r>
      <w:r w:rsidR="005C2A18">
        <w:rPr>
          <w:rFonts w:ascii="Arial" w:hAnsi="Arial"/>
          <w:sz w:val="19"/>
          <w:szCs w:val="19"/>
        </w:rPr>
        <w:t>n of Accounting Professions. Also</w:t>
      </w:r>
      <w:r w:rsidR="008F1C79">
        <w:rPr>
          <w:rFonts w:ascii="Arial" w:hAnsi="Arial" w:cs="Browallia New"/>
          <w:sz w:val="19"/>
          <w:szCs w:val="24"/>
          <w:lang w:val="en-US" w:bidi="th-TH"/>
        </w:rPr>
        <w:t>,</w:t>
      </w:r>
      <w:r w:rsidR="005C2A18">
        <w:rPr>
          <w:rFonts w:ascii="Arial" w:hAnsi="Arial"/>
          <w:sz w:val="19"/>
          <w:szCs w:val="19"/>
        </w:rPr>
        <w:t xml:space="preserve"> the Company is in the process of</w:t>
      </w:r>
      <w:r w:rsidR="003B5B1B">
        <w:rPr>
          <w:rFonts w:ascii="Arial" w:hAnsi="Arial"/>
          <w:sz w:val="19"/>
          <w:szCs w:val="19"/>
        </w:rPr>
        <w:t xml:space="preserve"> </w:t>
      </w:r>
      <w:r w:rsidR="003305DF">
        <w:rPr>
          <w:rFonts w:ascii="Arial" w:hAnsi="Arial"/>
          <w:sz w:val="19"/>
          <w:szCs w:val="19"/>
        </w:rPr>
        <w:t xml:space="preserve">assessing the fair value of the identifiable assets acquired and liabilities assumed at the </w:t>
      </w:r>
      <w:r w:rsidR="000007DA">
        <w:rPr>
          <w:rFonts w:ascii="Arial" w:hAnsi="Arial"/>
          <w:sz w:val="19"/>
          <w:szCs w:val="19"/>
        </w:rPr>
        <w:t>acquisition date of the subsidiary</w:t>
      </w:r>
      <w:r w:rsidR="00455767">
        <w:rPr>
          <w:rFonts w:ascii="Arial" w:hAnsi="Arial"/>
          <w:sz w:val="19"/>
          <w:szCs w:val="19"/>
        </w:rPr>
        <w:t xml:space="preserve"> a</w:t>
      </w:r>
      <w:r w:rsidRPr="005F6542">
        <w:rPr>
          <w:rFonts w:ascii="Arial" w:hAnsi="Arial"/>
          <w:sz w:val="19"/>
          <w:szCs w:val="19"/>
        </w:rPr>
        <w:t xml:space="preserve">ccording to the report dated </w:t>
      </w:r>
      <w:r w:rsidR="007A3B57">
        <w:rPr>
          <w:rFonts w:ascii="Arial" w:hAnsi="Arial"/>
          <w:sz w:val="19"/>
          <w:szCs w:val="19"/>
        </w:rPr>
        <w:t>1</w:t>
      </w:r>
      <w:r w:rsidR="005E3FFA">
        <w:rPr>
          <w:rFonts w:ascii="Arial" w:hAnsi="Arial"/>
          <w:sz w:val="19"/>
          <w:szCs w:val="19"/>
        </w:rPr>
        <w:t>2 November</w:t>
      </w:r>
      <w:r w:rsidRPr="005F6542">
        <w:rPr>
          <w:rFonts w:ascii="Arial" w:hAnsi="Arial"/>
          <w:sz w:val="19"/>
          <w:szCs w:val="19"/>
        </w:rPr>
        <w:t xml:space="preserve"> 2020.</w:t>
      </w:r>
    </w:p>
    <w:p w14:paraId="3BB6819C" w14:textId="63970FF1" w:rsidR="0051160C" w:rsidRDefault="0051160C" w:rsidP="00336E39">
      <w:pPr>
        <w:pStyle w:val="BodyText"/>
        <w:spacing w:line="276" w:lineRule="auto"/>
        <w:rPr>
          <w:rFonts w:ascii="Arial" w:hAnsi="Arial"/>
          <w:b/>
          <w:bCs/>
          <w:sz w:val="19"/>
          <w:szCs w:val="19"/>
        </w:rPr>
      </w:pPr>
    </w:p>
    <w:p w14:paraId="354B7B53" w14:textId="16404315" w:rsidR="0051160C" w:rsidRDefault="0051160C" w:rsidP="00336E39">
      <w:pPr>
        <w:pStyle w:val="BodyText"/>
        <w:spacing w:line="276" w:lineRule="auto"/>
        <w:rPr>
          <w:rFonts w:ascii="Arial" w:hAnsi="Arial"/>
          <w:b/>
          <w:bCs/>
          <w:sz w:val="19"/>
          <w:szCs w:val="19"/>
        </w:rPr>
      </w:pPr>
    </w:p>
    <w:p w14:paraId="6D171DD4" w14:textId="77777777" w:rsidR="008F6685" w:rsidRDefault="008F6685" w:rsidP="00336E39">
      <w:pPr>
        <w:pStyle w:val="BodyText"/>
        <w:spacing w:line="276" w:lineRule="auto"/>
        <w:rPr>
          <w:rFonts w:ascii="Arial" w:hAnsi="Arial"/>
          <w:b/>
          <w:bCs/>
          <w:sz w:val="19"/>
          <w:szCs w:val="19"/>
        </w:rPr>
      </w:pPr>
    </w:p>
    <w:p w14:paraId="7C7CB081" w14:textId="0BB4F947" w:rsidR="0039766E" w:rsidRPr="0039766E" w:rsidRDefault="006461A2" w:rsidP="005E3FFA">
      <w:pPr>
        <w:pStyle w:val="BodyTextIndent"/>
        <w:spacing w:after="0" w:line="360" w:lineRule="auto"/>
        <w:ind w:left="0"/>
        <w:rPr>
          <w:rFonts w:ascii="Arial" w:hAnsi="Arial"/>
          <w:b/>
          <w:bCs/>
          <w:sz w:val="19"/>
          <w:szCs w:val="19"/>
          <w:lang w:val="en-US"/>
        </w:rPr>
      </w:pPr>
      <w:r w:rsidRPr="006461A2">
        <w:rPr>
          <w:rFonts w:ascii="Arial" w:hAnsi="Arial"/>
          <w:b/>
          <w:bCs/>
          <w:sz w:val="19"/>
          <w:szCs w:val="19"/>
          <w:lang w:val="en-US"/>
        </w:rPr>
        <w:t>Luxsamee Deetrakulwattanapol</w:t>
      </w:r>
    </w:p>
    <w:p w14:paraId="26160645" w14:textId="77777777" w:rsidR="00C10298" w:rsidRPr="009F34A4" w:rsidRDefault="00C10298" w:rsidP="00E238A5">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35FB46B4" w14:textId="465F1192" w:rsidR="00C10298" w:rsidRPr="006435CF" w:rsidRDefault="00C10298" w:rsidP="00E238A5">
      <w:pPr>
        <w:pStyle w:val="RNormal"/>
        <w:spacing w:line="360" w:lineRule="auto"/>
        <w:rPr>
          <w:rFonts w:ascii="Arial" w:hAnsi="Arial" w:cstheme="minorBidi"/>
          <w:sz w:val="19"/>
          <w:lang w:bidi="th-TH"/>
        </w:rPr>
      </w:pPr>
      <w:r w:rsidRPr="009F34A4">
        <w:rPr>
          <w:rFonts w:ascii="Arial" w:hAnsi="Arial" w:cs="Arial"/>
          <w:sz w:val="19"/>
          <w:szCs w:val="19"/>
        </w:rPr>
        <w:t>Registration No.</w:t>
      </w:r>
      <w:r>
        <w:rPr>
          <w:rFonts w:ascii="Arial" w:hAnsi="Arial" w:cs="Arial"/>
          <w:sz w:val="19"/>
          <w:szCs w:val="19"/>
        </w:rPr>
        <w:t xml:space="preserve"> </w:t>
      </w:r>
      <w:r w:rsidR="0039766E">
        <w:rPr>
          <w:rFonts w:ascii="Arial" w:hAnsi="Arial" w:cs="Arial"/>
          <w:sz w:val="19"/>
          <w:szCs w:val="19"/>
        </w:rPr>
        <w:t>9056</w:t>
      </w:r>
    </w:p>
    <w:p w14:paraId="03D445BB" w14:textId="77777777" w:rsidR="00C10298" w:rsidRDefault="00C10298" w:rsidP="00E238A5">
      <w:pPr>
        <w:spacing w:after="0" w:line="360" w:lineRule="auto"/>
        <w:rPr>
          <w:rFonts w:ascii="Arial" w:hAnsi="Arial"/>
          <w:sz w:val="19"/>
          <w:szCs w:val="19"/>
          <w:lang w:bidi="th-TH"/>
        </w:rPr>
      </w:pPr>
    </w:p>
    <w:p w14:paraId="0183BE5A" w14:textId="77777777" w:rsidR="00C10298" w:rsidRDefault="00C10298" w:rsidP="00E238A5">
      <w:pPr>
        <w:spacing w:after="0" w:line="360" w:lineRule="auto"/>
        <w:rPr>
          <w:rFonts w:ascii="Arial" w:hAnsi="Arial"/>
          <w:sz w:val="19"/>
          <w:szCs w:val="19"/>
          <w:lang w:bidi="th-TH"/>
        </w:rPr>
      </w:pPr>
      <w:r>
        <w:rPr>
          <w:rFonts w:ascii="Arial" w:hAnsi="Arial"/>
          <w:sz w:val="19"/>
          <w:szCs w:val="19"/>
          <w:lang w:bidi="th-TH"/>
        </w:rPr>
        <w:t>Grant Thornton Limited</w:t>
      </w:r>
    </w:p>
    <w:p w14:paraId="362A24A4" w14:textId="77777777" w:rsidR="00C10298" w:rsidRPr="009F34A4" w:rsidRDefault="00C10298" w:rsidP="00E238A5">
      <w:pPr>
        <w:spacing w:after="0" w:line="360" w:lineRule="auto"/>
        <w:rPr>
          <w:rFonts w:ascii="Arial" w:hAnsi="Arial"/>
          <w:sz w:val="19"/>
          <w:szCs w:val="19"/>
          <w:cs/>
          <w:lang w:bidi="th-TH"/>
        </w:rPr>
      </w:pPr>
      <w:r>
        <w:rPr>
          <w:rFonts w:ascii="Arial" w:hAnsi="Arial"/>
          <w:sz w:val="19"/>
          <w:szCs w:val="19"/>
          <w:lang w:bidi="th-TH"/>
        </w:rPr>
        <w:t>Bangkok</w:t>
      </w:r>
    </w:p>
    <w:p w14:paraId="166B4696" w14:textId="47F9379F" w:rsidR="00D15EA5" w:rsidRPr="000C1EF8" w:rsidRDefault="00C12435" w:rsidP="000C1EF8">
      <w:pPr>
        <w:spacing w:after="0" w:line="360" w:lineRule="auto"/>
        <w:jc w:val="thaiDistribute"/>
        <w:rPr>
          <w:rFonts w:ascii="Arial" w:hAnsi="Arial"/>
          <w:sz w:val="19"/>
          <w:szCs w:val="19"/>
        </w:rPr>
      </w:pPr>
      <w:r w:rsidRPr="00C12435">
        <w:rPr>
          <w:rFonts w:ascii="Arial" w:hAnsi="Arial"/>
          <w:sz w:val="19"/>
          <w:szCs w:val="19"/>
          <w:lang w:val="en-US"/>
        </w:rPr>
        <w:t>12</w:t>
      </w:r>
      <w:r w:rsidR="005E3FFA" w:rsidRPr="00C12435">
        <w:rPr>
          <w:rFonts w:ascii="Arial" w:hAnsi="Arial"/>
          <w:sz w:val="19"/>
          <w:szCs w:val="19"/>
          <w:lang w:val="en-US"/>
        </w:rPr>
        <w:t xml:space="preserve"> November</w:t>
      </w:r>
      <w:r w:rsidR="00AF21DE" w:rsidRPr="00C12435">
        <w:rPr>
          <w:rFonts w:ascii="Arial" w:hAnsi="Arial"/>
          <w:sz w:val="19"/>
          <w:szCs w:val="19"/>
          <w:lang w:val="en-US"/>
        </w:rPr>
        <w:t xml:space="preserve"> 2021</w:t>
      </w:r>
    </w:p>
    <w:sectPr w:rsidR="00D15EA5" w:rsidRPr="000C1EF8" w:rsidSect="00AF0C32">
      <w:headerReference w:type="even" r:id="rId11"/>
      <w:headerReference w:type="default" r:id="rId12"/>
      <w:headerReference w:type="first" r:id="rId13"/>
      <w:pgSz w:w="11907" w:h="16840" w:code="9"/>
      <w:pgMar w:top="1620" w:right="913" w:bottom="360" w:left="2665" w:header="743" w:footer="123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5E15FF" w14:textId="77777777" w:rsidR="00992F41" w:rsidRDefault="00992F41">
      <w:r>
        <w:separator/>
      </w:r>
    </w:p>
  </w:endnote>
  <w:endnote w:type="continuationSeparator" w:id="0">
    <w:p w14:paraId="70EEC7A4" w14:textId="77777777" w:rsidR="00992F41" w:rsidRDefault="00992F41">
      <w:r>
        <w:continuationSeparator/>
      </w:r>
    </w:p>
  </w:endnote>
  <w:endnote w:type="continuationNotice" w:id="1">
    <w:p w14:paraId="76C6AA78" w14:textId="77777777" w:rsidR="00992F41" w:rsidRDefault="00992F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1170B7" w14:textId="77777777" w:rsidR="00992F41" w:rsidRDefault="00992F41">
      <w:bookmarkStart w:id="0" w:name="_Hlk482348182"/>
      <w:bookmarkEnd w:id="0"/>
      <w:r>
        <w:separator/>
      </w:r>
    </w:p>
  </w:footnote>
  <w:footnote w:type="continuationSeparator" w:id="0">
    <w:p w14:paraId="6BFEA1CF" w14:textId="77777777" w:rsidR="00992F41" w:rsidRDefault="00992F41">
      <w:r>
        <w:continuationSeparator/>
      </w:r>
    </w:p>
  </w:footnote>
  <w:footnote w:type="continuationNotice" w:id="1">
    <w:p w14:paraId="66C75C03" w14:textId="77777777" w:rsidR="00992F41" w:rsidRDefault="00992F41">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13D7E" w14:textId="77777777" w:rsidR="000A519B" w:rsidRDefault="000A519B" w:rsidP="00D96128">
    <w:pPr>
      <w:pStyle w:val="Heade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5CCF5E" w14:textId="42978356" w:rsidR="000A519B" w:rsidRDefault="000A519B" w:rsidP="00D96128">
    <w:pPr>
      <w:pStyle w:val="Header"/>
      <w:jc w:val="right"/>
    </w:pPr>
  </w:p>
  <w:p w14:paraId="138C1A99" w14:textId="77777777" w:rsidR="000A519B" w:rsidRPr="0079502D" w:rsidRDefault="000A519B" w:rsidP="00D96128">
    <w:pPr>
      <w:pStyle w:val="Head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EBE5E5" w14:textId="77777777" w:rsidR="000A519B" w:rsidRDefault="000A519B" w:rsidP="00D15EA5">
    <w:pPr>
      <w:pStyle w:val="Header"/>
      <w:tabs>
        <w:tab w:val="clear" w:pos="8562"/>
        <w:tab w:val="left" w:pos="5328"/>
      </w:tabs>
      <w:spacing w:after="1418"/>
    </w:pPr>
  </w:p>
  <w:p w14:paraId="2CDF52D1" w14:textId="6E8E9DB4" w:rsidR="000A519B" w:rsidRPr="006932D7" w:rsidRDefault="000A519B"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0A519B" w:rsidRDefault="000A519B" w:rsidP="00D15EA5">
    <w:pPr>
      <w:pStyle w:val="Header"/>
    </w:pPr>
    <w:bookmarkStart w:id="3" w:name="Footer3_tbl"/>
    <w:bookmarkEnd w:id="3"/>
  </w:p>
  <w:p w14:paraId="4E48D69A" w14:textId="6C222463" w:rsidR="000A519B" w:rsidRPr="009B7038" w:rsidRDefault="000A519B" w:rsidP="00D96128">
    <w:pPr>
      <w:pStyle w:val="Header"/>
      <w:jc w:val="right"/>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nsid w:val="1A933704"/>
    <w:multiLevelType w:val="multilevel"/>
    <w:tmpl w:val="8460F8B0"/>
    <w:numStyleLink w:val="GTTableBullets"/>
  </w:abstractNum>
  <w:abstractNum w:abstractNumId="8">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nsid w:val="1E316AEA"/>
    <w:multiLevelType w:val="hybridMultilevel"/>
    <w:tmpl w:val="9BC2F0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35B21F8"/>
    <w:multiLevelType w:val="multilevel"/>
    <w:tmpl w:val="FAE6F968"/>
    <w:numStyleLink w:val="GTListBullet"/>
  </w:abstractNum>
  <w:abstractNum w:abstractNumId="11">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2">
    <w:nsid w:val="35C91C25"/>
    <w:multiLevelType w:val="multilevel"/>
    <w:tmpl w:val="98FC98AC"/>
    <w:numStyleLink w:val="GTListNumber"/>
  </w:abstractNum>
  <w:abstractNum w:abstractNumId="13">
    <w:nsid w:val="3BA976CF"/>
    <w:multiLevelType w:val="multilevel"/>
    <w:tmpl w:val="98FC98AC"/>
    <w:numStyleLink w:val="GTListNumber"/>
  </w:abstractNum>
  <w:abstractNum w:abstractNumId="14">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5">
    <w:nsid w:val="59D63006"/>
    <w:multiLevelType w:val="hybridMultilevel"/>
    <w:tmpl w:val="D7E2747C"/>
    <w:lvl w:ilvl="0" w:tplc="36D8626C">
      <w:start w:val="1"/>
      <w:numFmt w:val="lowerLetter"/>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5DDB5E6E"/>
    <w:multiLevelType w:val="multilevel"/>
    <w:tmpl w:val="FAE6F968"/>
    <w:numStyleLink w:val="GTListBullet"/>
  </w:abstractNum>
  <w:abstractNum w:abstractNumId="17">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8">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1"/>
  </w:num>
  <w:num w:numId="8">
    <w:abstractNumId w:val="18"/>
  </w:num>
  <w:num w:numId="9">
    <w:abstractNumId w:val="5"/>
  </w:num>
  <w:num w:numId="10">
    <w:abstractNumId w:val="17"/>
  </w:num>
  <w:num w:numId="11">
    <w:abstractNumId w:val="14"/>
  </w:num>
  <w:num w:numId="12">
    <w:abstractNumId w:val="4"/>
  </w:num>
  <w:num w:numId="13">
    <w:abstractNumId w:val="8"/>
  </w:num>
  <w:num w:numId="14">
    <w:abstractNumId w:val="7"/>
  </w:num>
  <w:num w:numId="15">
    <w:abstractNumId w:val="8"/>
  </w:num>
  <w:num w:numId="16">
    <w:abstractNumId w:val="10"/>
  </w:num>
  <w:num w:numId="17">
    <w:abstractNumId w:val="12"/>
  </w:num>
  <w:num w:numId="18">
    <w:abstractNumId w:val="17"/>
  </w:num>
  <w:num w:numId="19">
    <w:abstractNumId w:val="14"/>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6"/>
  </w:num>
  <w:num w:numId="29">
    <w:abstractNumId w:val="16"/>
  </w:num>
  <w:num w:numId="30">
    <w:abstractNumId w:val="16"/>
  </w:num>
  <w:num w:numId="31">
    <w:abstractNumId w:val="13"/>
  </w:num>
  <w:num w:numId="32">
    <w:abstractNumId w:val="13"/>
  </w:num>
  <w:num w:numId="33">
    <w:abstractNumId w:val="13"/>
  </w:num>
  <w:num w:numId="34">
    <w:abstractNumId w:val="15"/>
  </w:num>
  <w:num w:numId="35">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07DA"/>
    <w:rsid w:val="000031A8"/>
    <w:rsid w:val="00004B8D"/>
    <w:rsid w:val="00005924"/>
    <w:rsid w:val="00006FA1"/>
    <w:rsid w:val="00014EC5"/>
    <w:rsid w:val="00015D92"/>
    <w:rsid w:val="000162B0"/>
    <w:rsid w:val="000210CC"/>
    <w:rsid w:val="0002277D"/>
    <w:rsid w:val="00027DE7"/>
    <w:rsid w:val="0003023B"/>
    <w:rsid w:val="00030453"/>
    <w:rsid w:val="00031D17"/>
    <w:rsid w:val="00034B04"/>
    <w:rsid w:val="00037BF7"/>
    <w:rsid w:val="0004038F"/>
    <w:rsid w:val="00044ACE"/>
    <w:rsid w:val="0004550E"/>
    <w:rsid w:val="00052614"/>
    <w:rsid w:val="000628F6"/>
    <w:rsid w:val="0006591E"/>
    <w:rsid w:val="00070787"/>
    <w:rsid w:val="000723F7"/>
    <w:rsid w:val="00072CE6"/>
    <w:rsid w:val="00072DF9"/>
    <w:rsid w:val="00074485"/>
    <w:rsid w:val="000761AE"/>
    <w:rsid w:val="00082696"/>
    <w:rsid w:val="000828EC"/>
    <w:rsid w:val="000828F1"/>
    <w:rsid w:val="00082F59"/>
    <w:rsid w:val="00094333"/>
    <w:rsid w:val="00097FAB"/>
    <w:rsid w:val="000A043C"/>
    <w:rsid w:val="000A519B"/>
    <w:rsid w:val="000A6546"/>
    <w:rsid w:val="000B2AAE"/>
    <w:rsid w:val="000B41B1"/>
    <w:rsid w:val="000B65E3"/>
    <w:rsid w:val="000B6A73"/>
    <w:rsid w:val="000B6B37"/>
    <w:rsid w:val="000B7090"/>
    <w:rsid w:val="000C1EF8"/>
    <w:rsid w:val="000C4D36"/>
    <w:rsid w:val="000D5CC1"/>
    <w:rsid w:val="000E52CE"/>
    <w:rsid w:val="000F0430"/>
    <w:rsid w:val="000F3AAB"/>
    <w:rsid w:val="000F6E25"/>
    <w:rsid w:val="001011DF"/>
    <w:rsid w:val="00105D86"/>
    <w:rsid w:val="00106C85"/>
    <w:rsid w:val="00112B69"/>
    <w:rsid w:val="00114D5A"/>
    <w:rsid w:val="00115E93"/>
    <w:rsid w:val="00127E69"/>
    <w:rsid w:val="001316D3"/>
    <w:rsid w:val="00142157"/>
    <w:rsid w:val="00152282"/>
    <w:rsid w:val="0015365E"/>
    <w:rsid w:val="001554CD"/>
    <w:rsid w:val="00155A91"/>
    <w:rsid w:val="00156B8B"/>
    <w:rsid w:val="001613E2"/>
    <w:rsid w:val="0016459D"/>
    <w:rsid w:val="00167017"/>
    <w:rsid w:val="00170DB5"/>
    <w:rsid w:val="0019210D"/>
    <w:rsid w:val="001A05EF"/>
    <w:rsid w:val="001A3BFB"/>
    <w:rsid w:val="001A3C20"/>
    <w:rsid w:val="001A4A09"/>
    <w:rsid w:val="001A517F"/>
    <w:rsid w:val="001A690C"/>
    <w:rsid w:val="001A6B2F"/>
    <w:rsid w:val="001B198C"/>
    <w:rsid w:val="001B5278"/>
    <w:rsid w:val="001B6B43"/>
    <w:rsid w:val="001B7388"/>
    <w:rsid w:val="001C3EAD"/>
    <w:rsid w:val="001C69C8"/>
    <w:rsid w:val="001C7DD8"/>
    <w:rsid w:val="001D2302"/>
    <w:rsid w:val="001D7BB3"/>
    <w:rsid w:val="001D7C1B"/>
    <w:rsid w:val="001E12A6"/>
    <w:rsid w:val="001E3B93"/>
    <w:rsid w:val="001E498F"/>
    <w:rsid w:val="001E4AB9"/>
    <w:rsid w:val="001E5A40"/>
    <w:rsid w:val="001F17B1"/>
    <w:rsid w:val="001F37E5"/>
    <w:rsid w:val="001F501B"/>
    <w:rsid w:val="0020570C"/>
    <w:rsid w:val="002244B6"/>
    <w:rsid w:val="0022518C"/>
    <w:rsid w:val="002358C4"/>
    <w:rsid w:val="00236EF0"/>
    <w:rsid w:val="00237A7E"/>
    <w:rsid w:val="00241487"/>
    <w:rsid w:val="00241D33"/>
    <w:rsid w:val="00241F16"/>
    <w:rsid w:val="00247969"/>
    <w:rsid w:val="00252414"/>
    <w:rsid w:val="002553D7"/>
    <w:rsid w:val="002558DE"/>
    <w:rsid w:val="00257614"/>
    <w:rsid w:val="0026182A"/>
    <w:rsid w:val="00263316"/>
    <w:rsid w:val="00272031"/>
    <w:rsid w:val="002731FD"/>
    <w:rsid w:val="0027436F"/>
    <w:rsid w:val="00276C62"/>
    <w:rsid w:val="00277EBE"/>
    <w:rsid w:val="00281085"/>
    <w:rsid w:val="00282258"/>
    <w:rsid w:val="002827CF"/>
    <w:rsid w:val="002838FB"/>
    <w:rsid w:val="00285249"/>
    <w:rsid w:val="00287AE5"/>
    <w:rsid w:val="00291F92"/>
    <w:rsid w:val="00292298"/>
    <w:rsid w:val="002A0C86"/>
    <w:rsid w:val="002A0FA2"/>
    <w:rsid w:val="002A252E"/>
    <w:rsid w:val="002C623D"/>
    <w:rsid w:val="002D4AAE"/>
    <w:rsid w:val="002D5A0F"/>
    <w:rsid w:val="002D6E25"/>
    <w:rsid w:val="002E02F4"/>
    <w:rsid w:val="002E6B11"/>
    <w:rsid w:val="002E7F1E"/>
    <w:rsid w:val="002F1BEB"/>
    <w:rsid w:val="002F2DEB"/>
    <w:rsid w:val="002F3903"/>
    <w:rsid w:val="002F4A52"/>
    <w:rsid w:val="002F534B"/>
    <w:rsid w:val="002F6FCA"/>
    <w:rsid w:val="002F7D90"/>
    <w:rsid w:val="0030026A"/>
    <w:rsid w:val="00300EB4"/>
    <w:rsid w:val="003017EF"/>
    <w:rsid w:val="00305173"/>
    <w:rsid w:val="003104CD"/>
    <w:rsid w:val="00311102"/>
    <w:rsid w:val="00312188"/>
    <w:rsid w:val="0032193D"/>
    <w:rsid w:val="00321A76"/>
    <w:rsid w:val="0032350C"/>
    <w:rsid w:val="00327E2F"/>
    <w:rsid w:val="003305DF"/>
    <w:rsid w:val="00331998"/>
    <w:rsid w:val="00335E5B"/>
    <w:rsid w:val="00336E39"/>
    <w:rsid w:val="00337D07"/>
    <w:rsid w:val="0034051D"/>
    <w:rsid w:val="00342FA0"/>
    <w:rsid w:val="00344E63"/>
    <w:rsid w:val="00350D5F"/>
    <w:rsid w:val="00351872"/>
    <w:rsid w:val="00354DD8"/>
    <w:rsid w:val="00354F5D"/>
    <w:rsid w:val="003615CE"/>
    <w:rsid w:val="00365ECE"/>
    <w:rsid w:val="003744DA"/>
    <w:rsid w:val="00377C9E"/>
    <w:rsid w:val="0038141D"/>
    <w:rsid w:val="00383230"/>
    <w:rsid w:val="00384904"/>
    <w:rsid w:val="00386D9F"/>
    <w:rsid w:val="00387484"/>
    <w:rsid w:val="00396DFE"/>
    <w:rsid w:val="0039766E"/>
    <w:rsid w:val="003978B3"/>
    <w:rsid w:val="003A1EAB"/>
    <w:rsid w:val="003A3E40"/>
    <w:rsid w:val="003A583B"/>
    <w:rsid w:val="003B2128"/>
    <w:rsid w:val="003B2764"/>
    <w:rsid w:val="003B4CCD"/>
    <w:rsid w:val="003B4DED"/>
    <w:rsid w:val="003B5B1B"/>
    <w:rsid w:val="003C12C5"/>
    <w:rsid w:val="003C27EF"/>
    <w:rsid w:val="003C32E9"/>
    <w:rsid w:val="003C3898"/>
    <w:rsid w:val="003D1A5C"/>
    <w:rsid w:val="003D2605"/>
    <w:rsid w:val="003D64D6"/>
    <w:rsid w:val="003E034A"/>
    <w:rsid w:val="003E3E21"/>
    <w:rsid w:val="003E60C5"/>
    <w:rsid w:val="003E7FCA"/>
    <w:rsid w:val="003F0FDA"/>
    <w:rsid w:val="003F40BE"/>
    <w:rsid w:val="003F40E6"/>
    <w:rsid w:val="003F4891"/>
    <w:rsid w:val="004156CC"/>
    <w:rsid w:val="00416014"/>
    <w:rsid w:val="00416281"/>
    <w:rsid w:val="00421F0C"/>
    <w:rsid w:val="00422353"/>
    <w:rsid w:val="00422F6C"/>
    <w:rsid w:val="00424219"/>
    <w:rsid w:val="00426915"/>
    <w:rsid w:val="00431D11"/>
    <w:rsid w:val="004324CB"/>
    <w:rsid w:val="00433F63"/>
    <w:rsid w:val="00435788"/>
    <w:rsid w:val="004359E6"/>
    <w:rsid w:val="00440BDF"/>
    <w:rsid w:val="00443CE3"/>
    <w:rsid w:val="00452E7B"/>
    <w:rsid w:val="004546FA"/>
    <w:rsid w:val="00455767"/>
    <w:rsid w:val="004558F7"/>
    <w:rsid w:val="0046070B"/>
    <w:rsid w:val="00464A0C"/>
    <w:rsid w:val="00466AB7"/>
    <w:rsid w:val="00471238"/>
    <w:rsid w:val="004735F7"/>
    <w:rsid w:val="004762B8"/>
    <w:rsid w:val="00481FE7"/>
    <w:rsid w:val="0048532C"/>
    <w:rsid w:val="00485F0E"/>
    <w:rsid w:val="0049103F"/>
    <w:rsid w:val="0049217D"/>
    <w:rsid w:val="00494BD9"/>
    <w:rsid w:val="004A0DFE"/>
    <w:rsid w:val="004A3C62"/>
    <w:rsid w:val="004A6D7E"/>
    <w:rsid w:val="004C0971"/>
    <w:rsid w:val="004C0C25"/>
    <w:rsid w:val="004C2111"/>
    <w:rsid w:val="004C4B3C"/>
    <w:rsid w:val="004C4DBF"/>
    <w:rsid w:val="004C732E"/>
    <w:rsid w:val="004D03DB"/>
    <w:rsid w:val="004D1F57"/>
    <w:rsid w:val="004D20AE"/>
    <w:rsid w:val="004D3578"/>
    <w:rsid w:val="004D453A"/>
    <w:rsid w:val="004E0BB4"/>
    <w:rsid w:val="004F1A16"/>
    <w:rsid w:val="004F207F"/>
    <w:rsid w:val="004F5D91"/>
    <w:rsid w:val="004F7740"/>
    <w:rsid w:val="00506F66"/>
    <w:rsid w:val="005070FA"/>
    <w:rsid w:val="00510080"/>
    <w:rsid w:val="0051160C"/>
    <w:rsid w:val="0052186A"/>
    <w:rsid w:val="005321DA"/>
    <w:rsid w:val="00537578"/>
    <w:rsid w:val="0054052B"/>
    <w:rsid w:val="00542E2A"/>
    <w:rsid w:val="0054524D"/>
    <w:rsid w:val="00545BB3"/>
    <w:rsid w:val="005461CF"/>
    <w:rsid w:val="00547541"/>
    <w:rsid w:val="005479AE"/>
    <w:rsid w:val="00551365"/>
    <w:rsid w:val="00551D42"/>
    <w:rsid w:val="005627FF"/>
    <w:rsid w:val="00570B99"/>
    <w:rsid w:val="005760E1"/>
    <w:rsid w:val="005760F7"/>
    <w:rsid w:val="00577D61"/>
    <w:rsid w:val="005803AC"/>
    <w:rsid w:val="00580DD3"/>
    <w:rsid w:val="005810D0"/>
    <w:rsid w:val="005822AC"/>
    <w:rsid w:val="005925CD"/>
    <w:rsid w:val="00593A47"/>
    <w:rsid w:val="005A4836"/>
    <w:rsid w:val="005A5B2C"/>
    <w:rsid w:val="005A66D8"/>
    <w:rsid w:val="005B03F5"/>
    <w:rsid w:val="005B25E9"/>
    <w:rsid w:val="005B405A"/>
    <w:rsid w:val="005B43CA"/>
    <w:rsid w:val="005B4DC1"/>
    <w:rsid w:val="005C2A18"/>
    <w:rsid w:val="005C2CCB"/>
    <w:rsid w:val="005C4D9D"/>
    <w:rsid w:val="005C6479"/>
    <w:rsid w:val="005C69FD"/>
    <w:rsid w:val="005C6FBC"/>
    <w:rsid w:val="005C757B"/>
    <w:rsid w:val="005D34C0"/>
    <w:rsid w:val="005D7025"/>
    <w:rsid w:val="005E2D67"/>
    <w:rsid w:val="005E3FFA"/>
    <w:rsid w:val="005E5578"/>
    <w:rsid w:val="005E5818"/>
    <w:rsid w:val="005F4D62"/>
    <w:rsid w:val="005F6542"/>
    <w:rsid w:val="00600A52"/>
    <w:rsid w:val="00604555"/>
    <w:rsid w:val="00605599"/>
    <w:rsid w:val="00610CBB"/>
    <w:rsid w:val="00610ED7"/>
    <w:rsid w:val="00617E5B"/>
    <w:rsid w:val="00620CE3"/>
    <w:rsid w:val="00621086"/>
    <w:rsid w:val="0062136C"/>
    <w:rsid w:val="006365A1"/>
    <w:rsid w:val="00636AA2"/>
    <w:rsid w:val="00636FBF"/>
    <w:rsid w:val="00641063"/>
    <w:rsid w:val="0064470A"/>
    <w:rsid w:val="006460E7"/>
    <w:rsid w:val="006461A2"/>
    <w:rsid w:val="006622FA"/>
    <w:rsid w:val="00664AB4"/>
    <w:rsid w:val="00666764"/>
    <w:rsid w:val="0066694B"/>
    <w:rsid w:val="00667DB6"/>
    <w:rsid w:val="006771E8"/>
    <w:rsid w:val="00677C01"/>
    <w:rsid w:val="00680424"/>
    <w:rsid w:val="00681330"/>
    <w:rsid w:val="00682137"/>
    <w:rsid w:val="00683CC7"/>
    <w:rsid w:val="006847B4"/>
    <w:rsid w:val="00692CA5"/>
    <w:rsid w:val="006932D7"/>
    <w:rsid w:val="006935F7"/>
    <w:rsid w:val="006956FC"/>
    <w:rsid w:val="00695B07"/>
    <w:rsid w:val="00696D87"/>
    <w:rsid w:val="006B05B2"/>
    <w:rsid w:val="006B06A2"/>
    <w:rsid w:val="006B52B9"/>
    <w:rsid w:val="006B5E9E"/>
    <w:rsid w:val="006C1425"/>
    <w:rsid w:val="006C35F8"/>
    <w:rsid w:val="006C3D37"/>
    <w:rsid w:val="006C6376"/>
    <w:rsid w:val="006C66AD"/>
    <w:rsid w:val="006C6E06"/>
    <w:rsid w:val="006D045F"/>
    <w:rsid w:val="006D5156"/>
    <w:rsid w:val="006D5B14"/>
    <w:rsid w:val="006D62FD"/>
    <w:rsid w:val="006D6FF5"/>
    <w:rsid w:val="006F1B19"/>
    <w:rsid w:val="006F2705"/>
    <w:rsid w:val="006F29ED"/>
    <w:rsid w:val="006F4F77"/>
    <w:rsid w:val="0070147C"/>
    <w:rsid w:val="00703A8E"/>
    <w:rsid w:val="00714FD6"/>
    <w:rsid w:val="00715622"/>
    <w:rsid w:val="00720867"/>
    <w:rsid w:val="00722EFB"/>
    <w:rsid w:val="00723518"/>
    <w:rsid w:val="0072488C"/>
    <w:rsid w:val="007265F7"/>
    <w:rsid w:val="00731894"/>
    <w:rsid w:val="007322A8"/>
    <w:rsid w:val="0073284B"/>
    <w:rsid w:val="00741192"/>
    <w:rsid w:val="00746290"/>
    <w:rsid w:val="00746796"/>
    <w:rsid w:val="00746D91"/>
    <w:rsid w:val="007508C7"/>
    <w:rsid w:val="00752E0C"/>
    <w:rsid w:val="0075598A"/>
    <w:rsid w:val="007571DF"/>
    <w:rsid w:val="00761813"/>
    <w:rsid w:val="00771B85"/>
    <w:rsid w:val="007736A1"/>
    <w:rsid w:val="00774F36"/>
    <w:rsid w:val="00775DA6"/>
    <w:rsid w:val="0078170A"/>
    <w:rsid w:val="00783E75"/>
    <w:rsid w:val="00790956"/>
    <w:rsid w:val="00794FBE"/>
    <w:rsid w:val="0079502D"/>
    <w:rsid w:val="00795CC8"/>
    <w:rsid w:val="00796666"/>
    <w:rsid w:val="007A0755"/>
    <w:rsid w:val="007A1282"/>
    <w:rsid w:val="007A31D9"/>
    <w:rsid w:val="007A3B57"/>
    <w:rsid w:val="007A74F9"/>
    <w:rsid w:val="007B572C"/>
    <w:rsid w:val="007B5C37"/>
    <w:rsid w:val="007C7F13"/>
    <w:rsid w:val="007D062E"/>
    <w:rsid w:val="007D41A1"/>
    <w:rsid w:val="007F2DE5"/>
    <w:rsid w:val="007F63A7"/>
    <w:rsid w:val="00800C9E"/>
    <w:rsid w:val="00801AE0"/>
    <w:rsid w:val="008020DD"/>
    <w:rsid w:val="008033D0"/>
    <w:rsid w:val="00803FB6"/>
    <w:rsid w:val="008052FF"/>
    <w:rsid w:val="008059EF"/>
    <w:rsid w:val="00810851"/>
    <w:rsid w:val="00811757"/>
    <w:rsid w:val="008128F7"/>
    <w:rsid w:val="00812938"/>
    <w:rsid w:val="008135C9"/>
    <w:rsid w:val="00813E9C"/>
    <w:rsid w:val="0081480E"/>
    <w:rsid w:val="00814E99"/>
    <w:rsid w:val="00823D1E"/>
    <w:rsid w:val="00823F70"/>
    <w:rsid w:val="00827B71"/>
    <w:rsid w:val="00830DAC"/>
    <w:rsid w:val="0083134C"/>
    <w:rsid w:val="00832F51"/>
    <w:rsid w:val="00843100"/>
    <w:rsid w:val="00847054"/>
    <w:rsid w:val="00850F25"/>
    <w:rsid w:val="008534AA"/>
    <w:rsid w:val="008554E1"/>
    <w:rsid w:val="00855605"/>
    <w:rsid w:val="00863B97"/>
    <w:rsid w:val="00864FE0"/>
    <w:rsid w:val="00866E00"/>
    <w:rsid w:val="008679E9"/>
    <w:rsid w:val="008704B1"/>
    <w:rsid w:val="008719C2"/>
    <w:rsid w:val="008723F1"/>
    <w:rsid w:val="008744B6"/>
    <w:rsid w:val="00876FC0"/>
    <w:rsid w:val="00884FF7"/>
    <w:rsid w:val="00887920"/>
    <w:rsid w:val="00890AE0"/>
    <w:rsid w:val="00892375"/>
    <w:rsid w:val="00894ACE"/>
    <w:rsid w:val="008975BC"/>
    <w:rsid w:val="008A4140"/>
    <w:rsid w:val="008A5CC0"/>
    <w:rsid w:val="008B19D9"/>
    <w:rsid w:val="008B1FD3"/>
    <w:rsid w:val="008B204B"/>
    <w:rsid w:val="008C132A"/>
    <w:rsid w:val="008C49AE"/>
    <w:rsid w:val="008C59F7"/>
    <w:rsid w:val="008C6A82"/>
    <w:rsid w:val="008D0BAD"/>
    <w:rsid w:val="008D74DF"/>
    <w:rsid w:val="008E7241"/>
    <w:rsid w:val="008E7687"/>
    <w:rsid w:val="008F0E3C"/>
    <w:rsid w:val="008F11FA"/>
    <w:rsid w:val="008F1C79"/>
    <w:rsid w:val="008F33AE"/>
    <w:rsid w:val="008F4ACA"/>
    <w:rsid w:val="008F6685"/>
    <w:rsid w:val="008F6BF3"/>
    <w:rsid w:val="00900E26"/>
    <w:rsid w:val="0091222B"/>
    <w:rsid w:val="00912F98"/>
    <w:rsid w:val="00917FBB"/>
    <w:rsid w:val="009219CA"/>
    <w:rsid w:val="009223D3"/>
    <w:rsid w:val="00926795"/>
    <w:rsid w:val="00926867"/>
    <w:rsid w:val="00931D7A"/>
    <w:rsid w:val="00935D8D"/>
    <w:rsid w:val="00942FE8"/>
    <w:rsid w:val="00947C1F"/>
    <w:rsid w:val="00952AD8"/>
    <w:rsid w:val="00957E70"/>
    <w:rsid w:val="00961B98"/>
    <w:rsid w:val="00970DAB"/>
    <w:rsid w:val="00972FF6"/>
    <w:rsid w:val="0097321D"/>
    <w:rsid w:val="00974FE4"/>
    <w:rsid w:val="009773E4"/>
    <w:rsid w:val="00977F33"/>
    <w:rsid w:val="00985F81"/>
    <w:rsid w:val="00992531"/>
    <w:rsid w:val="00992F41"/>
    <w:rsid w:val="00995CD5"/>
    <w:rsid w:val="00996A2F"/>
    <w:rsid w:val="009975F2"/>
    <w:rsid w:val="009A1787"/>
    <w:rsid w:val="009A2CD3"/>
    <w:rsid w:val="009A4F5A"/>
    <w:rsid w:val="009B0967"/>
    <w:rsid w:val="009B1F44"/>
    <w:rsid w:val="009B4573"/>
    <w:rsid w:val="009B5506"/>
    <w:rsid w:val="009B7038"/>
    <w:rsid w:val="009C002A"/>
    <w:rsid w:val="009D70A1"/>
    <w:rsid w:val="009E08FF"/>
    <w:rsid w:val="009E278C"/>
    <w:rsid w:val="009E775A"/>
    <w:rsid w:val="009F6EDC"/>
    <w:rsid w:val="00A02648"/>
    <w:rsid w:val="00A035CE"/>
    <w:rsid w:val="00A0537F"/>
    <w:rsid w:val="00A0602E"/>
    <w:rsid w:val="00A06C1F"/>
    <w:rsid w:val="00A07FFA"/>
    <w:rsid w:val="00A11FB4"/>
    <w:rsid w:val="00A12974"/>
    <w:rsid w:val="00A1550B"/>
    <w:rsid w:val="00A16CB4"/>
    <w:rsid w:val="00A31B16"/>
    <w:rsid w:val="00A336E1"/>
    <w:rsid w:val="00A35782"/>
    <w:rsid w:val="00A362F9"/>
    <w:rsid w:val="00A43EE6"/>
    <w:rsid w:val="00A60301"/>
    <w:rsid w:val="00A60F49"/>
    <w:rsid w:val="00A61E15"/>
    <w:rsid w:val="00A62910"/>
    <w:rsid w:val="00A66F91"/>
    <w:rsid w:val="00A67ECA"/>
    <w:rsid w:val="00A70229"/>
    <w:rsid w:val="00A72749"/>
    <w:rsid w:val="00A829C7"/>
    <w:rsid w:val="00A918D1"/>
    <w:rsid w:val="00A92FEA"/>
    <w:rsid w:val="00A93A9A"/>
    <w:rsid w:val="00AA55B7"/>
    <w:rsid w:val="00AA5C16"/>
    <w:rsid w:val="00AA65A6"/>
    <w:rsid w:val="00AB28BC"/>
    <w:rsid w:val="00AB7040"/>
    <w:rsid w:val="00AC1BCD"/>
    <w:rsid w:val="00AC31D4"/>
    <w:rsid w:val="00AC6098"/>
    <w:rsid w:val="00AD0BF6"/>
    <w:rsid w:val="00AD4892"/>
    <w:rsid w:val="00AE2015"/>
    <w:rsid w:val="00AE2BF6"/>
    <w:rsid w:val="00AE3370"/>
    <w:rsid w:val="00AE480B"/>
    <w:rsid w:val="00AE630C"/>
    <w:rsid w:val="00AE64CA"/>
    <w:rsid w:val="00AF0AF6"/>
    <w:rsid w:val="00AF0C32"/>
    <w:rsid w:val="00AF21DE"/>
    <w:rsid w:val="00AF7092"/>
    <w:rsid w:val="00B01F1A"/>
    <w:rsid w:val="00B06E81"/>
    <w:rsid w:val="00B07755"/>
    <w:rsid w:val="00B1324D"/>
    <w:rsid w:val="00B13EE1"/>
    <w:rsid w:val="00B157E2"/>
    <w:rsid w:val="00B16912"/>
    <w:rsid w:val="00B16D29"/>
    <w:rsid w:val="00B22192"/>
    <w:rsid w:val="00B24A45"/>
    <w:rsid w:val="00B25B92"/>
    <w:rsid w:val="00B26948"/>
    <w:rsid w:val="00B32573"/>
    <w:rsid w:val="00B34D51"/>
    <w:rsid w:val="00B35089"/>
    <w:rsid w:val="00B36A0E"/>
    <w:rsid w:val="00B36BA1"/>
    <w:rsid w:val="00B40D67"/>
    <w:rsid w:val="00B43C45"/>
    <w:rsid w:val="00B43F4E"/>
    <w:rsid w:val="00B446F8"/>
    <w:rsid w:val="00B47200"/>
    <w:rsid w:val="00B54B6F"/>
    <w:rsid w:val="00B55EE8"/>
    <w:rsid w:val="00B56E6C"/>
    <w:rsid w:val="00B63D0E"/>
    <w:rsid w:val="00B705BE"/>
    <w:rsid w:val="00B724B2"/>
    <w:rsid w:val="00B7278C"/>
    <w:rsid w:val="00B728BD"/>
    <w:rsid w:val="00B7417A"/>
    <w:rsid w:val="00B83039"/>
    <w:rsid w:val="00B833AF"/>
    <w:rsid w:val="00B90DA8"/>
    <w:rsid w:val="00B91171"/>
    <w:rsid w:val="00B9417E"/>
    <w:rsid w:val="00B97502"/>
    <w:rsid w:val="00BA5B00"/>
    <w:rsid w:val="00BA6CCB"/>
    <w:rsid w:val="00BB0B4E"/>
    <w:rsid w:val="00BB1A07"/>
    <w:rsid w:val="00BB33A1"/>
    <w:rsid w:val="00BB6DAD"/>
    <w:rsid w:val="00BB7346"/>
    <w:rsid w:val="00BB7F5E"/>
    <w:rsid w:val="00BC1555"/>
    <w:rsid w:val="00BC60A9"/>
    <w:rsid w:val="00BC7F39"/>
    <w:rsid w:val="00BD22AB"/>
    <w:rsid w:val="00BD5DCD"/>
    <w:rsid w:val="00BD6C6C"/>
    <w:rsid w:val="00BD7294"/>
    <w:rsid w:val="00BE0C8A"/>
    <w:rsid w:val="00BE27B1"/>
    <w:rsid w:val="00BE2DA5"/>
    <w:rsid w:val="00BE334D"/>
    <w:rsid w:val="00BE4988"/>
    <w:rsid w:val="00BE5296"/>
    <w:rsid w:val="00BF1C24"/>
    <w:rsid w:val="00BF5E73"/>
    <w:rsid w:val="00C00B47"/>
    <w:rsid w:val="00C00F8F"/>
    <w:rsid w:val="00C02906"/>
    <w:rsid w:val="00C06939"/>
    <w:rsid w:val="00C10298"/>
    <w:rsid w:val="00C12435"/>
    <w:rsid w:val="00C142C6"/>
    <w:rsid w:val="00C174C9"/>
    <w:rsid w:val="00C21E3B"/>
    <w:rsid w:val="00C26CB8"/>
    <w:rsid w:val="00C27EAE"/>
    <w:rsid w:val="00C31A98"/>
    <w:rsid w:val="00C33576"/>
    <w:rsid w:val="00C35B1A"/>
    <w:rsid w:val="00C41C7D"/>
    <w:rsid w:val="00C46D15"/>
    <w:rsid w:val="00C5347A"/>
    <w:rsid w:val="00C616AA"/>
    <w:rsid w:val="00C63023"/>
    <w:rsid w:val="00C63352"/>
    <w:rsid w:val="00C636F1"/>
    <w:rsid w:val="00C63743"/>
    <w:rsid w:val="00C64C78"/>
    <w:rsid w:val="00C707B7"/>
    <w:rsid w:val="00C7682D"/>
    <w:rsid w:val="00C76C6C"/>
    <w:rsid w:val="00C80EC5"/>
    <w:rsid w:val="00C86BB9"/>
    <w:rsid w:val="00C8772C"/>
    <w:rsid w:val="00C95DBE"/>
    <w:rsid w:val="00CA2E34"/>
    <w:rsid w:val="00CA43FD"/>
    <w:rsid w:val="00CB18EB"/>
    <w:rsid w:val="00CB3083"/>
    <w:rsid w:val="00CB441E"/>
    <w:rsid w:val="00CB4AAF"/>
    <w:rsid w:val="00CB7A36"/>
    <w:rsid w:val="00CC3797"/>
    <w:rsid w:val="00CC5FCC"/>
    <w:rsid w:val="00CC72E9"/>
    <w:rsid w:val="00CD25C2"/>
    <w:rsid w:val="00CD7617"/>
    <w:rsid w:val="00CE1EFA"/>
    <w:rsid w:val="00CE24E5"/>
    <w:rsid w:val="00CE41DB"/>
    <w:rsid w:val="00CE4D96"/>
    <w:rsid w:val="00CE5FD4"/>
    <w:rsid w:val="00CF143E"/>
    <w:rsid w:val="00D01164"/>
    <w:rsid w:val="00D0551C"/>
    <w:rsid w:val="00D0631B"/>
    <w:rsid w:val="00D06CFE"/>
    <w:rsid w:val="00D078C4"/>
    <w:rsid w:val="00D12682"/>
    <w:rsid w:val="00D12D34"/>
    <w:rsid w:val="00D13190"/>
    <w:rsid w:val="00D15240"/>
    <w:rsid w:val="00D15EA5"/>
    <w:rsid w:val="00D166E9"/>
    <w:rsid w:val="00D20EC7"/>
    <w:rsid w:val="00D2100B"/>
    <w:rsid w:val="00D23D11"/>
    <w:rsid w:val="00D3089E"/>
    <w:rsid w:val="00D31D7A"/>
    <w:rsid w:val="00D33E60"/>
    <w:rsid w:val="00D3699C"/>
    <w:rsid w:val="00D420A1"/>
    <w:rsid w:val="00D460E7"/>
    <w:rsid w:val="00D46AD5"/>
    <w:rsid w:val="00D51361"/>
    <w:rsid w:val="00D55D8E"/>
    <w:rsid w:val="00D62C5A"/>
    <w:rsid w:val="00D63ABC"/>
    <w:rsid w:val="00D6512F"/>
    <w:rsid w:val="00D675F1"/>
    <w:rsid w:val="00D70482"/>
    <w:rsid w:val="00D73B96"/>
    <w:rsid w:val="00D80807"/>
    <w:rsid w:val="00D86917"/>
    <w:rsid w:val="00D900C6"/>
    <w:rsid w:val="00D92061"/>
    <w:rsid w:val="00D92625"/>
    <w:rsid w:val="00D92F9A"/>
    <w:rsid w:val="00D9427D"/>
    <w:rsid w:val="00D95A93"/>
    <w:rsid w:val="00D96128"/>
    <w:rsid w:val="00D97C53"/>
    <w:rsid w:val="00D97D2E"/>
    <w:rsid w:val="00DA280B"/>
    <w:rsid w:val="00DA3356"/>
    <w:rsid w:val="00DA360B"/>
    <w:rsid w:val="00DA36EE"/>
    <w:rsid w:val="00DA452E"/>
    <w:rsid w:val="00DA5128"/>
    <w:rsid w:val="00DA5220"/>
    <w:rsid w:val="00DB308D"/>
    <w:rsid w:val="00DB5F40"/>
    <w:rsid w:val="00DB6A9A"/>
    <w:rsid w:val="00DC0B9E"/>
    <w:rsid w:val="00DD1E47"/>
    <w:rsid w:val="00DD61A9"/>
    <w:rsid w:val="00DD6EF1"/>
    <w:rsid w:val="00DE2FA8"/>
    <w:rsid w:val="00DE3883"/>
    <w:rsid w:val="00DE4958"/>
    <w:rsid w:val="00DE5707"/>
    <w:rsid w:val="00DE7224"/>
    <w:rsid w:val="00DF08EA"/>
    <w:rsid w:val="00DF71EE"/>
    <w:rsid w:val="00E0246D"/>
    <w:rsid w:val="00E03878"/>
    <w:rsid w:val="00E04361"/>
    <w:rsid w:val="00E064FD"/>
    <w:rsid w:val="00E067E4"/>
    <w:rsid w:val="00E1053A"/>
    <w:rsid w:val="00E1290F"/>
    <w:rsid w:val="00E238A5"/>
    <w:rsid w:val="00E2462F"/>
    <w:rsid w:val="00E26AF3"/>
    <w:rsid w:val="00E276E0"/>
    <w:rsid w:val="00E27B06"/>
    <w:rsid w:val="00E30E8D"/>
    <w:rsid w:val="00E314EA"/>
    <w:rsid w:val="00E32428"/>
    <w:rsid w:val="00E326B0"/>
    <w:rsid w:val="00E33FDA"/>
    <w:rsid w:val="00E406D5"/>
    <w:rsid w:val="00E4625D"/>
    <w:rsid w:val="00E50B29"/>
    <w:rsid w:val="00E51770"/>
    <w:rsid w:val="00E56701"/>
    <w:rsid w:val="00E62754"/>
    <w:rsid w:val="00E637F1"/>
    <w:rsid w:val="00E64D2D"/>
    <w:rsid w:val="00E6697D"/>
    <w:rsid w:val="00E75E0E"/>
    <w:rsid w:val="00E86B53"/>
    <w:rsid w:val="00E9110B"/>
    <w:rsid w:val="00E925B5"/>
    <w:rsid w:val="00EA2B6F"/>
    <w:rsid w:val="00EA3DDE"/>
    <w:rsid w:val="00EB3478"/>
    <w:rsid w:val="00EB4B39"/>
    <w:rsid w:val="00EB6AF7"/>
    <w:rsid w:val="00EB6FE3"/>
    <w:rsid w:val="00EC1370"/>
    <w:rsid w:val="00ED1555"/>
    <w:rsid w:val="00ED4789"/>
    <w:rsid w:val="00EE0F65"/>
    <w:rsid w:val="00EF7A4D"/>
    <w:rsid w:val="00F1186A"/>
    <w:rsid w:val="00F12955"/>
    <w:rsid w:val="00F15A08"/>
    <w:rsid w:val="00F22293"/>
    <w:rsid w:val="00F246A1"/>
    <w:rsid w:val="00F354AD"/>
    <w:rsid w:val="00F37917"/>
    <w:rsid w:val="00F45FDB"/>
    <w:rsid w:val="00F5155D"/>
    <w:rsid w:val="00F532F2"/>
    <w:rsid w:val="00F5513E"/>
    <w:rsid w:val="00F572E2"/>
    <w:rsid w:val="00F63F3F"/>
    <w:rsid w:val="00F66FA5"/>
    <w:rsid w:val="00F7130A"/>
    <w:rsid w:val="00F71678"/>
    <w:rsid w:val="00F730E3"/>
    <w:rsid w:val="00F755E9"/>
    <w:rsid w:val="00F84415"/>
    <w:rsid w:val="00F86CB6"/>
    <w:rsid w:val="00F909CD"/>
    <w:rsid w:val="00F950CD"/>
    <w:rsid w:val="00F974D1"/>
    <w:rsid w:val="00FA16E0"/>
    <w:rsid w:val="00FA4065"/>
    <w:rsid w:val="00FB54A0"/>
    <w:rsid w:val="00FB704C"/>
    <w:rsid w:val="00FB75DF"/>
    <w:rsid w:val="00FC4397"/>
    <w:rsid w:val="00FC4532"/>
    <w:rsid w:val="00FD05AD"/>
    <w:rsid w:val="00FD0666"/>
    <w:rsid w:val="00FD1AE1"/>
    <w:rsid w:val="00FD4FAC"/>
    <w:rsid w:val="00FD7295"/>
    <w:rsid w:val="00FE2187"/>
    <w:rsid w:val="00FE320C"/>
    <w:rsid w:val="00FF196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Ind w:w="0" w:type="dxa"/>
      <w:tblBorders>
        <w:bottom w:val="single" w:sz="2" w:space="0" w:color="4F2D7F" w:themeColor="accent1"/>
        <w:insideH w:val="single" w:sz="2" w:space="0" w:color="4F2D7F" w:themeColor="accent1"/>
      </w:tblBorders>
      <w:tblCellMar>
        <w:top w:w="0" w:type="dxa"/>
        <w:left w:w="28" w:type="dxa"/>
        <w:bottom w:w="0"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Ind w:w="0" w:type="dxa"/>
      <w:tblCellMar>
        <w:top w:w="0" w:type="dxa"/>
        <w:left w:w="108" w:type="dxa"/>
        <w:bottom w:w="0" w:type="dxa"/>
        <w:right w:w="108" w:type="dxa"/>
      </w:tblCellMar>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Ind w:w="0" w:type="dxa"/>
      <w:tblCellMar>
        <w:top w:w="0" w:type="dxa"/>
        <w:left w:w="108" w:type="dxa"/>
        <w:bottom w:w="0" w:type="dxa"/>
        <w:right w:w="108" w:type="dxa"/>
      </w:tblCellMar>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Ind w:w="0" w:type="dxa"/>
      <w:tblCellMar>
        <w:top w:w="0" w:type="dxa"/>
        <w:left w:w="108" w:type="dxa"/>
        <w:bottom w:w="0" w:type="dxa"/>
        <w:right w:w="108" w:type="dxa"/>
      </w:tblCellMar>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Ind w:w="0" w:type="dxa"/>
      <w:tblCellMar>
        <w:top w:w="0" w:type="dxa"/>
        <w:left w:w="108" w:type="dxa"/>
        <w:bottom w:w="0" w:type="dxa"/>
        <w:right w:w="108" w:type="dxa"/>
      </w:tblCellMar>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Ind w:w="0" w:type="dxa"/>
      <w:tblCellMar>
        <w:top w:w="0" w:type="dxa"/>
        <w:left w:w="108" w:type="dxa"/>
        <w:bottom w:w="0" w:type="dxa"/>
        <w:right w:w="108" w:type="dxa"/>
      </w:tblCellMar>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Ind w:w="0" w:type="dxa"/>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Ind w:w="0" w:type="dxa"/>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Ind w:w="0" w:type="dxa"/>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Ind w:w="0" w:type="dxa"/>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Ind w:w="0" w:type="dxa"/>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Ind w:w="0" w:type="dxa"/>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Ind w:w="0" w:type="dxa"/>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Ind w:w="0" w:type="dxa"/>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CellMar>
        <w:top w:w="0" w:type="dxa"/>
        <w:left w:w="108" w:type="dxa"/>
        <w:bottom w:w="0" w:type="dxa"/>
        <w:right w:w="108" w:type="dxa"/>
      </w:tblCellMar>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Ind w:w="0" w:type="dxa"/>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CellMar>
        <w:top w:w="0" w:type="dxa"/>
        <w:left w:w="108" w:type="dxa"/>
        <w:bottom w:w="0" w:type="dxa"/>
        <w:right w:w="108" w:type="dxa"/>
      </w:tblCellMar>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Ind w:w="0" w:type="dxa"/>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CellMar>
        <w:top w:w="0" w:type="dxa"/>
        <w:left w:w="108" w:type="dxa"/>
        <w:bottom w:w="0" w:type="dxa"/>
        <w:right w:w="108" w:type="dxa"/>
      </w:tblCellMar>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Ind w:w="0" w:type="dxa"/>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CellMar>
        <w:top w:w="0" w:type="dxa"/>
        <w:left w:w="108" w:type="dxa"/>
        <w:bottom w:w="0" w:type="dxa"/>
        <w:right w:w="108" w:type="dxa"/>
      </w:tblCellMar>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Ind w:w="0" w:type="dxa"/>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CellMar>
        <w:top w:w="0" w:type="dxa"/>
        <w:left w:w="108" w:type="dxa"/>
        <w:bottom w:w="0" w:type="dxa"/>
        <w:right w:w="108" w:type="dxa"/>
      </w:tblCellMar>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Ind w:w="0" w:type="dxa"/>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CellMar>
        <w:top w:w="0" w:type="dxa"/>
        <w:left w:w="108" w:type="dxa"/>
        <w:bottom w:w="0" w:type="dxa"/>
        <w:right w:w="108" w:type="dxa"/>
      </w:tblCellMar>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Ind w:w="0" w:type="dxa"/>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CellMar>
        <w:top w:w="0" w:type="dxa"/>
        <w:left w:w="108" w:type="dxa"/>
        <w:bottom w:w="0" w:type="dxa"/>
        <w:right w:w="108" w:type="dxa"/>
      </w:tblCellMar>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Ind w:w="0" w:type="dxa"/>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CellMar>
        <w:top w:w="0" w:type="dxa"/>
        <w:left w:w="108" w:type="dxa"/>
        <w:bottom w:w="0" w:type="dxa"/>
        <w:right w:w="108" w:type="dxa"/>
      </w:tblCellMar>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Ind w:w="0" w:type="dxa"/>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CellMar>
        <w:top w:w="0" w:type="dxa"/>
        <w:left w:w="108" w:type="dxa"/>
        <w:bottom w:w="0" w:type="dxa"/>
        <w:right w:w="108" w:type="dxa"/>
      </w:tblCellMar>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Ind w:w="0" w:type="dxa"/>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CellMar>
        <w:top w:w="0" w:type="dxa"/>
        <w:left w:w="108" w:type="dxa"/>
        <w:bottom w:w="0" w:type="dxa"/>
        <w:right w:w="108" w:type="dxa"/>
      </w:tblCellMar>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Ind w:w="0" w:type="dxa"/>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CellMar>
        <w:top w:w="0" w:type="dxa"/>
        <w:left w:w="108" w:type="dxa"/>
        <w:bottom w:w="0" w:type="dxa"/>
        <w:right w:w="108" w:type="dxa"/>
      </w:tblCellMar>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Ind w:w="0" w:type="dxa"/>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CellMar>
        <w:top w:w="0" w:type="dxa"/>
        <w:left w:w="108" w:type="dxa"/>
        <w:bottom w:w="0" w:type="dxa"/>
        <w:right w:w="108" w:type="dxa"/>
      </w:tblCellMar>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Ind w:w="0" w:type="dxa"/>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Ind w:w="0" w:type="dxa"/>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Ind w:w="0" w:type="dxa"/>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Ind w:w="0" w:type="dxa"/>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Ind w:w="0" w:type="dxa"/>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Ind w:w="0" w:type="dxa"/>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Ind w:w="0" w:type="dxa"/>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Ind w:w="0" w:type="dxa"/>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Ind w:w="0" w:type="dxa"/>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Ind w:w="0" w:type="dxa"/>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Ind w:w="0" w:type="dxa"/>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Ind w:w="0" w:type="dxa"/>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Ind w:w="0" w:type="dxa"/>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CellMar>
        <w:top w:w="0" w:type="dxa"/>
        <w:left w:w="108" w:type="dxa"/>
        <w:bottom w:w="0" w:type="dxa"/>
        <w:right w:w="108" w:type="dxa"/>
      </w:tblCellMar>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Ind w:w="0" w:type="dxa"/>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CellMar>
        <w:top w:w="0" w:type="dxa"/>
        <w:left w:w="108" w:type="dxa"/>
        <w:bottom w:w="0" w:type="dxa"/>
        <w:right w:w="108" w:type="dxa"/>
      </w:tblCellMar>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Ind w:w="0" w:type="dxa"/>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CellMar>
        <w:top w:w="0" w:type="dxa"/>
        <w:left w:w="108" w:type="dxa"/>
        <w:bottom w:w="0" w:type="dxa"/>
        <w:right w:w="108" w:type="dxa"/>
      </w:tblCellMar>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Ind w:w="0" w:type="dxa"/>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CellMar>
        <w:top w:w="0" w:type="dxa"/>
        <w:left w:w="108" w:type="dxa"/>
        <w:bottom w:w="0" w:type="dxa"/>
        <w:right w:w="108" w:type="dxa"/>
      </w:tblCellMar>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Ind w:w="0" w:type="dxa"/>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CellMar>
        <w:top w:w="0" w:type="dxa"/>
        <w:left w:w="108" w:type="dxa"/>
        <w:bottom w:w="0" w:type="dxa"/>
        <w:right w:w="108" w:type="dxa"/>
      </w:tblCellMar>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Ind w:w="0" w:type="dxa"/>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CellMar>
        <w:top w:w="0" w:type="dxa"/>
        <w:left w:w="108" w:type="dxa"/>
        <w:bottom w:w="0" w:type="dxa"/>
        <w:right w:w="108" w:type="dxa"/>
      </w:tblCellMar>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Ind w:w="0" w:type="dxa"/>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Ind w:w="0" w:type="dxa"/>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Ind w:w="0" w:type="dxa"/>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Ind w:w="0" w:type="dxa"/>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Ind w:w="0" w:type="dxa"/>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Ind w:w="0" w:type="dxa"/>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Ind w:w="0" w:type="dxa"/>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Ind w:w="0" w:type="dxa"/>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Ind w:w="0" w:type="dxa"/>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Ind w:w="0" w:type="dxa"/>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Ind w:w="0" w:type="dxa"/>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Ind w:w="0" w:type="dxa"/>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Ind w:w="0" w:type="dxa"/>
      <w:tblBorders>
        <w:top w:val="single" w:sz="8" w:space="0" w:color="4F2D7F" w:themeColor="accent1"/>
        <w:left w:val="single" w:sz="8" w:space="0" w:color="4F2D7F" w:themeColor="accent1"/>
        <w:bottom w:val="single" w:sz="8" w:space="0" w:color="4F2D7F" w:themeColor="accent1"/>
        <w:right w:val="single" w:sz="8" w:space="0" w:color="4F2D7F"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Ind w:w="0" w:type="dxa"/>
      <w:tblBorders>
        <w:top w:val="single" w:sz="8" w:space="0" w:color="C8BEAF" w:themeColor="accent2"/>
        <w:left w:val="single" w:sz="8" w:space="0" w:color="C8BEAF" w:themeColor="accent2"/>
        <w:bottom w:val="single" w:sz="8" w:space="0" w:color="C8BEAF" w:themeColor="accent2"/>
        <w:right w:val="single" w:sz="8" w:space="0" w:color="C8BEAF"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Ind w:w="0" w:type="dxa"/>
      <w:tblBorders>
        <w:top w:val="single" w:sz="8" w:space="0" w:color="00A7B5" w:themeColor="accent3"/>
        <w:left w:val="single" w:sz="8" w:space="0" w:color="00A7B5" w:themeColor="accent3"/>
        <w:bottom w:val="single" w:sz="8" w:space="0" w:color="00A7B5" w:themeColor="accent3"/>
        <w:right w:val="single" w:sz="8" w:space="0" w:color="00A7B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Ind w:w="0" w:type="dxa"/>
      <w:tblBorders>
        <w:top w:val="single" w:sz="8" w:space="0" w:color="FF7D1E" w:themeColor="accent4"/>
        <w:left w:val="single" w:sz="8" w:space="0" w:color="FF7D1E" w:themeColor="accent4"/>
        <w:bottom w:val="single" w:sz="8" w:space="0" w:color="FF7D1E" w:themeColor="accent4"/>
        <w:right w:val="single" w:sz="8" w:space="0" w:color="FF7D1E"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Ind w:w="0" w:type="dxa"/>
      <w:tblBorders>
        <w:top w:val="single" w:sz="8" w:space="0" w:color="9BD732" w:themeColor="accent5"/>
        <w:left w:val="single" w:sz="8" w:space="0" w:color="9BD732" w:themeColor="accent5"/>
        <w:bottom w:val="single" w:sz="8" w:space="0" w:color="9BD732" w:themeColor="accent5"/>
        <w:right w:val="single" w:sz="8" w:space="0" w:color="9BD732"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Ind w:w="0" w:type="dxa"/>
      <w:tblBorders>
        <w:top w:val="single" w:sz="8" w:space="0" w:color="E92841" w:themeColor="accent6"/>
        <w:left w:val="single" w:sz="8" w:space="0" w:color="E92841" w:themeColor="accent6"/>
        <w:bottom w:val="single" w:sz="8" w:space="0" w:color="E92841" w:themeColor="accent6"/>
        <w:right w:val="single" w:sz="8" w:space="0" w:color="E92841"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Ind w:w="0" w:type="dxa"/>
      <w:tblBorders>
        <w:top w:val="single" w:sz="8" w:space="0" w:color="4F2D7F" w:themeColor="accent1"/>
        <w:bottom w:val="single" w:sz="8" w:space="0" w:color="4F2D7F"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Ind w:w="0" w:type="dxa"/>
      <w:tblBorders>
        <w:top w:val="single" w:sz="8" w:space="0" w:color="C8BEAF" w:themeColor="accent2"/>
        <w:bottom w:val="single" w:sz="8" w:space="0" w:color="C8BEAF"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Ind w:w="0" w:type="dxa"/>
      <w:tblBorders>
        <w:top w:val="single" w:sz="8" w:space="0" w:color="00A7B5" w:themeColor="accent3"/>
        <w:bottom w:val="single" w:sz="8" w:space="0" w:color="00A7B5"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Ind w:w="0" w:type="dxa"/>
      <w:tblBorders>
        <w:top w:val="single" w:sz="8" w:space="0" w:color="FF7D1E" w:themeColor="accent4"/>
        <w:bottom w:val="single" w:sz="8" w:space="0" w:color="FF7D1E"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Ind w:w="0" w:type="dxa"/>
      <w:tblBorders>
        <w:top w:val="single" w:sz="8" w:space="0" w:color="9BD732" w:themeColor="accent5"/>
        <w:bottom w:val="single" w:sz="8" w:space="0" w:color="9BD732"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Ind w:w="0" w:type="dxa"/>
      <w:tblBorders>
        <w:top w:val="single" w:sz="8" w:space="0" w:color="E92841" w:themeColor="accent6"/>
        <w:bottom w:val="single" w:sz="8" w:space="0" w:color="E92841"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Ind w:w="0" w:type="dxa"/>
      <w:tblBorders>
        <w:top w:val="single" w:sz="4" w:space="0" w:color="666666" w:themeColor="text1" w:themeTint="99"/>
        <w:bottom w:val="single" w:sz="4" w:space="0" w:color="666666" w:themeColor="text1" w:themeTint="99"/>
        <w:insideH w:val="single" w:sz="4" w:space="0" w:color="666666" w:themeColor="tex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Ind w:w="0" w:type="dxa"/>
      <w:tblBorders>
        <w:top w:val="single" w:sz="4" w:space="0" w:color="9069CA" w:themeColor="accent1" w:themeTint="99"/>
        <w:bottom w:val="single" w:sz="4" w:space="0" w:color="9069CA" w:themeColor="accent1" w:themeTint="99"/>
        <w:insideH w:val="single" w:sz="4" w:space="0" w:color="9069CA" w:themeColor="accen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Ind w:w="0" w:type="dxa"/>
      <w:tblBorders>
        <w:top w:val="single" w:sz="4" w:space="0" w:color="DED8CF" w:themeColor="accent2" w:themeTint="99"/>
        <w:bottom w:val="single" w:sz="4" w:space="0" w:color="DED8CF" w:themeColor="accent2" w:themeTint="99"/>
        <w:insideH w:val="single" w:sz="4" w:space="0" w:color="DED8CF" w:themeColor="accent2"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Ind w:w="0" w:type="dxa"/>
      <w:tblBorders>
        <w:top w:val="single" w:sz="4" w:space="0" w:color="39EFFF" w:themeColor="accent3" w:themeTint="99"/>
        <w:bottom w:val="single" w:sz="4" w:space="0" w:color="39EFFF" w:themeColor="accent3" w:themeTint="99"/>
        <w:insideH w:val="single" w:sz="4" w:space="0" w:color="39EFFF" w:themeColor="accent3"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Ind w:w="0" w:type="dxa"/>
      <w:tblBorders>
        <w:top w:val="single" w:sz="4" w:space="0" w:color="FFB078" w:themeColor="accent4" w:themeTint="99"/>
        <w:bottom w:val="single" w:sz="4" w:space="0" w:color="FFB078" w:themeColor="accent4" w:themeTint="99"/>
        <w:insideH w:val="single" w:sz="4" w:space="0" w:color="FFB078" w:themeColor="accent4"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Ind w:w="0" w:type="dxa"/>
      <w:tblBorders>
        <w:top w:val="single" w:sz="4" w:space="0" w:color="C2E784" w:themeColor="accent5" w:themeTint="99"/>
        <w:bottom w:val="single" w:sz="4" w:space="0" w:color="C2E784" w:themeColor="accent5" w:themeTint="99"/>
        <w:insideH w:val="single" w:sz="4" w:space="0" w:color="C2E784" w:themeColor="accent5"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Ind w:w="0" w:type="dxa"/>
      <w:tblBorders>
        <w:top w:val="single" w:sz="4" w:space="0" w:color="F17D8C" w:themeColor="accent6" w:themeTint="99"/>
        <w:bottom w:val="single" w:sz="4" w:space="0" w:color="F17D8C" w:themeColor="accent6" w:themeTint="99"/>
        <w:insideH w:val="single" w:sz="4" w:space="0" w:color="F17D8C" w:themeColor="accent6"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Ind w:w="0" w:type="dxa"/>
      <w:tblBorders>
        <w:top w:val="single" w:sz="4" w:space="0" w:color="4F2D7F" w:themeColor="accent1"/>
        <w:left w:val="single" w:sz="4" w:space="0" w:color="4F2D7F" w:themeColor="accent1"/>
        <w:bottom w:val="single" w:sz="4" w:space="0" w:color="4F2D7F" w:themeColor="accent1"/>
        <w:right w:val="single" w:sz="4" w:space="0" w:color="4F2D7F" w:themeColor="accent1"/>
      </w:tblBorders>
      <w:tblCellMar>
        <w:top w:w="0" w:type="dxa"/>
        <w:left w:w="108" w:type="dxa"/>
        <w:bottom w:w="0" w:type="dxa"/>
        <w:right w:w="108" w:type="dxa"/>
      </w:tblCellMar>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Ind w:w="0" w:type="dxa"/>
      <w:tblBorders>
        <w:top w:val="single" w:sz="4" w:space="0" w:color="C8BEAF" w:themeColor="accent2"/>
        <w:left w:val="single" w:sz="4" w:space="0" w:color="C8BEAF" w:themeColor="accent2"/>
        <w:bottom w:val="single" w:sz="4" w:space="0" w:color="C8BEAF" w:themeColor="accent2"/>
        <w:right w:val="single" w:sz="4" w:space="0" w:color="C8BEAF" w:themeColor="accent2"/>
      </w:tblBorders>
      <w:tblCellMar>
        <w:top w:w="0" w:type="dxa"/>
        <w:left w:w="108" w:type="dxa"/>
        <w:bottom w:w="0" w:type="dxa"/>
        <w:right w:w="108" w:type="dxa"/>
      </w:tblCellMar>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Ind w:w="0" w:type="dxa"/>
      <w:tblBorders>
        <w:top w:val="single" w:sz="4" w:space="0" w:color="00A7B5" w:themeColor="accent3"/>
        <w:left w:val="single" w:sz="4" w:space="0" w:color="00A7B5" w:themeColor="accent3"/>
        <w:bottom w:val="single" w:sz="4" w:space="0" w:color="00A7B5" w:themeColor="accent3"/>
        <w:right w:val="single" w:sz="4" w:space="0" w:color="00A7B5" w:themeColor="accent3"/>
      </w:tblBorders>
      <w:tblCellMar>
        <w:top w:w="0" w:type="dxa"/>
        <w:left w:w="108" w:type="dxa"/>
        <w:bottom w:w="0" w:type="dxa"/>
        <w:right w:w="108" w:type="dxa"/>
      </w:tblCellMar>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Ind w:w="0" w:type="dxa"/>
      <w:tblBorders>
        <w:top w:val="single" w:sz="4" w:space="0" w:color="FF7D1E" w:themeColor="accent4"/>
        <w:left w:val="single" w:sz="4" w:space="0" w:color="FF7D1E" w:themeColor="accent4"/>
        <w:bottom w:val="single" w:sz="4" w:space="0" w:color="FF7D1E" w:themeColor="accent4"/>
        <w:right w:val="single" w:sz="4" w:space="0" w:color="FF7D1E" w:themeColor="accent4"/>
      </w:tblBorders>
      <w:tblCellMar>
        <w:top w:w="0" w:type="dxa"/>
        <w:left w:w="108" w:type="dxa"/>
        <w:bottom w:w="0" w:type="dxa"/>
        <w:right w:w="108" w:type="dxa"/>
      </w:tblCellMar>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Ind w:w="0" w:type="dxa"/>
      <w:tblBorders>
        <w:top w:val="single" w:sz="4" w:space="0" w:color="9BD732" w:themeColor="accent5"/>
        <w:left w:val="single" w:sz="4" w:space="0" w:color="9BD732" w:themeColor="accent5"/>
        <w:bottom w:val="single" w:sz="4" w:space="0" w:color="9BD732" w:themeColor="accent5"/>
        <w:right w:val="single" w:sz="4" w:space="0" w:color="9BD732" w:themeColor="accent5"/>
      </w:tblBorders>
      <w:tblCellMar>
        <w:top w:w="0" w:type="dxa"/>
        <w:left w:w="108" w:type="dxa"/>
        <w:bottom w:w="0" w:type="dxa"/>
        <w:right w:w="108" w:type="dxa"/>
      </w:tblCellMar>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Ind w:w="0" w:type="dxa"/>
      <w:tblBorders>
        <w:top w:val="single" w:sz="4" w:space="0" w:color="E92841" w:themeColor="accent6"/>
        <w:left w:val="single" w:sz="4" w:space="0" w:color="E92841" w:themeColor="accent6"/>
        <w:bottom w:val="single" w:sz="4" w:space="0" w:color="E92841" w:themeColor="accent6"/>
        <w:right w:val="single" w:sz="4" w:space="0" w:color="E92841" w:themeColor="accent6"/>
      </w:tblBorders>
      <w:tblCellMar>
        <w:top w:w="0" w:type="dxa"/>
        <w:left w:w="108" w:type="dxa"/>
        <w:bottom w:w="0" w:type="dxa"/>
        <w:right w:w="108" w:type="dxa"/>
      </w:tblCellMar>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Ind w:w="0" w:type="dxa"/>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Ind w:w="0" w:type="dxa"/>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Ind w:w="0" w:type="dxa"/>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Ind w:w="0" w:type="dxa"/>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Ind w:w="0" w:type="dxa"/>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Ind w:w="0" w:type="dxa"/>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Ind w:w="0" w:type="dxa"/>
      <w:tblBorders>
        <w:top w:val="single" w:sz="24" w:space="0" w:color="000000" w:themeColor="text1"/>
        <w:left w:val="single" w:sz="24" w:space="0" w:color="000000" w:themeColor="text1"/>
        <w:bottom w:val="single" w:sz="24" w:space="0" w:color="000000" w:themeColor="text1"/>
        <w:right w:val="single" w:sz="24" w:space="0" w:color="000000" w:themeColor="text1"/>
      </w:tblBorders>
      <w:tblCellMar>
        <w:top w:w="0" w:type="dxa"/>
        <w:left w:w="108" w:type="dxa"/>
        <w:bottom w:w="0" w:type="dxa"/>
        <w:right w:w="108" w:type="dxa"/>
      </w:tblCellMar>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Ind w:w="0" w:type="dxa"/>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CellMar>
        <w:top w:w="0" w:type="dxa"/>
        <w:left w:w="108" w:type="dxa"/>
        <w:bottom w:w="0" w:type="dxa"/>
        <w:right w:w="108" w:type="dxa"/>
      </w:tblCellMar>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Ind w:w="0" w:type="dxa"/>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CellMar>
        <w:top w:w="0" w:type="dxa"/>
        <w:left w:w="108" w:type="dxa"/>
        <w:bottom w:w="0" w:type="dxa"/>
        <w:right w:w="108" w:type="dxa"/>
      </w:tblCellMar>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Ind w:w="0" w:type="dxa"/>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CellMar>
        <w:top w:w="0" w:type="dxa"/>
        <w:left w:w="108" w:type="dxa"/>
        <w:bottom w:w="0" w:type="dxa"/>
        <w:right w:w="108" w:type="dxa"/>
      </w:tblCellMar>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Ind w:w="0" w:type="dxa"/>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CellMar>
        <w:top w:w="0" w:type="dxa"/>
        <w:left w:w="108" w:type="dxa"/>
        <w:bottom w:w="0" w:type="dxa"/>
        <w:right w:w="108" w:type="dxa"/>
      </w:tblCellMar>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Ind w:w="0" w:type="dxa"/>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CellMar>
        <w:top w:w="0" w:type="dxa"/>
        <w:left w:w="108" w:type="dxa"/>
        <w:bottom w:w="0" w:type="dxa"/>
        <w:right w:w="108" w:type="dxa"/>
      </w:tblCellMar>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Ind w:w="0" w:type="dxa"/>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CellMar>
        <w:top w:w="0" w:type="dxa"/>
        <w:left w:w="108" w:type="dxa"/>
        <w:bottom w:w="0" w:type="dxa"/>
        <w:right w:w="108" w:type="dxa"/>
      </w:tblCellMar>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Ind w:w="0" w:type="dxa"/>
      <w:tblBorders>
        <w:top w:val="single" w:sz="4" w:space="0" w:color="4F2D7F" w:themeColor="accent1"/>
        <w:bottom w:val="single" w:sz="4" w:space="0" w:color="4F2D7F" w:themeColor="accent1"/>
      </w:tblBorders>
      <w:tblCellMar>
        <w:top w:w="0" w:type="dxa"/>
        <w:left w:w="108" w:type="dxa"/>
        <w:bottom w:w="0" w:type="dxa"/>
        <w:right w:w="108" w:type="dxa"/>
      </w:tblCellMar>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Ind w:w="0" w:type="dxa"/>
      <w:tblBorders>
        <w:top w:val="single" w:sz="4" w:space="0" w:color="C8BEAF" w:themeColor="accent2"/>
        <w:bottom w:val="single" w:sz="4" w:space="0" w:color="C8BEAF" w:themeColor="accent2"/>
      </w:tblBorders>
      <w:tblCellMar>
        <w:top w:w="0" w:type="dxa"/>
        <w:left w:w="108" w:type="dxa"/>
        <w:bottom w:w="0" w:type="dxa"/>
        <w:right w:w="108" w:type="dxa"/>
      </w:tblCellMar>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Ind w:w="0" w:type="dxa"/>
      <w:tblBorders>
        <w:top w:val="single" w:sz="4" w:space="0" w:color="00A7B5" w:themeColor="accent3"/>
        <w:bottom w:val="single" w:sz="4" w:space="0" w:color="00A7B5" w:themeColor="accent3"/>
      </w:tblBorders>
      <w:tblCellMar>
        <w:top w:w="0" w:type="dxa"/>
        <w:left w:w="108" w:type="dxa"/>
        <w:bottom w:w="0" w:type="dxa"/>
        <w:right w:w="108" w:type="dxa"/>
      </w:tblCellMar>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Ind w:w="0" w:type="dxa"/>
      <w:tblBorders>
        <w:top w:val="single" w:sz="4" w:space="0" w:color="FF7D1E" w:themeColor="accent4"/>
        <w:bottom w:val="single" w:sz="4" w:space="0" w:color="FF7D1E" w:themeColor="accent4"/>
      </w:tblBorders>
      <w:tblCellMar>
        <w:top w:w="0" w:type="dxa"/>
        <w:left w:w="108" w:type="dxa"/>
        <w:bottom w:w="0" w:type="dxa"/>
        <w:right w:w="108" w:type="dxa"/>
      </w:tblCellMar>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Ind w:w="0" w:type="dxa"/>
      <w:tblBorders>
        <w:top w:val="single" w:sz="4" w:space="0" w:color="9BD732" w:themeColor="accent5"/>
        <w:bottom w:val="single" w:sz="4" w:space="0" w:color="9BD732" w:themeColor="accent5"/>
      </w:tblBorders>
      <w:tblCellMar>
        <w:top w:w="0" w:type="dxa"/>
        <w:left w:w="108" w:type="dxa"/>
        <w:bottom w:w="0" w:type="dxa"/>
        <w:right w:w="108" w:type="dxa"/>
      </w:tblCellMar>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Ind w:w="0" w:type="dxa"/>
      <w:tblBorders>
        <w:top w:val="single" w:sz="4" w:space="0" w:color="E92841" w:themeColor="accent6"/>
        <w:bottom w:val="single" w:sz="4" w:space="0" w:color="E92841" w:themeColor="accent6"/>
      </w:tblBorders>
      <w:tblCellMar>
        <w:top w:w="0" w:type="dxa"/>
        <w:left w:w="108" w:type="dxa"/>
        <w:bottom w:w="0" w:type="dxa"/>
        <w:right w:w="108" w:type="dxa"/>
      </w:tblCellMar>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Ind w:w="0" w:type="dxa"/>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CellMar>
        <w:top w:w="0" w:type="dxa"/>
        <w:left w:w="108" w:type="dxa"/>
        <w:bottom w:w="0" w:type="dxa"/>
        <w:right w:w="108" w:type="dxa"/>
      </w:tblCellMar>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Ind w:w="0" w:type="dxa"/>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CellMar>
        <w:top w:w="0" w:type="dxa"/>
        <w:left w:w="108" w:type="dxa"/>
        <w:bottom w:w="0" w:type="dxa"/>
        <w:right w:w="108" w:type="dxa"/>
      </w:tblCellMar>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Ind w:w="0" w:type="dxa"/>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CellMar>
        <w:top w:w="0" w:type="dxa"/>
        <w:left w:w="108" w:type="dxa"/>
        <w:bottom w:w="0" w:type="dxa"/>
        <w:right w:w="108" w:type="dxa"/>
      </w:tblCellMar>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Ind w:w="0" w:type="dxa"/>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CellMar>
        <w:top w:w="0" w:type="dxa"/>
        <w:left w:w="108" w:type="dxa"/>
        <w:bottom w:w="0" w:type="dxa"/>
        <w:right w:w="108" w:type="dxa"/>
      </w:tblCellMar>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Ind w:w="0" w:type="dxa"/>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CellMar>
        <w:top w:w="0" w:type="dxa"/>
        <w:left w:w="108" w:type="dxa"/>
        <w:bottom w:w="0" w:type="dxa"/>
        <w:right w:w="108" w:type="dxa"/>
      </w:tblCellMar>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Ind w:w="0" w:type="dxa"/>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CellMar>
        <w:top w:w="0" w:type="dxa"/>
        <w:left w:w="108" w:type="dxa"/>
        <w:bottom w:w="0" w:type="dxa"/>
        <w:right w:w="108" w:type="dxa"/>
      </w:tblCellMar>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CellMar>
        <w:top w:w="0" w:type="dxa"/>
        <w:left w:w="108" w:type="dxa"/>
        <w:bottom w:w="0" w:type="dxa"/>
        <w:right w:w="108" w:type="dxa"/>
      </w:tblCellMar>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CellMar>
        <w:top w:w="0" w:type="dxa"/>
        <w:left w:w="108" w:type="dxa"/>
        <w:bottom w:w="0" w:type="dxa"/>
        <w:right w:w="108" w:type="dxa"/>
      </w:tblCellMar>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CellMar>
        <w:top w:w="0" w:type="dxa"/>
        <w:left w:w="108" w:type="dxa"/>
        <w:bottom w:w="0" w:type="dxa"/>
        <w:right w:w="108" w:type="dxa"/>
      </w:tblCellMar>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CellMar>
        <w:top w:w="0" w:type="dxa"/>
        <w:left w:w="108" w:type="dxa"/>
        <w:bottom w:w="0" w:type="dxa"/>
        <w:right w:w="108" w:type="dxa"/>
      </w:tblCellMar>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CellMar>
        <w:top w:w="0" w:type="dxa"/>
        <w:left w:w="108" w:type="dxa"/>
        <w:bottom w:w="0" w:type="dxa"/>
        <w:right w:w="108" w:type="dxa"/>
      </w:tblCellMar>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CellMar>
        <w:top w:w="0" w:type="dxa"/>
        <w:left w:w="108" w:type="dxa"/>
        <w:bottom w:w="0" w:type="dxa"/>
        <w:right w:w="108" w:type="dxa"/>
      </w:tblCellMar>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Ind w:w="0" w:type="dxa"/>
      <w:tblBorders>
        <w:top w:val="single" w:sz="8" w:space="0" w:color="4F2D7F" w:themeColor="accent1"/>
        <w:bottom w:val="single" w:sz="8" w:space="0" w:color="4F2D7F"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Ind w:w="0" w:type="dxa"/>
      <w:tblBorders>
        <w:top w:val="single" w:sz="8" w:space="0" w:color="C8BEAF" w:themeColor="accent2"/>
        <w:bottom w:val="single" w:sz="8" w:space="0" w:color="C8BEAF"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Ind w:w="0" w:type="dxa"/>
      <w:tblBorders>
        <w:top w:val="single" w:sz="8" w:space="0" w:color="00A7B5" w:themeColor="accent3"/>
        <w:bottom w:val="single" w:sz="8" w:space="0" w:color="00A7B5"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Ind w:w="0" w:type="dxa"/>
      <w:tblBorders>
        <w:top w:val="single" w:sz="8" w:space="0" w:color="FF7D1E" w:themeColor="accent4"/>
        <w:bottom w:val="single" w:sz="8" w:space="0" w:color="FF7D1E"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Ind w:w="0" w:type="dxa"/>
      <w:tblBorders>
        <w:top w:val="single" w:sz="8" w:space="0" w:color="9BD732" w:themeColor="accent5"/>
        <w:bottom w:val="single" w:sz="8" w:space="0" w:color="9BD732"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Ind w:w="0" w:type="dxa"/>
      <w:tblBorders>
        <w:top w:val="single" w:sz="8" w:space="0" w:color="E92841" w:themeColor="accent6"/>
        <w:bottom w:val="single" w:sz="8" w:space="0" w:color="E92841"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4F2D7F" w:themeColor="accent1"/>
        <w:left w:val="single" w:sz="8" w:space="0" w:color="4F2D7F" w:themeColor="accent1"/>
        <w:bottom w:val="single" w:sz="8" w:space="0" w:color="4F2D7F" w:themeColor="accent1"/>
        <w:right w:val="single" w:sz="8" w:space="0" w:color="4F2D7F"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C8BEAF" w:themeColor="accent2"/>
        <w:left w:val="single" w:sz="8" w:space="0" w:color="C8BEAF" w:themeColor="accent2"/>
        <w:bottom w:val="single" w:sz="8" w:space="0" w:color="C8BEAF" w:themeColor="accent2"/>
        <w:right w:val="single" w:sz="8" w:space="0" w:color="C8BEAF"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00A7B5" w:themeColor="accent3"/>
        <w:left w:val="single" w:sz="8" w:space="0" w:color="00A7B5" w:themeColor="accent3"/>
        <w:bottom w:val="single" w:sz="8" w:space="0" w:color="00A7B5" w:themeColor="accent3"/>
        <w:right w:val="single" w:sz="8" w:space="0" w:color="00A7B5"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FF7D1E" w:themeColor="accent4"/>
        <w:left w:val="single" w:sz="8" w:space="0" w:color="FF7D1E" w:themeColor="accent4"/>
        <w:bottom w:val="single" w:sz="8" w:space="0" w:color="FF7D1E" w:themeColor="accent4"/>
        <w:right w:val="single" w:sz="8" w:space="0" w:color="FF7D1E"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9BD732" w:themeColor="accent5"/>
        <w:left w:val="single" w:sz="8" w:space="0" w:color="9BD732" w:themeColor="accent5"/>
        <w:bottom w:val="single" w:sz="8" w:space="0" w:color="9BD732" w:themeColor="accent5"/>
        <w:right w:val="single" w:sz="8" w:space="0" w:color="9BD732"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E92841" w:themeColor="accent6"/>
        <w:left w:val="single" w:sz="8" w:space="0" w:color="E92841" w:themeColor="accent6"/>
        <w:bottom w:val="single" w:sz="8" w:space="0" w:color="E92841" w:themeColor="accent6"/>
        <w:right w:val="single" w:sz="8" w:space="0" w:color="E92841"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Ind w:w="0" w:type="dxa"/>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Ind w:w="0" w:type="dxa"/>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Ind w:w="0" w:type="dxa"/>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Ind w:w="0" w:type="dxa"/>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Ind w:w="0" w:type="dxa"/>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Ind w:w="0" w:type="dxa"/>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TableList1">
    <w:name w:val="Table List 1"/>
    <w:basedOn w:val="TableNormal"/>
    <w:semiHidden/>
    <w:unhideWhenUsed/>
    <w:rsid w:val="004A0DFE"/>
    <w:pPr>
      <w:spacing w:after="120" w:line="240" w:lineRule="atLeast"/>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4A0DFE"/>
    <w:pPr>
      <w:spacing w:after="120" w:line="240" w:lineRule="atLeast"/>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blInd w:w="0" w:type="dxa"/>
      <w:tblBorders>
        <w:bottom w:val="single" w:sz="2" w:space="0" w:color="4F2D7F" w:themeColor="accent1"/>
        <w:insideH w:val="single" w:sz="2" w:space="0" w:color="4F2D7F" w:themeColor="accent1"/>
      </w:tblBorders>
      <w:tblCellMar>
        <w:top w:w="0" w:type="dxa"/>
        <w:left w:w="28" w:type="dxa"/>
        <w:bottom w:w="0" w:type="dxa"/>
        <w:right w:w="28" w:type="dxa"/>
      </w:tblCellMar>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664A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52523736">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52591623">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586915533">
      <w:bodyDiv w:val="1"/>
      <w:marLeft w:val="0"/>
      <w:marRight w:val="0"/>
      <w:marTop w:val="0"/>
      <w:marBottom w:val="0"/>
      <w:divBdr>
        <w:top w:val="none" w:sz="0" w:space="0" w:color="auto"/>
        <w:left w:val="none" w:sz="0" w:space="0" w:color="auto"/>
        <w:bottom w:val="none" w:sz="0" w:space="0" w:color="auto"/>
        <w:right w:val="none" w:sz="0" w:space="0" w:color="auto"/>
      </w:divBdr>
    </w:div>
    <w:div w:id="2136411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E979FB67D1F74D922D49AD560C6773" ma:contentTypeVersion="6" ma:contentTypeDescription="Create a new document." ma:contentTypeScope="" ma:versionID="dcf9730999954140e8c6edbd46f7f8f2">
  <xsd:schema xmlns:xsd="http://www.w3.org/2001/XMLSchema" xmlns:xs="http://www.w3.org/2001/XMLSchema" xmlns:p="http://schemas.microsoft.com/office/2006/metadata/properties" xmlns:ns2="ec0ec48b-1e62-4ddc-947b-36e9c5812612" targetNamespace="http://schemas.microsoft.com/office/2006/metadata/properties" ma:root="true" ma:fieldsID="fee20ffd0d0b84e1e5cc4f5bdc419963" ns2:_="">
    <xsd:import namespace="ec0ec48b-1e62-4ddc-947b-36e9c58126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0ec48b-1e62-4ddc-947b-36e9c58126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08345-71E9-4DD4-A01F-0C71B51B93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0ec48b-1e62-4ddc-947b-36e9c5812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53C6451-A646-4957-AE08-A401A3D56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Template>
  <TotalTime>0</TotalTime>
  <Pages>3</Pages>
  <Words>970</Words>
  <Characters>5529</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6487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Windows User</cp:lastModifiedBy>
  <cp:revision>2</cp:revision>
  <cp:lastPrinted>2021-08-13T11:59:00Z</cp:lastPrinted>
  <dcterms:created xsi:type="dcterms:W3CDTF">2021-11-12T12:33:00Z</dcterms:created>
  <dcterms:modified xsi:type="dcterms:W3CDTF">2021-11-12T12:33:00Z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0x010100C4E979FB67D1F74D922D49AD560C6773</vt:lpwstr>
  </property>
</Properties>
</file>