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6351" w14:textId="77777777" w:rsidR="00693A59" w:rsidRDefault="00693A59" w:rsidP="00693A59">
      <w:pPr>
        <w:spacing w:line="240" w:lineRule="atLeast"/>
        <w:ind w:left="-135"/>
        <w:jc w:val="center"/>
        <w:rPr>
          <w:rFonts w:ascii="Times New Roman" w:hAnsi="Times New Roman" w:cstheme="minorBidi"/>
          <w:sz w:val="22"/>
          <w:szCs w:val="22"/>
          <w:cs/>
        </w:rPr>
      </w:pPr>
    </w:p>
    <w:p w14:paraId="07CA1576" w14:textId="77777777" w:rsidR="00693A59" w:rsidRDefault="00693A59" w:rsidP="00693A59">
      <w:pPr>
        <w:spacing w:line="240" w:lineRule="atLeast"/>
        <w:ind w:left="-135"/>
        <w:jc w:val="center"/>
        <w:rPr>
          <w:rFonts w:ascii="Times New Roman" w:hAnsi="Times New Roman" w:cs="Times New Roman"/>
          <w:sz w:val="22"/>
          <w:szCs w:val="22"/>
          <w:cs/>
        </w:rPr>
      </w:pPr>
    </w:p>
    <w:p w14:paraId="6EA60D15" w14:textId="77777777" w:rsidR="00693A59" w:rsidRDefault="00693A59" w:rsidP="00693A59">
      <w:pPr>
        <w:spacing w:line="240" w:lineRule="atLeast"/>
        <w:ind w:left="-135"/>
        <w:jc w:val="center"/>
        <w:rPr>
          <w:rFonts w:ascii="Times New Roman" w:hAnsi="Times New Roman" w:cs="Times New Roman"/>
          <w:sz w:val="22"/>
          <w:szCs w:val="22"/>
        </w:rPr>
      </w:pPr>
    </w:p>
    <w:p w14:paraId="7350C7D3" w14:textId="77777777" w:rsidR="00693A59" w:rsidRDefault="00693A59" w:rsidP="00693A59">
      <w:pPr>
        <w:spacing w:line="240" w:lineRule="atLeast"/>
        <w:ind w:left="-135"/>
        <w:jc w:val="center"/>
        <w:rPr>
          <w:rFonts w:ascii="Times New Roman" w:hAnsi="Times New Roman" w:cs="Times New Roman"/>
          <w:sz w:val="22"/>
          <w:szCs w:val="22"/>
        </w:rPr>
      </w:pPr>
    </w:p>
    <w:p w14:paraId="7D0EEAC0" w14:textId="77777777" w:rsidR="00693A59" w:rsidRDefault="00693A59" w:rsidP="00693A59">
      <w:pPr>
        <w:spacing w:line="240" w:lineRule="atLeast"/>
        <w:ind w:left="-135"/>
        <w:jc w:val="center"/>
        <w:rPr>
          <w:rFonts w:ascii="Times New Roman" w:hAnsi="Times New Roman" w:cs="Times New Roman"/>
          <w:sz w:val="22"/>
          <w:szCs w:val="22"/>
        </w:rPr>
      </w:pPr>
    </w:p>
    <w:p w14:paraId="4050C6C1" w14:textId="77777777" w:rsidR="00693A59" w:rsidRDefault="00693A59" w:rsidP="00693A59">
      <w:pPr>
        <w:spacing w:line="240" w:lineRule="atLeast"/>
        <w:ind w:left="-135"/>
        <w:jc w:val="center"/>
        <w:rPr>
          <w:rFonts w:ascii="Times New Roman" w:hAnsi="Times New Roman" w:cs="Times New Roman"/>
          <w:sz w:val="22"/>
          <w:szCs w:val="22"/>
        </w:rPr>
      </w:pPr>
    </w:p>
    <w:p w14:paraId="75E5AF74" w14:textId="77777777" w:rsidR="00693A59" w:rsidRDefault="00693A59" w:rsidP="00693A59">
      <w:pPr>
        <w:spacing w:line="240" w:lineRule="atLeast"/>
        <w:ind w:left="-135"/>
        <w:jc w:val="center"/>
        <w:rPr>
          <w:rFonts w:ascii="Times New Roman" w:hAnsi="Times New Roman" w:cs="Times New Roman"/>
          <w:sz w:val="22"/>
          <w:szCs w:val="22"/>
        </w:rPr>
      </w:pPr>
    </w:p>
    <w:p w14:paraId="0788F113" w14:textId="77777777" w:rsidR="00693A59" w:rsidRDefault="00693A59" w:rsidP="00693A59">
      <w:pPr>
        <w:spacing w:line="240" w:lineRule="atLeast"/>
        <w:ind w:left="-135"/>
        <w:jc w:val="center"/>
        <w:rPr>
          <w:rFonts w:ascii="Times New Roman" w:hAnsi="Times New Roman" w:cs="Times New Roman"/>
          <w:sz w:val="22"/>
          <w:szCs w:val="22"/>
        </w:rPr>
      </w:pPr>
    </w:p>
    <w:p w14:paraId="524FC0F7" w14:textId="58AA9301" w:rsidR="00693A59" w:rsidRDefault="00693A59" w:rsidP="00693A59">
      <w:pPr>
        <w:spacing w:line="240" w:lineRule="atLeast"/>
        <w:ind w:left="-135"/>
        <w:jc w:val="center"/>
        <w:rPr>
          <w:rFonts w:ascii="Times New Roman" w:hAnsi="Times New Roman" w:cstheme="minorBidi"/>
          <w:b/>
          <w:bCs/>
          <w:sz w:val="40"/>
          <w:szCs w:val="40"/>
        </w:rPr>
      </w:pPr>
    </w:p>
    <w:p w14:paraId="22D66DF3" w14:textId="1744BBED" w:rsidR="00693A59" w:rsidRDefault="00693A59" w:rsidP="00693A59">
      <w:pPr>
        <w:spacing w:line="240" w:lineRule="atLeast"/>
        <w:ind w:left="-135"/>
        <w:jc w:val="center"/>
        <w:rPr>
          <w:rFonts w:ascii="Times New Roman" w:hAnsi="Times New Roman" w:cstheme="minorBidi"/>
          <w:b/>
          <w:bCs/>
          <w:sz w:val="40"/>
          <w:szCs w:val="40"/>
        </w:rPr>
      </w:pPr>
    </w:p>
    <w:p w14:paraId="42EA32DD" w14:textId="2DAE11DE" w:rsidR="00693A59" w:rsidRDefault="00693A59" w:rsidP="00693A59">
      <w:pPr>
        <w:spacing w:line="240" w:lineRule="atLeast"/>
        <w:ind w:left="-135"/>
        <w:jc w:val="center"/>
        <w:rPr>
          <w:rFonts w:ascii="Times New Roman" w:hAnsi="Times New Roman" w:cstheme="minorBidi"/>
          <w:b/>
          <w:bCs/>
          <w:sz w:val="40"/>
          <w:szCs w:val="40"/>
        </w:rPr>
      </w:pPr>
    </w:p>
    <w:p w14:paraId="09F0335D" w14:textId="77777777" w:rsidR="00693A59" w:rsidRPr="00693A59" w:rsidRDefault="00693A59" w:rsidP="00693A59">
      <w:pPr>
        <w:spacing w:line="240" w:lineRule="atLeast"/>
        <w:ind w:left="-135"/>
        <w:jc w:val="center"/>
        <w:rPr>
          <w:rFonts w:ascii="Times New Roman" w:hAnsi="Times New Roman" w:cstheme="minorBidi"/>
          <w:b/>
          <w:bCs/>
          <w:sz w:val="40"/>
          <w:szCs w:val="40"/>
        </w:rPr>
      </w:pPr>
    </w:p>
    <w:p w14:paraId="147F52F2" w14:textId="77777777" w:rsidR="00693A59" w:rsidRDefault="00693A59" w:rsidP="00693A59">
      <w:pPr>
        <w:spacing w:line="240" w:lineRule="atLeast"/>
        <w:ind w:left="-135"/>
        <w:jc w:val="center"/>
        <w:rPr>
          <w:rFonts w:ascii="Times New Roman" w:hAnsi="Times New Roman" w:cs="Times New Roman"/>
          <w:b/>
          <w:bCs/>
          <w:sz w:val="40"/>
          <w:szCs w:val="40"/>
        </w:rPr>
      </w:pPr>
    </w:p>
    <w:p w14:paraId="739DBE8A" w14:textId="77777777" w:rsidR="00693A59" w:rsidRDefault="00693A59" w:rsidP="00693A59">
      <w:pPr>
        <w:spacing w:line="240" w:lineRule="atLeast"/>
        <w:ind w:left="-135"/>
        <w:jc w:val="center"/>
        <w:rPr>
          <w:rFonts w:ascii="Times New Roman" w:hAnsi="Times New Roman" w:cs="Times New Roman"/>
          <w:b/>
          <w:bCs/>
          <w:sz w:val="40"/>
          <w:szCs w:val="40"/>
        </w:rPr>
      </w:pPr>
      <w:r>
        <w:rPr>
          <w:rFonts w:ascii="Times New Roman" w:hAnsi="Times New Roman" w:cs="Times New Roman"/>
          <w:b/>
          <w:bCs/>
          <w:sz w:val="40"/>
          <w:szCs w:val="40"/>
        </w:rPr>
        <w:t>Charoen Pokphand Foods Public Company Limited</w:t>
      </w:r>
      <w:r>
        <w:rPr>
          <w:rFonts w:ascii="Times New Roman" w:hAnsi="Times New Roman" w:cs="Times New Roman"/>
          <w:b/>
          <w:bCs/>
          <w:sz w:val="40"/>
          <w:szCs w:val="40"/>
        </w:rPr>
        <w:br/>
        <w:t>and its Subsidiaries</w:t>
      </w:r>
    </w:p>
    <w:p w14:paraId="05A3AFEB" w14:textId="77777777" w:rsidR="00693A59" w:rsidRDefault="00693A59" w:rsidP="00693A59">
      <w:pPr>
        <w:spacing w:line="240" w:lineRule="atLeast"/>
        <w:rPr>
          <w:rFonts w:ascii="Times New Roman" w:hAnsi="Times New Roman" w:cs="Times New Roman"/>
          <w:b/>
          <w:bCs/>
          <w:sz w:val="40"/>
          <w:szCs w:val="40"/>
        </w:rPr>
      </w:pPr>
      <w:r>
        <w:rPr>
          <w:rFonts w:ascii="Times New Roman" w:hAnsi="Times New Roman" w:cs="Times New Roman"/>
          <w:b/>
          <w:bCs/>
          <w:sz w:val="40"/>
          <w:szCs w:val="40"/>
        </w:rPr>
        <w:t xml:space="preserve">  </w:t>
      </w:r>
    </w:p>
    <w:p w14:paraId="2E0082BA" w14:textId="77777777" w:rsidR="000E057A" w:rsidRPr="009B20EE" w:rsidRDefault="000E057A" w:rsidP="000E057A">
      <w:pPr>
        <w:pStyle w:val="CoverTitle"/>
        <w:spacing w:line="240" w:lineRule="auto"/>
        <w:jc w:val="center"/>
        <w:rPr>
          <w:spacing w:val="-3"/>
          <w:szCs w:val="36"/>
        </w:rPr>
      </w:pPr>
      <w:r w:rsidRPr="009B20EE">
        <w:rPr>
          <w:spacing w:val="-3"/>
          <w:szCs w:val="36"/>
        </w:rPr>
        <w:t>Interim financial statements</w:t>
      </w:r>
    </w:p>
    <w:p w14:paraId="64A3EFA9" w14:textId="77777777" w:rsidR="000E057A" w:rsidRPr="009B20EE" w:rsidRDefault="000E057A" w:rsidP="000E057A">
      <w:pPr>
        <w:ind w:left="-135"/>
        <w:jc w:val="center"/>
        <w:rPr>
          <w:rFonts w:ascii="Times New Roman" w:hAnsi="Times New Roman" w:cs="Times New Roman"/>
          <w:sz w:val="36"/>
          <w:szCs w:val="36"/>
        </w:rPr>
      </w:pPr>
      <w:r w:rsidRPr="009B20EE">
        <w:rPr>
          <w:rFonts w:ascii="Times New Roman" w:hAnsi="Times New Roman" w:cs="Times New Roman"/>
          <w:sz w:val="36"/>
          <w:szCs w:val="36"/>
        </w:rPr>
        <w:t>for the three-month period ended</w:t>
      </w:r>
    </w:p>
    <w:p w14:paraId="002E1B49" w14:textId="65015F11" w:rsidR="000E057A" w:rsidRPr="009B20EE" w:rsidRDefault="000E057A" w:rsidP="000E057A">
      <w:pPr>
        <w:shd w:val="clear" w:color="auto" w:fill="FFFFFF"/>
        <w:spacing w:line="240" w:lineRule="atLeast"/>
        <w:jc w:val="center"/>
        <w:rPr>
          <w:rFonts w:ascii="Times New Roman" w:hAnsi="Times New Roman" w:cs="Cordia New"/>
          <w:sz w:val="36"/>
          <w:szCs w:val="36"/>
          <w:shd w:val="clear" w:color="auto" w:fill="FFFFFF"/>
        </w:rPr>
      </w:pPr>
      <w:r w:rsidRPr="009B20EE">
        <w:rPr>
          <w:rFonts w:ascii="Times New Roman" w:hAnsi="Times New Roman" w:cs="Times New Roman"/>
          <w:sz w:val="36"/>
          <w:szCs w:val="36"/>
        </w:rPr>
        <w:t>3</w:t>
      </w:r>
      <w:r>
        <w:rPr>
          <w:rFonts w:ascii="Times New Roman" w:hAnsi="Times New Roman" w:cs="Times New Roman"/>
          <w:sz w:val="36"/>
          <w:szCs w:val="36"/>
        </w:rPr>
        <w:t>1</w:t>
      </w:r>
      <w:r w:rsidRPr="009B20EE">
        <w:rPr>
          <w:rFonts w:ascii="Times New Roman" w:hAnsi="Times New Roman" w:cs="Times New Roman"/>
          <w:sz w:val="36"/>
          <w:szCs w:val="36"/>
        </w:rPr>
        <w:t xml:space="preserve"> </w:t>
      </w:r>
      <w:r>
        <w:rPr>
          <w:rFonts w:ascii="Times New Roman" w:hAnsi="Times New Roman" w:cs="Times New Roman"/>
          <w:sz w:val="36"/>
          <w:szCs w:val="36"/>
        </w:rPr>
        <w:t>March</w:t>
      </w:r>
      <w:r w:rsidRPr="009B20EE">
        <w:rPr>
          <w:rFonts w:ascii="Times New Roman" w:hAnsi="Times New Roman" w:cs="Times New Roman"/>
          <w:sz w:val="36"/>
          <w:szCs w:val="36"/>
        </w:rPr>
        <w:t xml:space="preserve"> 20</w:t>
      </w:r>
      <w:r>
        <w:rPr>
          <w:rFonts w:ascii="Times New Roman" w:hAnsi="Times New Roman" w:cs="Times New Roman"/>
          <w:sz w:val="36"/>
          <w:szCs w:val="36"/>
        </w:rPr>
        <w:t>22</w:t>
      </w:r>
    </w:p>
    <w:p w14:paraId="03D980C9" w14:textId="77777777" w:rsidR="000E057A" w:rsidRPr="009B20EE" w:rsidRDefault="000E057A" w:rsidP="000E057A">
      <w:pPr>
        <w:shd w:val="clear" w:color="auto" w:fill="FFFFFF"/>
        <w:spacing w:line="240" w:lineRule="atLeast"/>
        <w:jc w:val="center"/>
        <w:rPr>
          <w:rFonts w:ascii="Times New Roman" w:hAnsi="Times New Roman" w:cs="Times New Roman"/>
          <w:sz w:val="36"/>
          <w:szCs w:val="36"/>
          <w:shd w:val="clear" w:color="auto" w:fill="FFFFFF"/>
        </w:rPr>
      </w:pPr>
      <w:r w:rsidRPr="009B20EE">
        <w:rPr>
          <w:rFonts w:ascii="Times New Roman" w:hAnsi="Times New Roman" w:cs="Times New Roman"/>
          <w:sz w:val="36"/>
          <w:szCs w:val="36"/>
          <w:shd w:val="clear" w:color="auto" w:fill="FFFFFF"/>
        </w:rPr>
        <w:t>and</w:t>
      </w:r>
    </w:p>
    <w:p w14:paraId="4A2E5A84" w14:textId="77777777" w:rsidR="000E057A" w:rsidRPr="009B20EE" w:rsidRDefault="000E057A" w:rsidP="000E057A">
      <w:pPr>
        <w:ind w:left="-135"/>
        <w:jc w:val="center"/>
        <w:rPr>
          <w:rFonts w:ascii="Times New Roman" w:hAnsi="Times New Roman" w:cs="Times New Roman"/>
          <w:sz w:val="22"/>
          <w:szCs w:val="22"/>
        </w:rPr>
      </w:pPr>
      <w:r w:rsidRPr="009B20EE">
        <w:rPr>
          <w:rFonts w:ascii="Times New Roman" w:hAnsi="Times New Roman" w:cs="Times New Roman"/>
          <w:spacing w:val="-3"/>
          <w:sz w:val="36"/>
          <w:szCs w:val="36"/>
        </w:rPr>
        <w:t>Independent auditor’s review report</w:t>
      </w:r>
    </w:p>
    <w:p w14:paraId="0B1A45D5" w14:textId="77777777" w:rsidR="00693A59" w:rsidRDefault="00693A59" w:rsidP="00693A59">
      <w:pPr>
        <w:rPr>
          <w:rFonts w:ascii="Times New Roman" w:hAnsi="Times New Roman" w:cs="Times New Roman"/>
          <w:sz w:val="22"/>
          <w:szCs w:val="22"/>
        </w:rPr>
      </w:pPr>
    </w:p>
    <w:p w14:paraId="09F5A6F1" w14:textId="77777777" w:rsidR="00693A59" w:rsidRDefault="00693A59" w:rsidP="00693A59">
      <w:pPr>
        <w:rPr>
          <w:rFonts w:ascii="Times New Roman" w:hAnsi="Times New Roman" w:cs="Times New Roman"/>
          <w:sz w:val="22"/>
          <w:szCs w:val="22"/>
        </w:rPr>
      </w:pPr>
    </w:p>
    <w:p w14:paraId="3012259F" w14:textId="77777777" w:rsidR="00693A59" w:rsidRDefault="00693A59" w:rsidP="00693A59">
      <w:pPr>
        <w:tabs>
          <w:tab w:val="center" w:pos="4802"/>
        </w:tabs>
        <w:rPr>
          <w:rFonts w:ascii="Times New Roman" w:hAnsi="Times New Roman" w:cs="Times New Roman"/>
          <w:sz w:val="22"/>
          <w:szCs w:val="22"/>
        </w:rPr>
      </w:pPr>
      <w:r>
        <w:rPr>
          <w:rFonts w:ascii="Times New Roman" w:hAnsi="Times New Roman" w:cs="Times New Roman"/>
          <w:sz w:val="22"/>
          <w:szCs w:val="22"/>
        </w:rPr>
        <w:tab/>
      </w:r>
    </w:p>
    <w:p w14:paraId="433A15D6" w14:textId="77777777" w:rsidR="00693A59" w:rsidRPr="00626948" w:rsidRDefault="00693A59" w:rsidP="00693A59">
      <w:pPr>
        <w:rPr>
          <w:rFonts w:ascii="Times New Roman" w:hAnsi="Times New Roman" w:cstheme="minorBidi" w:hint="cs"/>
          <w:sz w:val="22"/>
          <w:szCs w:val="22"/>
        </w:rPr>
        <w:sectPr w:rsidR="00693A59" w:rsidRPr="00626948">
          <w:pgSz w:w="11909" w:h="16834"/>
          <w:pgMar w:top="691" w:right="1152" w:bottom="576" w:left="1152" w:header="720" w:footer="576" w:gutter="0"/>
          <w:pgNumType w:start="0"/>
          <w:cols w:space="720"/>
        </w:sectPr>
      </w:pPr>
    </w:p>
    <w:p w14:paraId="3650A991" w14:textId="77777777" w:rsidR="00626948" w:rsidRDefault="00626948" w:rsidP="00626948">
      <w:pPr>
        <w:pStyle w:val="Caption"/>
      </w:pPr>
    </w:p>
    <w:p w14:paraId="4F85EA01" w14:textId="77777777" w:rsidR="00626948" w:rsidRDefault="00626948" w:rsidP="00626948">
      <w:pPr>
        <w:pStyle w:val="Caption"/>
      </w:pPr>
    </w:p>
    <w:p w14:paraId="5F6F0965" w14:textId="77777777" w:rsidR="00626948" w:rsidRDefault="00626948" w:rsidP="00626948">
      <w:pPr>
        <w:pStyle w:val="Caption"/>
      </w:pPr>
    </w:p>
    <w:p w14:paraId="41C84A26" w14:textId="77777777" w:rsidR="00626948" w:rsidRPr="009A62D4" w:rsidRDefault="00626948" w:rsidP="00626948"/>
    <w:p w14:paraId="3BD16135" w14:textId="77777777" w:rsidR="00626948" w:rsidRDefault="00626948" w:rsidP="00626948"/>
    <w:p w14:paraId="6A8AFA14" w14:textId="77777777" w:rsidR="00626948" w:rsidRDefault="00626948" w:rsidP="00626948">
      <w:pPr>
        <w:pStyle w:val="Caption"/>
      </w:pPr>
    </w:p>
    <w:p w14:paraId="70A8CA92" w14:textId="7785E083" w:rsidR="00626948" w:rsidRDefault="00626948" w:rsidP="00626948">
      <w:pPr>
        <w:pStyle w:val="Caption"/>
        <w:rPr>
          <w:rFonts w:hint="cs"/>
        </w:rPr>
      </w:pPr>
    </w:p>
    <w:p w14:paraId="1670462B" w14:textId="77777777" w:rsidR="00626948" w:rsidRDefault="00626948" w:rsidP="00626948"/>
    <w:p w14:paraId="6C408E4D" w14:textId="77777777" w:rsidR="00626948" w:rsidRDefault="00626948" w:rsidP="00626948">
      <w:pPr>
        <w:pStyle w:val="Caption"/>
      </w:pPr>
    </w:p>
    <w:p w14:paraId="03A00009" w14:textId="77777777" w:rsidR="00626948" w:rsidRDefault="00626948" w:rsidP="00626948">
      <w:pPr>
        <w:pStyle w:val="Caption"/>
        <w:rPr>
          <w:rFonts w:ascii="Times New Roman" w:hAnsi="Times New Roman" w:cs="Times New Roman"/>
          <w:sz w:val="28"/>
          <w:szCs w:val="28"/>
        </w:rPr>
      </w:pPr>
    </w:p>
    <w:p w14:paraId="2598537A" w14:textId="77777777" w:rsidR="00693A59" w:rsidRDefault="00693A59" w:rsidP="00693A59">
      <w:pPr>
        <w:pStyle w:val="Caption"/>
        <w:rPr>
          <w:rFonts w:ascii="Times New Roman" w:hAnsi="Times New Roman" w:cs="Times New Roman"/>
          <w:sz w:val="28"/>
          <w:szCs w:val="28"/>
        </w:rPr>
      </w:pPr>
      <w:r>
        <w:rPr>
          <w:rFonts w:ascii="Times New Roman" w:hAnsi="Times New Roman" w:cs="Times New Roman"/>
          <w:sz w:val="28"/>
          <w:szCs w:val="28"/>
        </w:rPr>
        <w:t>Independent Auditor’s Report on Review of Interim Financial Information</w:t>
      </w:r>
    </w:p>
    <w:p w14:paraId="5FC728B7" w14:textId="77777777" w:rsidR="00693A59" w:rsidRDefault="00693A59" w:rsidP="00693A59">
      <w:pPr>
        <w:pStyle w:val="Caption"/>
        <w:rPr>
          <w:rFonts w:ascii="Times New Roman" w:hAnsi="Times New Roman" w:cs="Times New Roman"/>
          <w:sz w:val="36"/>
          <w:szCs w:val="36"/>
        </w:rPr>
      </w:pPr>
    </w:p>
    <w:p w14:paraId="7671D390" w14:textId="77777777" w:rsidR="00693A59" w:rsidRDefault="00693A59" w:rsidP="00693A59">
      <w:pPr>
        <w:ind w:right="245"/>
        <w:jc w:val="both"/>
        <w:rPr>
          <w:rFonts w:ascii="Times New Roman" w:hAnsi="Times New Roman" w:cs="Times New Roman"/>
          <w:b/>
          <w:bCs/>
          <w:sz w:val="22"/>
          <w:szCs w:val="22"/>
        </w:rPr>
      </w:pPr>
    </w:p>
    <w:p w14:paraId="07CE2869" w14:textId="77777777" w:rsidR="00693A59" w:rsidRDefault="00693A59" w:rsidP="00693A59">
      <w:pPr>
        <w:ind w:right="245"/>
        <w:jc w:val="both"/>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Charoen Pokphand Foods Public Company Limited </w:t>
      </w:r>
    </w:p>
    <w:p w14:paraId="0AF1099B"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5C0A4165"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12327B93" w14:textId="3D020113" w:rsidR="000E057A" w:rsidRPr="009B20EE" w:rsidRDefault="000E057A" w:rsidP="000E057A">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 xml:space="preserve">as </w:t>
      </w:r>
      <w:proofErr w:type="gramStart"/>
      <w:r w:rsidRPr="009B20EE">
        <w:rPr>
          <w:rFonts w:ascii="Times New Roman" w:hAnsi="Times New Roman" w:cs="Times New Roman"/>
          <w:spacing w:val="-6"/>
          <w:sz w:val="22"/>
          <w:szCs w:val="22"/>
        </w:rPr>
        <w:t>at</w:t>
      </w:r>
      <w:proofErr w:type="gramEnd"/>
      <w:r w:rsidRPr="009B20EE">
        <w:rPr>
          <w:rFonts w:ascii="Times New Roman" w:hAnsi="Times New Roman" w:cs="Times New Roman"/>
          <w:spacing w:val="-6"/>
          <w:sz w:val="22"/>
          <w:szCs w:val="22"/>
        </w:rPr>
        <w:t xml:space="preserve"> 3</w:t>
      </w:r>
      <w:r>
        <w:rPr>
          <w:rFonts w:ascii="Times New Roman" w:hAnsi="Times New Roman" w:cs="Times New Roman"/>
          <w:spacing w:val="-6"/>
          <w:sz w:val="22"/>
          <w:szCs w:val="22"/>
        </w:rPr>
        <w:t>1</w:t>
      </w:r>
      <w:r w:rsidRPr="009B20EE">
        <w:rPr>
          <w:rFonts w:ascii="Times New Roman" w:hAnsi="Times New Roman" w:cs="Times New Roman"/>
          <w:spacing w:val="-6"/>
          <w:sz w:val="22"/>
          <w:szCs w:val="22"/>
        </w:rPr>
        <w:t xml:space="preserve"> </w:t>
      </w:r>
      <w:r>
        <w:rPr>
          <w:rFonts w:ascii="Times New Roman" w:hAnsi="Times New Roman" w:cs="Times New Roman"/>
          <w:spacing w:val="-6"/>
          <w:sz w:val="22"/>
          <w:szCs w:val="22"/>
        </w:rPr>
        <w:t>March</w:t>
      </w:r>
      <w:r w:rsidRPr="009B20EE">
        <w:rPr>
          <w:rFonts w:ascii="Times New Roman" w:hAnsi="Times New Roman" w:cs="Times New Roman"/>
          <w:spacing w:val="-6"/>
          <w:sz w:val="22"/>
          <w:szCs w:val="22"/>
        </w:rPr>
        <w:t xml:space="preserve"> 20</w:t>
      </w:r>
      <w:r>
        <w:rPr>
          <w:rFonts w:ascii="Times New Roman" w:hAnsi="Times New Roman" w:cs="Times New Roman"/>
          <w:spacing w:val="-6"/>
          <w:sz w:val="22"/>
          <w:szCs w:val="22"/>
        </w:rPr>
        <w:t>22</w:t>
      </w:r>
      <w:r w:rsidRPr="009B20EE">
        <w:rPr>
          <w:rFonts w:ascii="Times New Roman" w:hAnsi="Times New Roman" w:cs="Times New Roman"/>
          <w:sz w:val="22"/>
          <w:szCs w:val="22"/>
        </w:rPr>
        <w:t xml:space="preserve">; the consolidated and separate statements of income, and comprehensive income; statement of changes in equity and cash flows for the </w:t>
      </w:r>
      <w:r>
        <w:rPr>
          <w:rFonts w:ascii="Times New Roman" w:hAnsi="Times New Roman" w:cs="Times New Roman"/>
          <w:sz w:val="22"/>
          <w:szCs w:val="22"/>
        </w:rPr>
        <w:t>three</w:t>
      </w:r>
      <w:r w:rsidRPr="009B20EE">
        <w:rPr>
          <w:rFonts w:ascii="Times New Roman" w:hAnsi="Times New Roman" w:cs="Times New Roman"/>
          <w:sz w:val="22"/>
          <w:szCs w:val="22"/>
        </w:rPr>
        <w:t>-month period ended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March 2022</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B20EE">
        <w:rPr>
          <w:rFonts w:ascii="Times New Roman" w:hAnsi="Times New Roman" w:cs="Times New Roman"/>
          <w:sz w:val="22"/>
          <w:szCs w:val="22"/>
          <w:cs/>
        </w:rPr>
        <w:t xml:space="preserve"> </w:t>
      </w:r>
    </w:p>
    <w:p w14:paraId="71EE7A5E" w14:textId="77777777" w:rsidR="00693A59" w:rsidRDefault="00693A59" w:rsidP="00693A59">
      <w:pPr>
        <w:pStyle w:val="RNormal"/>
        <w:rPr>
          <w:szCs w:val="22"/>
          <w:lang w:bidi="th-TH"/>
        </w:rPr>
      </w:pPr>
    </w:p>
    <w:p w14:paraId="64D95910" w14:textId="77777777" w:rsidR="00693A59" w:rsidRDefault="00693A59" w:rsidP="00693A59">
      <w:pPr>
        <w:jc w:val="both"/>
        <w:rPr>
          <w:rFonts w:ascii="Times New Roman" w:hAnsi="Times New Roman" w:cs="Times New Roman"/>
          <w:i/>
          <w:sz w:val="22"/>
          <w:szCs w:val="22"/>
        </w:rPr>
      </w:pPr>
      <w:r>
        <w:rPr>
          <w:rFonts w:ascii="Times New Roman" w:hAnsi="Times New Roman" w:cs="Times New Roman"/>
          <w:i/>
          <w:sz w:val="22"/>
          <w:szCs w:val="22"/>
        </w:rPr>
        <w:t>Scope of Review</w:t>
      </w:r>
    </w:p>
    <w:p w14:paraId="013AB0D4" w14:textId="77777777" w:rsidR="00693A59" w:rsidRDefault="00693A59" w:rsidP="00693A59">
      <w:pPr>
        <w:jc w:val="both"/>
        <w:rPr>
          <w:rFonts w:ascii="Times New Roman" w:hAnsi="Times New Roman" w:cs="Times New Roman"/>
          <w:sz w:val="22"/>
          <w:szCs w:val="22"/>
        </w:rPr>
      </w:pPr>
    </w:p>
    <w:p w14:paraId="439E6BB7"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9715E3" w14:textId="77777777" w:rsidR="00693A59" w:rsidRDefault="00693A59" w:rsidP="00693A59">
      <w:pPr>
        <w:jc w:val="both"/>
        <w:rPr>
          <w:rFonts w:ascii="Times New Roman" w:hAnsi="Times New Roman" w:cs="Times New Roman"/>
          <w:sz w:val="22"/>
          <w:szCs w:val="22"/>
        </w:rPr>
      </w:pPr>
    </w:p>
    <w:p w14:paraId="522F7291" w14:textId="77777777" w:rsidR="00693A59" w:rsidRDefault="00693A59" w:rsidP="00693A59">
      <w:pPr>
        <w:jc w:val="both"/>
        <w:rPr>
          <w:rFonts w:ascii="Times New Roman" w:hAnsi="Times New Roman" w:cs="Times New Roman"/>
          <w:sz w:val="22"/>
          <w:szCs w:val="22"/>
        </w:rPr>
      </w:pPr>
      <w:r>
        <w:rPr>
          <w:rFonts w:ascii="Times New Roman" w:hAnsi="Times New Roman" w:cs="Times New Roman"/>
          <w:i/>
          <w:sz w:val="22"/>
          <w:szCs w:val="22"/>
        </w:rPr>
        <w:t>Conclusion</w:t>
      </w:r>
    </w:p>
    <w:p w14:paraId="014AFAFF" w14:textId="77777777" w:rsidR="00693A59" w:rsidRDefault="00693A59" w:rsidP="00693A59">
      <w:pPr>
        <w:jc w:val="both"/>
        <w:rPr>
          <w:rFonts w:ascii="Times New Roman" w:hAnsi="Times New Roman" w:cs="Times New Roman"/>
          <w:sz w:val="22"/>
          <w:szCs w:val="22"/>
        </w:rPr>
      </w:pPr>
    </w:p>
    <w:p w14:paraId="348BC5B4"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Based on my review, nothing has come to my attention that causes me to believe that the accompanying interim financial information</w:t>
      </w:r>
      <w:r>
        <w:rPr>
          <w:rFonts w:ascii="Times New Roman" w:hAnsi="Times New Roman" w:hint="cs"/>
          <w:sz w:val="22"/>
          <w:szCs w:val="22"/>
          <w:cs/>
        </w:rPr>
        <w:t xml:space="preserve"> </w:t>
      </w:r>
      <w:r>
        <w:rPr>
          <w:rFonts w:ascii="Times New Roman" w:hAnsi="Times New Roman" w:cs="Times New Roman"/>
          <w:sz w:val="22"/>
          <w:szCs w:val="22"/>
        </w:rPr>
        <w:t>is not prepared, in all material respects, in accordance with Thai Accounting Standard 34, “Interim Financial Reporting”.</w:t>
      </w:r>
    </w:p>
    <w:p w14:paraId="712C65A7" w14:textId="77777777" w:rsidR="00693A59" w:rsidRDefault="00693A59" w:rsidP="00693A59">
      <w:pPr>
        <w:jc w:val="both"/>
        <w:rPr>
          <w:rFonts w:ascii="Times New Roman" w:hAnsi="Times New Roman" w:cs="Times New Roman"/>
          <w:i/>
          <w:iCs/>
          <w:sz w:val="22"/>
          <w:szCs w:val="22"/>
        </w:rPr>
      </w:pPr>
    </w:p>
    <w:p w14:paraId="4F44A626" w14:textId="77777777" w:rsidR="00693A59" w:rsidRDefault="00693A59" w:rsidP="00693A59">
      <w:pPr>
        <w:pStyle w:val="E"/>
        <w:ind w:left="0" w:right="-43"/>
        <w:jc w:val="both"/>
        <w:rPr>
          <w:rFonts w:ascii="Times New Roman" w:hAnsi="Times New Roman" w:cs="Times New Roman"/>
        </w:rPr>
      </w:pPr>
    </w:p>
    <w:p w14:paraId="17A6E662" w14:textId="77777777" w:rsidR="00693A59" w:rsidRDefault="00693A59" w:rsidP="00693A59">
      <w:pPr>
        <w:pStyle w:val="E"/>
        <w:ind w:left="0" w:right="-43"/>
        <w:jc w:val="both"/>
        <w:rPr>
          <w:rFonts w:ascii="Times New Roman" w:hAnsi="Times New Roman" w:cs="Times New Roman"/>
        </w:rPr>
      </w:pPr>
    </w:p>
    <w:p w14:paraId="78E10AA0" w14:textId="77777777" w:rsidR="00693A59" w:rsidRDefault="00693A59" w:rsidP="00693A59">
      <w:pPr>
        <w:pStyle w:val="E"/>
        <w:ind w:left="0" w:right="108"/>
        <w:jc w:val="both"/>
        <w:rPr>
          <w:rFonts w:ascii="Times New Roman" w:hAnsi="Times New Roman" w:cs="Times New Roman"/>
        </w:rPr>
      </w:pPr>
    </w:p>
    <w:p w14:paraId="6C6191D6" w14:textId="77777777" w:rsidR="00693A59" w:rsidRDefault="00693A59" w:rsidP="00693A59">
      <w:pPr>
        <w:pStyle w:val="E"/>
        <w:ind w:left="0" w:right="108"/>
        <w:jc w:val="both"/>
        <w:rPr>
          <w:rFonts w:ascii="Times New Roman" w:hAnsi="Times New Roman" w:cs="Times New Roman"/>
        </w:rPr>
      </w:pPr>
    </w:p>
    <w:p w14:paraId="7624A65D" w14:textId="77777777" w:rsidR="00693A59" w:rsidRDefault="00693A59" w:rsidP="00693A59">
      <w:pPr>
        <w:pStyle w:val="E"/>
        <w:ind w:left="0" w:right="108"/>
        <w:jc w:val="both"/>
        <w:rPr>
          <w:rFonts w:ascii="Times New Roman" w:hAnsi="Times New Roman" w:cs="Times New Roman"/>
        </w:rPr>
      </w:pPr>
    </w:p>
    <w:p w14:paraId="770F4614"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w:t>
      </w:r>
      <w:proofErr w:type="spellStart"/>
      <w:r>
        <w:rPr>
          <w:rFonts w:ascii="Times New Roman" w:hAnsi="Times New Roman" w:cs="Times New Roman"/>
          <w:sz w:val="22"/>
          <w:szCs w:val="22"/>
        </w:rPr>
        <w:t>Munchupa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Singsuksawat</w:t>
      </w:r>
      <w:proofErr w:type="spellEnd"/>
      <w:r>
        <w:rPr>
          <w:rFonts w:ascii="Times New Roman" w:hAnsi="Times New Roman" w:cs="Times New Roman"/>
          <w:sz w:val="22"/>
          <w:szCs w:val="22"/>
        </w:rPr>
        <w:t>)</w:t>
      </w:r>
    </w:p>
    <w:p w14:paraId="200056B1"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Certified Public Accountant</w:t>
      </w:r>
    </w:p>
    <w:p w14:paraId="480A8DA8"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Registration No. 6112</w:t>
      </w:r>
    </w:p>
    <w:p w14:paraId="57E93933" w14:textId="77777777" w:rsidR="00693A59" w:rsidRDefault="00693A59" w:rsidP="00693A59">
      <w:pPr>
        <w:ind w:right="108"/>
        <w:jc w:val="both"/>
        <w:rPr>
          <w:rFonts w:ascii="Times New Roman" w:hAnsi="Times New Roman" w:cs="Times New Roman"/>
          <w:sz w:val="22"/>
          <w:szCs w:val="22"/>
        </w:rPr>
      </w:pPr>
    </w:p>
    <w:p w14:paraId="29444B32"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3C0585B2" w14:textId="77777777" w:rsidR="00693A59" w:rsidRDefault="00693A59" w:rsidP="00693A59">
      <w:pPr>
        <w:tabs>
          <w:tab w:val="left" w:pos="1310"/>
        </w:tabs>
        <w:jc w:val="both"/>
        <w:rPr>
          <w:rFonts w:ascii="Times New Roman" w:hAnsi="Times New Roman" w:cs="Times New Roman"/>
          <w:sz w:val="22"/>
          <w:szCs w:val="22"/>
        </w:rPr>
      </w:pPr>
      <w:r>
        <w:rPr>
          <w:rFonts w:ascii="Times New Roman" w:hAnsi="Times New Roman" w:cs="Times New Roman"/>
          <w:sz w:val="22"/>
          <w:szCs w:val="22"/>
        </w:rPr>
        <w:t>Bangkok</w:t>
      </w:r>
      <w:r>
        <w:rPr>
          <w:rFonts w:ascii="Times New Roman" w:hAnsi="Times New Roman" w:cs="Times New Roman"/>
          <w:sz w:val="22"/>
          <w:szCs w:val="22"/>
        </w:rPr>
        <w:tab/>
      </w:r>
    </w:p>
    <w:p w14:paraId="3AE6D0E9" w14:textId="7D6FD2E2" w:rsidR="00693A59" w:rsidRDefault="00D8683C" w:rsidP="00693A59">
      <w:pPr>
        <w:spacing w:line="240" w:lineRule="atLeast"/>
        <w:rPr>
          <w:rFonts w:ascii="Times New Roman" w:hAnsi="Times New Roman" w:cs="Times New Roman"/>
          <w:b/>
          <w:bCs/>
          <w:sz w:val="22"/>
          <w:szCs w:val="22"/>
        </w:rPr>
      </w:pPr>
      <w:r>
        <w:rPr>
          <w:rFonts w:ascii="Times New Roman" w:hAnsi="Times New Roman" w:cstheme="minorBidi"/>
          <w:sz w:val="22"/>
          <w:szCs w:val="22"/>
        </w:rPr>
        <w:t>12 May</w:t>
      </w:r>
      <w:r w:rsidR="00693A59">
        <w:rPr>
          <w:rFonts w:ascii="Times New Roman" w:hAnsi="Times New Roman" w:cs="Times New Roman"/>
          <w:sz w:val="22"/>
          <w:szCs w:val="22"/>
        </w:rPr>
        <w:t xml:space="preserve"> 202</w:t>
      </w:r>
      <w:r w:rsidR="000E057A">
        <w:rPr>
          <w:rFonts w:ascii="Times New Roman" w:hAnsi="Times New Roman" w:cs="Times New Roman"/>
          <w:sz w:val="22"/>
          <w:szCs w:val="22"/>
        </w:rPr>
        <w:t>2</w:t>
      </w:r>
    </w:p>
    <w:p w14:paraId="2E0D4031" w14:textId="5BDFEBE6" w:rsidR="00BA5F56" w:rsidRPr="00BC1CBD" w:rsidRDefault="00BA5F56" w:rsidP="005F59B9">
      <w:pPr>
        <w:spacing w:line="240" w:lineRule="atLeast"/>
        <w:rPr>
          <w:rFonts w:asciiTheme="majorBidi" w:eastAsia="Univers 45 Light" w:hAnsiTheme="majorBidi" w:cstheme="majorBidi" w:hint="cs"/>
          <w:b/>
          <w:spacing w:val="-4"/>
          <w:sz w:val="30"/>
          <w:szCs w:val="30"/>
        </w:rPr>
      </w:pPr>
    </w:p>
    <w:sectPr w:rsidR="00BA5F56" w:rsidRPr="00BC1CBD" w:rsidSect="005F59B9">
      <w:headerReference w:type="default" r:id="rId8"/>
      <w:pgSz w:w="11909" w:h="16834" w:code="9"/>
      <w:pgMar w:top="691" w:right="1152" w:bottom="576" w:left="1152" w:header="720" w:footer="720"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2E90F" w14:textId="77777777" w:rsidR="003868DB" w:rsidRPr="009A6483" w:rsidRDefault="003868DB" w:rsidP="00D158AE">
      <w:r>
        <w:separator/>
      </w:r>
    </w:p>
  </w:endnote>
  <w:endnote w:type="continuationSeparator" w:id="0">
    <w:p w14:paraId="3D33D9DD" w14:textId="77777777" w:rsidR="003868DB" w:rsidRPr="009A6483" w:rsidRDefault="003868DB" w:rsidP="00D158AE">
      <w:r>
        <w:continuationSeparator/>
      </w:r>
    </w:p>
  </w:endnote>
  <w:endnote w:type="continuationNotice" w:id="1">
    <w:p w14:paraId="0859E37E" w14:textId="77777777" w:rsidR="003868DB" w:rsidRDefault="0038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6EC46" w14:textId="77777777" w:rsidR="003868DB" w:rsidRPr="009A6483" w:rsidRDefault="003868DB" w:rsidP="00D158AE">
      <w:r>
        <w:separator/>
      </w:r>
    </w:p>
  </w:footnote>
  <w:footnote w:type="continuationSeparator" w:id="0">
    <w:p w14:paraId="2654E229" w14:textId="77777777" w:rsidR="003868DB" w:rsidRPr="009A6483" w:rsidRDefault="003868DB" w:rsidP="00D158AE">
      <w:r>
        <w:continuationSeparator/>
      </w:r>
    </w:p>
  </w:footnote>
  <w:footnote w:type="continuationNotice" w:id="1">
    <w:p w14:paraId="2296693E" w14:textId="77777777" w:rsidR="003868DB" w:rsidRDefault="0038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8"/>
  </w:num>
  <w:num w:numId="9">
    <w:abstractNumId w:val="13"/>
  </w:num>
  <w:num w:numId="10">
    <w:abstractNumId w:val="12"/>
  </w:num>
  <w:num w:numId="11">
    <w:abstractNumId w:val="20"/>
  </w:num>
  <w:num w:numId="12">
    <w:abstractNumId w:val="8"/>
  </w:num>
  <w:num w:numId="13">
    <w:abstractNumId w:val="14"/>
  </w:num>
  <w:num w:numId="14">
    <w:abstractNumId w:val="19"/>
  </w:num>
  <w:num w:numId="15">
    <w:abstractNumId w:val="16"/>
  </w:num>
  <w:num w:numId="16">
    <w:abstractNumId w:val="7"/>
  </w:num>
  <w:num w:numId="17">
    <w:abstractNumId w:val="15"/>
  </w:num>
  <w:num w:numId="18">
    <w:abstractNumId w:val="21"/>
  </w:num>
  <w:num w:numId="19">
    <w:abstractNumId w:val="11"/>
    <w:lvlOverride w:ilvl="0">
      <w:startOverride w:val="7"/>
    </w:lvlOverride>
    <w:lvlOverride w:ilvl="1"/>
    <w:lvlOverride w:ilvl="2"/>
    <w:lvlOverride w:ilvl="3"/>
    <w:lvlOverride w:ilvl="4"/>
    <w:lvlOverride w:ilvl="5"/>
    <w:lvlOverride w:ilvl="6"/>
    <w:lvlOverride w:ilvl="7"/>
    <w:lvlOverride w:ilvl="8"/>
  </w:num>
  <w:num w:numId="20">
    <w:abstractNumId w:val="17"/>
  </w:num>
  <w:num w:numId="21">
    <w:abstractNumId w:val="9"/>
  </w:num>
  <w:num w:numId="22">
    <w:abstractNumId w:va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8DB"/>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9B9"/>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948"/>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2A"/>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5BF1FFD2-61BD-43D1-B584-A79CAB070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Cherlyn, Santirapheetum</cp:lastModifiedBy>
  <cp:revision>4</cp:revision>
  <cp:lastPrinted>2022-05-11T04:18:00Z</cp:lastPrinted>
  <dcterms:created xsi:type="dcterms:W3CDTF">2022-05-12T03:58:00Z</dcterms:created>
  <dcterms:modified xsi:type="dcterms:W3CDTF">2022-05-12T04:06:00Z</dcterms:modified>
</cp:coreProperties>
</file>