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rPr>
          <w:rFonts w:asciiTheme="majorBidi" w:hAnsiTheme="majorBidi" w:cstheme="majorBidi"/>
          <w:b/>
          <w:bCs/>
          <w:cs/>
        </w:rPr>
      </w:pPr>
      <w:bookmarkStart w:id="1" w:name="_GoBack"/>
      <w:bookmarkEnd w:id="1"/>
      <w:r>
        <w:rPr>
          <w:rFonts w:asciiTheme="majorBidi" w:hAnsiTheme="majorBidi" w:cstheme="majorBidi"/>
          <w:b/>
          <w:bCs/>
          <w:cs/>
          <w:lang w:val="th-TH" w:bidi="th-TH"/>
        </w:rPr>
        <w:t xml:space="preserve">บริษัท รุ่งเรืองตลอดไป จำกัด </w:t>
      </w:r>
      <w:r>
        <w:rPr>
          <w:rFonts w:asciiTheme="majorBidi" w:hAnsiTheme="majorBidi" w:cstheme="majorBidi"/>
          <w:b/>
          <w:bCs/>
          <w:cs/>
        </w:rPr>
        <w:t>(</w:t>
      </w:r>
      <w:r>
        <w:rPr>
          <w:rFonts w:asciiTheme="majorBidi" w:hAnsiTheme="majorBidi" w:cstheme="majorBidi"/>
          <w:b/>
          <w:bCs/>
          <w:cs/>
          <w:lang w:val="th-TH" w:bidi="th-TH"/>
        </w:rPr>
        <w:t>มหาชน</w:t>
      </w:r>
      <w:r>
        <w:rPr>
          <w:rFonts w:asciiTheme="majorBidi" w:hAnsiTheme="majorBidi" w:cstheme="majorBidi"/>
          <w:b/>
          <w:bCs/>
          <w:cs/>
        </w:rPr>
        <w:t xml:space="preserve">) </w:t>
      </w:r>
      <w:r>
        <w:rPr>
          <w:rFonts w:hint="cs" w:asciiTheme="majorBidi" w:hAnsiTheme="majorBidi" w:cstheme="majorBidi"/>
          <w:b/>
          <w:bCs/>
          <w:cs/>
          <w:lang w:val="th-TH" w:bidi="th-TH"/>
        </w:rPr>
        <w:t>และบริษัทย่อย</w:t>
      </w:r>
    </w:p>
    <w:p>
      <w:pPr>
        <w:tabs>
          <w:tab w:val="left" w:pos="720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  <w:lang w:val="th-TH" w:bidi="th-TH"/>
        </w:rPr>
        <w:t>หมายเหตุประกอบงบการเงิน</w:t>
      </w:r>
      <w:r>
        <w:rPr>
          <w:rFonts w:hint="cs" w:asciiTheme="majorBidi" w:hAnsiTheme="majorBidi" w:cstheme="majorBidi"/>
          <w:b/>
          <w:bCs/>
          <w:cs/>
          <w:lang w:val="th-TH" w:bidi="th-TH"/>
        </w:rPr>
        <w:t>รวม</w:t>
      </w:r>
      <w:r>
        <w:rPr>
          <w:rFonts w:asciiTheme="majorBidi" w:hAnsiTheme="majorBidi" w:cstheme="majorBidi"/>
          <w:b/>
          <w:bCs/>
          <w:cs/>
          <w:lang w:val="th-TH" w:bidi="th-TH"/>
        </w:rPr>
        <w:t>ระหว่างกาล</w:t>
      </w:r>
    </w:p>
    <w:p>
      <w:pPr>
        <w:tabs>
          <w:tab w:val="left" w:pos="720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  <w:lang w:val="th-TH" w:bidi="th-TH"/>
        </w:rPr>
        <w:t xml:space="preserve">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b/>
          <w:bCs/>
        </w:rPr>
        <w:t xml:space="preserve">30 </w:t>
      </w:r>
      <w:r>
        <w:rPr>
          <w:rFonts w:asciiTheme="majorBidi" w:hAnsiTheme="majorBidi" w:cstheme="majorBidi"/>
          <w:b/>
          <w:bCs/>
          <w:cs/>
          <w:lang w:val="th-TH" w:bidi="th-TH"/>
        </w:rPr>
        <w:t xml:space="preserve">กันยายน </w:t>
      </w:r>
      <w:r>
        <w:rPr>
          <w:rFonts w:asciiTheme="majorBidi" w:hAnsiTheme="majorBidi" w:cstheme="majorBidi"/>
          <w:b/>
          <w:bCs/>
        </w:rPr>
        <w:t>2565</w:t>
      </w:r>
    </w:p>
    <w:p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1.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ข้อมูลทั่วไป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1.1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เกณฑ์ในการจัดทำงบการเงินระหว่างกาล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pacing w:val="-3"/>
        </w:rPr>
        <w:tab/>
      </w:r>
      <w:r>
        <w:rPr>
          <w:rFonts w:asciiTheme="majorBidi" w:hAnsiTheme="majorBidi" w:cstheme="majorBidi"/>
          <w:spacing w:val="-3"/>
          <w:cs/>
          <w:lang w:val="th-TH" w:bidi="th-TH"/>
        </w:rPr>
        <w:t xml:space="preserve">งบการเงินระหว่างกาลนี้จัดทำขึ้นตามมาตรฐานการบัญชี ฉบับที่ </w:t>
      </w:r>
      <w:r>
        <w:rPr>
          <w:rFonts w:asciiTheme="majorBidi" w:hAnsiTheme="majorBidi" w:cstheme="majorBidi"/>
          <w:spacing w:val="-3"/>
        </w:rPr>
        <w:t>34</w:t>
      </w:r>
      <w:r>
        <w:rPr>
          <w:rFonts w:asciiTheme="majorBidi" w:hAnsiTheme="majorBidi" w:cstheme="majorBidi"/>
          <w:spacing w:val="-3"/>
          <w:cs/>
        </w:rPr>
        <w:t xml:space="preserve"> </w:t>
      </w:r>
      <w:r>
        <w:rPr>
          <w:rFonts w:asciiTheme="majorBidi" w:hAnsiTheme="majorBidi" w:cstheme="majorBidi"/>
          <w:spacing w:val="-3"/>
          <w:cs/>
          <w:lang w:val="th-TH" w:bidi="th-TH"/>
        </w:rPr>
        <w:t>เรื่อง การรายงานทางการเงินระหว่างกาล</w:t>
      </w:r>
      <w:r>
        <w:rPr>
          <w:rFonts w:asciiTheme="majorBidi" w:hAnsiTheme="majorBidi" w:cstheme="majorBidi"/>
          <w:cs/>
          <w:lang w:val="th-TH" w:bidi="th-TH"/>
        </w:rPr>
        <w:t>โดยบริษัทฯเลือกนำเสนองบการเงินระหว่างกาลแบบย่อ อย่างไรก็ตามบริษัทฯได้แสดงรายการใน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  <w:cs/>
          <w:lang w:val="th-TH" w:bidi="th-TH"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1.2</w:t>
      </w:r>
      <w:r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  <w:cs/>
          <w:lang w:val="th-TH" w:bidi="th-TH"/>
        </w:rPr>
        <w:t>เกณฑ์ในการจัดทำงบการเงินรวม</w:t>
      </w:r>
    </w:p>
    <w:p>
      <w:pPr>
        <w:spacing w:before="120" w:after="120"/>
        <w:ind w:left="630" w:hanging="60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  <w:cs/>
          <w:lang w:val="th-TH" w:bidi="th-TH"/>
        </w:rPr>
        <w:t xml:space="preserve">ในระหว่างงวดเก้าเดือนสิ้นสุดวันที่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</w:rPr>
        <w:t xml:space="preserve">2565 </w:t>
      </w:r>
      <w:r>
        <w:rPr>
          <w:rFonts w:ascii="Angsana New" w:hAnsi="Angsana New" w:cs="Angsana New"/>
          <w:cs/>
          <w:lang w:val="th-TH" w:bidi="th-TH"/>
        </w:rPr>
        <w:t>มีการเปลี่ยนแปลงโครงสร้างของกลุ่มบริษัท ตามที่กล่าวไว้ในหมายเหตุประกอบงบการเงิน</w:t>
      </w:r>
      <w:r>
        <w:rPr>
          <w:rFonts w:hint="cs" w:ascii="Angsana New" w:hAnsi="Angsana New" w:cs="Angsana New"/>
          <w:cs/>
          <w:lang w:val="th-TH" w:bidi="th-TH"/>
        </w:rPr>
        <w:t>รวม</w:t>
      </w:r>
      <w:r>
        <w:rPr>
          <w:rFonts w:ascii="Angsana New" w:hAnsi="Angsana New" w:cs="Angsana New"/>
          <w:cs/>
          <w:lang w:val="th-TH" w:bidi="th-TH"/>
        </w:rPr>
        <w:t xml:space="preserve">ระหว่างกาลข้อ </w:t>
      </w:r>
      <w:r>
        <w:rPr>
          <w:rFonts w:ascii="Angsana New" w:hAnsi="Angsana New" w:cs="Angsana New"/>
        </w:rPr>
        <w:t xml:space="preserve">5 </w:t>
      </w:r>
      <w:r>
        <w:rPr>
          <w:rFonts w:ascii="Angsana New" w:hAnsi="Angsana New" w:cs="Angsana New"/>
          <w:cs/>
          <w:lang w:val="th-TH" w:bidi="th-TH"/>
        </w:rPr>
        <w:t xml:space="preserve">ดังนั้นงบการเงินรวมระหว่างกาลในงวดปัจจุบันจึงได้จัดทำขึ้นโดยรวมงบการเงินของบริษัท รุ่งเรืองตลอดไป จำกัด </w:t>
      </w: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  <w:cs/>
          <w:lang w:val="th-TH" w:bidi="th-TH"/>
        </w:rPr>
        <w:t>มหาชน</w:t>
      </w:r>
      <w:r>
        <w:rPr>
          <w:rFonts w:ascii="Angsana New" w:hAnsi="Angsana New" w:cs="Angsana New"/>
          <w:cs/>
        </w:rPr>
        <w:t>) (</w:t>
      </w:r>
      <w:r>
        <w:rPr>
          <w:rFonts w:ascii="Angsana New" w:hAnsi="Angsana New" w:cs="Angsana New"/>
          <w:cs/>
          <w:lang w:val="th-TH" w:bidi="th-TH"/>
        </w:rPr>
        <w:t xml:space="preserve">ซึ่งต่อไปนี้เรียกว่า </w:t>
      </w:r>
      <w:r>
        <w:rPr>
          <w:rFonts w:ascii="Angsana New" w:hAnsi="Angsana New" w:cs="Angsana New"/>
          <w:cs/>
        </w:rPr>
        <w:t>“</w:t>
      </w:r>
      <w:r>
        <w:rPr>
          <w:rFonts w:ascii="Angsana New" w:hAnsi="Angsana New" w:cs="Angsana New"/>
          <w:cs/>
          <w:lang w:val="th-TH" w:bidi="th-TH"/>
        </w:rPr>
        <w:t>บริษัทฯ</w:t>
      </w:r>
      <w:r>
        <w:rPr>
          <w:rFonts w:ascii="Angsana New" w:hAnsi="Angsana New" w:cs="Angsana New"/>
          <w:cs/>
        </w:rPr>
        <w:t xml:space="preserve">”)  </w:t>
      </w:r>
      <w:r>
        <w:rPr>
          <w:rFonts w:ascii="Angsana New" w:hAnsi="Angsana New" w:cs="Angsana New"/>
          <w:cs/>
          <w:lang w:val="th-TH" w:bidi="th-TH"/>
        </w:rPr>
        <w:t xml:space="preserve">และบริษัทย่อย </w:t>
      </w:r>
      <w:r>
        <w:rPr>
          <w:rFonts w:ascii="Angsana New" w:hAnsi="Angsana New" w:cs="Angsana New"/>
          <w:cs/>
        </w:rPr>
        <w:t>(</w:t>
      </w:r>
      <w:r>
        <w:rPr>
          <w:rFonts w:hint="cs" w:ascii="Angsana New" w:hAnsi="Angsana New" w:cs="Angsana New"/>
          <w:cs/>
          <w:lang w:val="th-TH" w:bidi="th-TH"/>
        </w:rPr>
        <w:t>ซึ่งต่อไปนี้เรียกว่า</w:t>
      </w:r>
      <w:r>
        <w:rPr>
          <w:rFonts w:ascii="Angsana New" w:hAnsi="Angsana New" w:cs="Angsana New"/>
          <w:cs/>
        </w:rPr>
        <w:t>“</w:t>
      </w:r>
      <w:r>
        <w:rPr>
          <w:rFonts w:ascii="Angsana New" w:hAnsi="Angsana New"/>
          <w:spacing w:val="-2"/>
          <w:cs/>
          <w:lang w:val="th-TH" w:bidi="th-TH"/>
        </w:rPr>
        <w:t>บริษัทย่อย</w:t>
      </w:r>
      <w:r>
        <w:rPr>
          <w:rFonts w:ascii="Angsana New" w:hAnsi="Angsana New" w:cs="Angsana New"/>
          <w:cs/>
        </w:rPr>
        <w:t>”)</w:t>
      </w:r>
      <w:r>
        <w:rPr>
          <w:rFonts w:hint="cs" w:ascii="Angsana New" w:hAnsi="Angsana New" w:cs="Angsana New"/>
          <w:cs/>
        </w:rPr>
        <w:t xml:space="preserve"> (</w:t>
      </w:r>
      <w:r>
        <w:rPr>
          <w:rFonts w:hint="cs" w:ascii="Angsana New" w:hAnsi="Angsana New" w:cs="Angsana New"/>
          <w:cs/>
          <w:lang w:val="th-TH" w:bidi="th-TH"/>
        </w:rPr>
        <w:t xml:space="preserve">รวมเรียกว่า </w:t>
      </w:r>
      <w:r>
        <w:rPr>
          <w:rFonts w:ascii="Angsana New" w:hAnsi="Angsana New" w:cs="Angsana New"/>
        </w:rPr>
        <w:t>“</w:t>
      </w:r>
      <w:r>
        <w:rPr>
          <w:rFonts w:hint="cs" w:ascii="Angsana New" w:hAnsi="Angsana New" w:cs="Angsana New"/>
          <w:cs/>
          <w:lang w:val="th-TH" w:bidi="th-TH"/>
        </w:rPr>
        <w:t>กลุ่มบริษัท</w:t>
      </w:r>
      <w:r>
        <w:rPr>
          <w:rFonts w:ascii="Angsana New" w:hAnsi="Angsana New" w:cs="Angsana New"/>
        </w:rPr>
        <w:t>”</w:t>
      </w:r>
      <w:r>
        <w:rPr>
          <w:rFonts w:hint="cs" w:ascii="Angsana New" w:hAnsi="Angsana New" w:cs="Angsana New"/>
          <w:cs/>
        </w:rPr>
        <w:t xml:space="preserve">) </w:t>
      </w:r>
      <w:r>
        <w:rPr>
          <w:rFonts w:hint="cs" w:ascii="Angsana New" w:hAnsi="Angsana New" w:cs="Angsana New"/>
          <w:cs/>
          <w:lang w:val="th-TH" w:bidi="th-TH"/>
        </w:rPr>
        <w:t>โดยใช้หลักเกณฑ์ดังนี้</w:t>
      </w:r>
    </w:p>
    <w:p>
      <w:pPr>
        <w:tabs>
          <w:tab w:val="left" w:pos="1170"/>
        </w:tabs>
        <w:spacing w:before="120" w:after="120"/>
        <w:ind w:left="990" w:hanging="360"/>
        <w:jc w:val="thaiDistribute"/>
        <w:rPr>
          <w:rFonts w:ascii="Angsana New" w:hAnsi="Angsana New"/>
        </w:rPr>
      </w:pPr>
      <w:r>
        <w:rPr>
          <w:rFonts w:hint="cs" w:ascii="Angsana New" w:hAnsi="Angsana New"/>
          <w:cs/>
          <w:lang w:val="th-TH" w:bidi="th-TH"/>
        </w:rPr>
        <w:t>ก</w:t>
      </w:r>
      <w:r>
        <w:rPr>
          <w:rFonts w:ascii="Angsana New" w:hAnsi="Angsana New"/>
          <w:cs/>
        </w:rPr>
        <w:t>)</w:t>
      </w:r>
      <w:r>
        <w:rPr>
          <w:rFonts w:ascii="Angsana New" w:hAnsi="Angsana New"/>
        </w:rPr>
        <w:tab/>
      </w:r>
      <w:r>
        <w:rPr>
          <w:rFonts w:ascii="Angsana New" w:hAnsi="Angsana New"/>
          <w:cs/>
          <w:lang w:val="th-TH" w:bidi="th-TH"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>
      <w:pPr>
        <w:tabs>
          <w:tab w:val="left" w:pos="1170"/>
        </w:tabs>
        <w:spacing w:before="120" w:after="120"/>
        <w:ind w:left="990" w:hanging="360"/>
        <w:jc w:val="thaiDistribute"/>
        <w:rPr>
          <w:rFonts w:ascii="Angsana New" w:hAnsi="Angsana New"/>
        </w:rPr>
      </w:pPr>
      <w:r>
        <w:rPr>
          <w:rFonts w:hint="cs" w:ascii="Angsana New" w:hAnsi="Angsana New"/>
          <w:cs/>
          <w:lang w:val="th-TH" w:bidi="th-TH"/>
        </w:rPr>
        <w:t>ข</w:t>
      </w:r>
      <w:r>
        <w:rPr>
          <w:rFonts w:ascii="Angsana New" w:hAnsi="Angsana New"/>
          <w:cs/>
        </w:rPr>
        <w:t xml:space="preserve">) </w:t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  <w:lang w:val="th-TH" w:bidi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 </w:t>
      </w:r>
    </w:p>
    <w:p>
      <w:pPr>
        <w:tabs>
          <w:tab w:val="left" w:pos="1170"/>
        </w:tabs>
        <w:spacing w:before="120" w:after="120"/>
        <w:ind w:left="990" w:hanging="360"/>
        <w:jc w:val="thaiDistribute"/>
        <w:rPr>
          <w:rFonts w:ascii="Angsana New" w:hAnsi="Angsana New"/>
        </w:rPr>
      </w:pPr>
      <w:r>
        <w:rPr>
          <w:rFonts w:hint="cs" w:ascii="Angsana New" w:hAnsi="Angsana New"/>
          <w:cs/>
          <w:lang w:val="th-TH" w:bidi="th-TH"/>
        </w:rPr>
        <w:t>ค</w:t>
      </w:r>
      <w:r>
        <w:rPr>
          <w:rFonts w:ascii="Angsana New" w:hAnsi="Angsana New"/>
          <w:cs/>
        </w:rPr>
        <w:t>)</w:t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  <w:lang w:val="th-TH" w:bidi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>
      <w:pPr>
        <w:tabs>
          <w:tab w:val="left" w:pos="1170"/>
        </w:tabs>
        <w:spacing w:before="120" w:after="120"/>
        <w:ind w:left="990" w:hanging="360"/>
        <w:jc w:val="thaiDistribute"/>
        <w:rPr>
          <w:rFonts w:ascii="Angsana New" w:hAnsi="Angsana New"/>
          <w:cs/>
        </w:rPr>
      </w:pPr>
      <w:r>
        <w:rPr>
          <w:rFonts w:hint="cs" w:ascii="Angsana New" w:hAnsi="Angsana New"/>
          <w:cs/>
          <w:lang w:val="th-TH" w:bidi="th-TH"/>
        </w:rPr>
        <w:t>ง</w:t>
      </w:r>
      <w:r>
        <w:rPr>
          <w:rFonts w:ascii="Angsana New" w:hAnsi="Angsana New"/>
          <w:cs/>
        </w:rPr>
        <w:t>)</w:t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  <w:lang w:val="th-TH" w:bidi="th-TH"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>
        <w:rPr>
          <w:rFonts w:ascii="Angsana New" w:hAnsi="Angsana New"/>
        </w:rPr>
        <w:t xml:space="preserve">                   </w:t>
      </w:r>
      <w:r>
        <w:rPr>
          <w:rFonts w:ascii="Angsana New" w:hAnsi="Angsana New"/>
          <w:cs/>
          <w:lang w:val="th-TH" w:bidi="th-TH"/>
        </w:rPr>
        <w:t xml:space="preserve">นี้แล้ว </w:t>
      </w:r>
      <w:r>
        <w:rPr>
          <w:rFonts w:ascii="Angsana New" w:hAnsi="Angsana New"/>
          <w:cs/>
        </w:rPr>
        <w:br w:type="page"/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>
        <w:rPr>
          <w:rFonts w:asciiTheme="majorBidi" w:hAnsiTheme="majorBidi" w:cstheme="majorBidi"/>
          <w:b/>
          <w:bCs/>
          <w:cs/>
        </w:rPr>
        <w:t>.</w:t>
      </w:r>
      <w:r>
        <w:rPr>
          <w:rFonts w:asciiTheme="majorBidi" w:hAnsiTheme="majorBidi" w:cstheme="majorBidi"/>
          <w:b/>
          <w:bCs/>
        </w:rPr>
        <w:t>3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นโยบายการ</w:t>
      </w:r>
      <w:r>
        <w:rPr>
          <w:rFonts w:asciiTheme="majorBidi" w:hAnsiTheme="majorBidi" w:cstheme="majorBidi"/>
          <w:b/>
          <w:bCs/>
          <w:color w:val="000000" w:themeColor="text1"/>
          <w:cs/>
          <w:lang w:val="th-TH" w:bidi="th-TH"/>
          <w14:textFill>
            <w14:solidFill>
              <w14:schemeClr w14:val="tx1"/>
            </w14:solidFill>
          </w14:textFill>
        </w:rPr>
        <w:t>บัญชี</w:t>
      </w:r>
      <w:r>
        <w:rPr>
          <w:rFonts w:asciiTheme="majorBidi" w:hAnsiTheme="majorBidi" w:cstheme="majorBidi"/>
          <w:b/>
          <w:bCs/>
          <w:cs/>
          <w:lang w:val="th-TH" w:bidi="th-TH"/>
        </w:rPr>
        <w:t>ที่สำคัญ</w:t>
      </w:r>
    </w:p>
    <w:p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  <w:lang w:val="th-TH"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Theme="majorBidi" w:hAnsiTheme="majorBidi" w:cstheme="majorBidi"/>
        </w:rPr>
        <w:t xml:space="preserve">1 </w:t>
      </w:r>
      <w:r>
        <w:rPr>
          <w:rFonts w:asciiTheme="majorBidi" w:hAnsiTheme="majorBidi" w:cstheme="majorBidi"/>
          <w:cs/>
          <w:lang w:val="th-TH" w:bidi="th-TH"/>
        </w:rPr>
        <w:t xml:space="preserve">มกราคม </w:t>
      </w:r>
      <w:r>
        <w:rPr>
          <w:rFonts w:asciiTheme="majorBidi" w:hAnsiTheme="majorBidi" w:cstheme="majorBidi"/>
        </w:rPr>
        <w:t xml:space="preserve">2565 </w:t>
      </w:r>
      <w:r>
        <w:rPr>
          <w:rFonts w:asciiTheme="majorBidi" w:hAnsiTheme="majorBidi" w:cstheme="majorBidi"/>
          <w:cs/>
          <w:lang w:val="th-TH" w:bidi="th-TH"/>
        </w:rPr>
        <w:t>ไม่มีผลกระทบอย่างเป็นสาระสำคัญต่องบการเงินของ</w:t>
      </w:r>
      <w:r>
        <w:rPr>
          <w:rFonts w:hint="cs" w:asciiTheme="majorBidi" w:hAnsiTheme="majorBidi" w:cstheme="majorBidi"/>
          <w:cs/>
          <w:lang w:val="th-TH" w:bidi="th-TH"/>
        </w:rPr>
        <w:t>กลุ่ม</w:t>
      </w:r>
      <w:r>
        <w:rPr>
          <w:rFonts w:asciiTheme="majorBidi" w:hAnsiTheme="majorBidi" w:cstheme="majorBidi"/>
          <w:cs/>
          <w:lang w:val="th-TH" w:bidi="th-TH"/>
        </w:rPr>
        <w:t>บริษัท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cs="Angsana New" w:asciiTheme="majorBidi" w:hAnsi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/>
        </w:rPr>
        <w:br w:type="textWrapping"/>
      </w:r>
      <w:r>
        <w:rPr>
          <w:rFonts w:asciiTheme="majorBidi" w:hAnsiTheme="majorBidi" w:cstheme="majorBidi"/>
          <w:cs/>
          <w:lang w:val="th-TH" w:bidi="th-TH"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</w:rPr>
        <w:t xml:space="preserve">2564 </w:t>
      </w:r>
      <w:r>
        <w:rPr>
          <w:rFonts w:hint="cs" w:cs="Angsana New" w:asciiTheme="majorBidi" w:hAnsiTheme="majorBidi"/>
          <w:cs/>
          <w:lang w:val="th-TH" w:bidi="th-TH"/>
        </w:rPr>
        <w:t>โดยมี</w:t>
      </w:r>
      <w:r>
        <w:rPr>
          <w:rFonts w:cs="Angsana New" w:asciiTheme="majorBidi" w:hAnsiTheme="majorBidi"/>
          <w:cs/>
          <w:lang w:val="th-TH" w:bidi="th-TH"/>
        </w:rPr>
        <w:t>นโยบายการบัญชีเพิ่มเติม ดังนี้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cs="Angsana New" w:asciiTheme="majorBidi" w:hAnsiTheme="majorBidi"/>
          <w:b/>
          <w:bCs/>
        </w:rPr>
      </w:pPr>
      <w:r>
        <w:rPr>
          <w:rFonts w:asciiTheme="majorBidi" w:hAnsiTheme="majorBidi" w:cstheme="majorBidi"/>
          <w:b/>
          <w:bCs/>
        </w:rPr>
        <w:t>1.3.1</w:t>
      </w:r>
      <w:r>
        <w:rPr>
          <w:rFonts w:asciiTheme="majorBidi" w:hAnsiTheme="majorBidi" w:cstheme="majorBidi"/>
          <w:b/>
          <w:bCs/>
        </w:rPr>
        <w:tab/>
      </w:r>
      <w:r>
        <w:rPr>
          <w:rFonts w:cs="Angsana New" w:asciiTheme="majorBidi" w:hAnsiTheme="majorBidi"/>
          <w:b/>
          <w:bCs/>
          <w:cs/>
          <w:lang w:val="th-TH" w:bidi="th-TH"/>
        </w:rPr>
        <w:t>เงินลงทุนในบริษัท</w:t>
      </w:r>
      <w:r>
        <w:rPr>
          <w:rFonts w:hint="cs" w:cs="Angsana New" w:asciiTheme="majorBidi" w:hAnsiTheme="majorBidi"/>
          <w:b/>
          <w:bCs/>
          <w:cs/>
          <w:lang w:val="th-TH" w:bidi="th-TH"/>
        </w:rPr>
        <w:t>ย่อยและบริษัทร่วม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cs="Angsana New" w:asciiTheme="majorBidi" w:hAnsiTheme="majorBidi"/>
        </w:rPr>
      </w:pPr>
      <w:r>
        <w:rPr>
          <w:rFonts w:cs="Angsana New" w:asciiTheme="majorBidi" w:hAnsiTheme="majorBidi"/>
          <w:cs/>
        </w:rPr>
        <w:tab/>
      </w:r>
      <w:r>
        <w:rPr>
          <w:rFonts w:hint="cs" w:cs="Angsana New" w:asciiTheme="majorBidi" w:hAnsiTheme="majorBidi"/>
          <w:cs/>
          <w:lang w:val="th-TH" w:bidi="th-TH"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s/>
        </w:rPr>
      </w:pPr>
      <w:r>
        <w:rPr>
          <w:rFonts w:cs="Angsana New" w:asciiTheme="majorBidi" w:hAnsiTheme="majorBidi"/>
          <w:cs/>
        </w:rPr>
        <w:tab/>
      </w:r>
      <w:r>
        <w:rPr>
          <w:rFonts w:cs="Angsana New" w:asciiTheme="majorBidi" w:hAnsiTheme="majorBidi"/>
          <w:cs/>
          <w:lang w:val="th-TH" w:bidi="th-TH"/>
        </w:rPr>
        <w:t>เงินลงทุนในบริษัท</w:t>
      </w:r>
      <w:r>
        <w:rPr>
          <w:rFonts w:hint="cs" w:cs="Angsana New" w:asciiTheme="majorBidi" w:hAnsiTheme="majorBidi"/>
          <w:cs/>
          <w:lang w:val="th-TH" w:bidi="th-TH"/>
        </w:rPr>
        <w:t>ย่อยและบริษัทร่วม</w:t>
      </w:r>
      <w:r>
        <w:rPr>
          <w:rFonts w:cs="Angsana New" w:asciiTheme="majorBidi" w:hAnsiTheme="majorBidi"/>
          <w:cs/>
          <w:lang w:val="th-TH" w:bidi="th-TH"/>
        </w:rPr>
        <w:t>ที่แสดงอยู่ในงบการเงินเฉพาะกิจการแสดงมูลค่าตามวิธีราคาทุน</w:t>
      </w:r>
    </w:p>
    <w:p>
      <w:pPr>
        <w:tabs>
          <w:tab w:val="right" w:pos="7280"/>
          <w:tab w:val="right" w:pos="8540"/>
        </w:tabs>
        <w:spacing w:before="120" w:after="120"/>
        <w:ind w:left="540" w:right="-43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1.3.2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th-TH" w:bidi="th-TH"/>
        </w:rPr>
        <w:t>การ</w:t>
      </w:r>
      <w:r>
        <w:rPr>
          <w:rFonts w:cs="Angsana New" w:asciiTheme="majorBidi" w:hAnsiTheme="majorBidi"/>
          <w:b/>
          <w:bCs/>
          <w:cs/>
          <w:lang w:val="th-TH" w:bidi="th-TH"/>
        </w:rPr>
        <w:t>รวม</w:t>
      </w:r>
      <w:r>
        <w:rPr>
          <w:rFonts w:ascii="Angsana New" w:hAnsi="Angsana New"/>
          <w:b/>
          <w:bCs/>
          <w:cs/>
          <w:lang w:val="th-TH" w:bidi="th-TH"/>
        </w:rPr>
        <w:t>ธุรกิจ</w:t>
      </w:r>
    </w:p>
    <w:p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>
        <w:rPr>
          <w:rFonts w:ascii="Angsana New" w:hAnsi="Angsana New"/>
          <w:cs/>
          <w:lang w:val="th-TH" w:bidi="th-TH"/>
        </w:rPr>
        <w:t>กลุ่ม</w:t>
      </w:r>
      <w:r>
        <w:rPr>
          <w:rFonts w:hint="cs" w:ascii="Angsana New" w:hAnsi="Angsana New"/>
          <w:cs/>
          <w:lang w:val="th-TH" w:bidi="th-TH"/>
        </w:rPr>
        <w:t>บริษัทบันทึกรายการรวมธุรกิจด้วย</w:t>
      </w:r>
      <w:r>
        <w:rPr>
          <w:rFonts w:ascii="Angsana New" w:hAnsi="Angsana New"/>
          <w:cs/>
          <w:lang w:val="th-TH" w:bidi="th-TH"/>
        </w:rPr>
        <w:t>วิธีซื้อ</w:t>
      </w:r>
      <w:r>
        <w:rPr>
          <w:rFonts w:ascii="Angsana New" w:hAnsi="Angsana New"/>
          <w:color w:val="0070C0"/>
          <w:cs/>
        </w:rPr>
        <w:t xml:space="preserve"> </w:t>
      </w:r>
      <w:r>
        <w:rPr>
          <w:rFonts w:hint="cs" w:ascii="Angsana New" w:hAnsi="Angsana New"/>
          <w:cs/>
          <w:lang w:val="th-TH" w:bidi="th-TH"/>
        </w:rPr>
        <w:t>ต้นทุนในการรวมธุรกิจวัด</w:t>
      </w:r>
      <w:r>
        <w:rPr>
          <w:rFonts w:ascii="Angsana New" w:hAnsi="Angsana New"/>
          <w:cs/>
          <w:lang w:val="th-TH" w:bidi="th-TH"/>
        </w:rPr>
        <w:t>มูลค่าด้วย</w:t>
      </w:r>
      <w:r>
        <w:rPr>
          <w:rFonts w:hint="cs" w:ascii="Angsana New" w:hAnsi="Angsana New"/>
          <w:cs/>
          <w:lang w:val="th-TH" w:bidi="th-TH"/>
        </w:rPr>
        <w:t>ผลรวมของมูลค่ายุติธรรมของ</w:t>
      </w:r>
      <w:r>
        <w:rPr>
          <w:rFonts w:ascii="Angsana New" w:hAnsi="Angsana New"/>
          <w:cs/>
          <w:lang w:val="th-TH" w:bidi="th-TH"/>
        </w:rPr>
        <w:t>สิ่งตอบแทนที่โอนให้</w:t>
      </w:r>
      <w:r>
        <w:rPr>
          <w:rFonts w:hint="cs" w:ascii="Angsana New" w:hAnsi="Angsana New"/>
          <w:cs/>
        </w:rPr>
        <w:t xml:space="preserve"> </w:t>
      </w:r>
      <w:r>
        <w:rPr>
          <w:rFonts w:hint="cs" w:ascii="Angsana New" w:hAnsi="Angsana New"/>
          <w:cs/>
          <w:lang w:val="th-TH" w:bidi="th-TH"/>
        </w:rPr>
        <w:t xml:space="preserve">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</w:t>
      </w:r>
      <w:r>
        <w:rPr>
          <w:rFonts w:hint="cs" w:ascii="Angsana New" w:hAnsi="Angsana New"/>
          <w:cs/>
        </w:rPr>
        <w:t>(</w:t>
      </w:r>
      <w:r>
        <w:rPr>
          <w:rFonts w:hint="cs" w:ascii="Angsana New" w:hAnsi="Angsana New"/>
          <w:cs/>
          <w:lang w:val="th-TH" w:bidi="th-TH"/>
        </w:rPr>
        <w:t>หากเป็นการรวมธุรกิจที่ดำเนินการสำเร็จจากการทยอยซื้อ</w:t>
      </w:r>
      <w:r>
        <w:rPr>
          <w:rFonts w:hint="cs" w:ascii="Angsana New" w:hAnsi="Angsana New"/>
          <w:cs/>
        </w:rPr>
        <w:t>)</w:t>
      </w:r>
      <w:r>
        <w:rPr>
          <w:rFonts w:ascii="Angsana New" w:hAnsi="Angsana New"/>
        </w:rPr>
        <w:t xml:space="preserve"> </w:t>
      </w:r>
    </w:p>
    <w:p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>
        <w:rPr>
          <w:rFonts w:hint="cs" w:ascii="Angsana New" w:hAnsi="Angsana New"/>
          <w:cs/>
          <w:lang w:val="th-TH" w:bidi="th-TH"/>
        </w:rPr>
        <w:t xml:space="preserve">ในการรวมธุรกิจแต่ละครั้ง </w:t>
      </w:r>
      <w:r>
        <w:rPr>
          <w:rFonts w:ascii="Angsana New" w:hAnsi="Angsana New"/>
          <w:cs/>
          <w:lang w:val="th-TH" w:bidi="th-TH"/>
        </w:rPr>
        <w:t>กลุ่ม</w:t>
      </w:r>
      <w:r>
        <w:rPr>
          <w:rFonts w:hint="cs" w:ascii="Angsana New" w:hAnsi="Angsana New"/>
          <w:cs/>
          <w:lang w:val="th-TH" w:bidi="th-TH"/>
        </w:rPr>
        <w:t>บริษัท</w:t>
      </w:r>
      <w:r>
        <w:rPr>
          <w:rFonts w:ascii="Angsana New" w:hAnsi="Angsana New"/>
          <w:cs/>
          <w:lang w:val="th-TH" w:bidi="th-TH"/>
        </w:rPr>
        <w:t>มีทางเลือกที่จะวัดมูลค่าของส่วนได้เสียที่ไม่มีอ</w:t>
      </w:r>
      <w:r>
        <w:rPr>
          <w:rFonts w:hint="cs" w:ascii="Angsana New" w:hAnsi="Angsana New"/>
          <w:cs/>
          <w:lang w:val="th-TH" w:bidi="th-TH"/>
        </w:rPr>
        <w:t>ำ</w:t>
      </w:r>
      <w:r>
        <w:rPr>
          <w:rFonts w:ascii="Angsana New" w:hAnsi="Angsana New"/>
          <w:cs/>
          <w:lang w:val="th-TH" w:bidi="th-TH"/>
        </w:rPr>
        <w:t>นาจควบคุมในผู้ถูกซื้อด้วยมูลค่ายุติธรรมหรือด้วยมูลค่าของสินทรัพย์สุทธิ</w:t>
      </w:r>
      <w:r>
        <w:rPr>
          <w:rFonts w:hint="cs" w:ascii="Angsana New" w:hAnsi="Angsana New"/>
          <w:cs/>
          <w:lang w:val="th-TH" w:bidi="th-TH"/>
        </w:rPr>
        <w:t>ที่</w:t>
      </w:r>
      <w:r>
        <w:rPr>
          <w:rFonts w:ascii="Angsana New" w:hAnsi="Angsana New"/>
          <w:cs/>
          <w:lang w:val="th-TH" w:bidi="th-TH"/>
        </w:rPr>
        <w:t>ระบุได้ของ</w:t>
      </w:r>
      <w:r>
        <w:rPr>
          <w:rFonts w:hint="cs" w:ascii="Angsana New" w:hAnsi="Angsana New"/>
          <w:cs/>
          <w:lang w:val="th-TH" w:bidi="th-TH"/>
        </w:rPr>
        <w:t>ผู้</w:t>
      </w:r>
      <w:r>
        <w:rPr>
          <w:rFonts w:ascii="Angsana New" w:hAnsi="Angsana New"/>
          <w:cs/>
          <w:lang w:val="th-TH" w:bidi="th-TH"/>
        </w:rPr>
        <w:t>ถูก</w:t>
      </w:r>
      <w:r>
        <w:rPr>
          <w:rFonts w:hint="cs" w:ascii="Angsana New" w:hAnsi="Angsana New"/>
          <w:cs/>
          <w:lang w:val="th-TH" w:bidi="th-TH"/>
        </w:rPr>
        <w:t>ซื้อ</w:t>
      </w:r>
      <w:r>
        <w:rPr>
          <w:rFonts w:ascii="Angsana New" w:hAnsi="Angsana New"/>
          <w:cs/>
          <w:lang w:val="th-TH" w:bidi="th-TH"/>
        </w:rPr>
        <w:t>ตามสัดส่วนความเป็นเจ้าของ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  <w:lang w:val="th-TH" w:bidi="th-TH"/>
        </w:rPr>
        <w:t>กลุ่ม</w:t>
      </w:r>
      <w:r>
        <w:rPr>
          <w:rFonts w:hint="cs" w:ascii="Angsana New" w:hAnsi="Angsana New"/>
          <w:cs/>
          <w:lang w:val="th-TH" w:bidi="th-TH"/>
        </w:rPr>
        <w:t>บริษัทบันทึก</w:t>
      </w:r>
      <w:r>
        <w:rPr>
          <w:rFonts w:ascii="Angsana New" w:hAnsi="Angsana New"/>
          <w:cs/>
          <w:lang w:val="th-TH" w:bidi="th-TH"/>
        </w:rPr>
        <w:t>ต้นทุน</w:t>
      </w:r>
      <w:r>
        <w:rPr>
          <w:rFonts w:hint="cs" w:ascii="Angsana New" w:hAnsi="Angsana New"/>
          <w:cs/>
          <w:lang w:val="th-TH" w:bidi="th-TH"/>
        </w:rPr>
        <w:t xml:space="preserve">ที่เกี่ยวข้องกับการซื้อเป็นค่าใช้จ่ายเมื่อเกิดรายการและรวมอยู่ในค่าใช้จ่ายในการบริหาร  </w:t>
      </w:r>
    </w:p>
    <w:p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>
        <w:rPr>
          <w:rFonts w:ascii="Angsana New" w:hAnsi="Angsana New"/>
          <w:cs/>
          <w:lang w:val="th-TH" w:bidi="th-TH"/>
        </w:rPr>
        <w:t>กลุ่มบริษัท</w:t>
      </w:r>
      <w:r>
        <w:rPr>
          <w:rFonts w:hint="cs" w:ascii="Angsana New" w:hAnsi="Angsana New"/>
          <w:cs/>
          <w:lang w:val="th-TH" w:bidi="th-TH"/>
        </w:rPr>
        <w:t>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>
        <w:rPr>
          <w:rFonts w:ascii="Angsana New" w:hAnsi="Angsana New"/>
          <w:cs/>
          <w:lang w:val="th-TH" w:bidi="th-TH"/>
        </w:rPr>
        <w:t>จัดประเภท</w:t>
      </w:r>
      <w:r>
        <w:rPr>
          <w:rFonts w:hint="cs" w:ascii="Angsana New" w:hAnsi="Angsana New"/>
          <w:cs/>
          <w:lang w:val="th-TH" w:bidi="th-TH"/>
        </w:rPr>
        <w:t>รายการ</w:t>
      </w:r>
      <w:r>
        <w:rPr>
          <w:rFonts w:ascii="Angsana New" w:hAnsi="Angsana New"/>
          <w:cs/>
          <w:lang w:val="th-TH" w:bidi="th-TH"/>
        </w:rPr>
        <w:t>โดยพิจารณาจากเงื่อนไขในสัญญา สภาวะทางเศรษฐกิจ และเงื่อนไขอื่น</w:t>
      </w:r>
      <w:r>
        <w:rPr>
          <w:rFonts w:hint="cs" w:ascii="Angsana New" w:hAnsi="Angsana New"/>
          <w:cs/>
        </w:rPr>
        <w:t xml:space="preserve"> </w:t>
      </w:r>
      <w:r>
        <w:rPr>
          <w:rFonts w:ascii="Angsana New" w:hAnsi="Angsana New"/>
          <w:cs/>
          <w:lang w:val="th-TH" w:bidi="th-TH"/>
        </w:rPr>
        <w:t>ๆ</w:t>
      </w:r>
      <w:r>
        <w:rPr>
          <w:rFonts w:hint="cs" w:ascii="Angsana New" w:hAnsi="Angsana New"/>
          <w:cs/>
        </w:rPr>
        <w:t xml:space="preserve"> </w:t>
      </w:r>
      <w:r>
        <w:rPr>
          <w:rFonts w:ascii="Angsana New" w:hAnsi="Angsana New"/>
          <w:cs/>
          <w:lang w:val="th-TH" w:bidi="th-TH"/>
        </w:rPr>
        <w:t>ที่เกี่ยวข้องที่มีอยู่</w:t>
      </w:r>
      <w:r>
        <w:rPr>
          <w:rFonts w:hint="cs" w:ascii="Angsana New" w:hAnsi="Angsana New"/>
          <w:cs/>
        </w:rPr>
        <w:t xml:space="preserve"> </w:t>
      </w:r>
      <w:r>
        <w:rPr>
          <w:rFonts w:ascii="Angsana New" w:hAnsi="Angsana New"/>
          <w:cs/>
          <w:lang w:val="th-TH" w:bidi="th-TH"/>
        </w:rPr>
        <w:t xml:space="preserve">ณ วันที่ซื้อ </w:t>
      </w:r>
    </w:p>
    <w:p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>
        <w:rPr>
          <w:rFonts w:hint="cs" w:ascii="Angsana New" w:hAnsi="Angsana New"/>
          <w:cs/>
          <w:lang w:val="th-TH" w:bidi="th-TH"/>
        </w:rPr>
        <w:t>กลุ่ม</w:t>
      </w:r>
      <w:r>
        <w:rPr>
          <w:rFonts w:ascii="Angsana New" w:hAnsi="Angsana New"/>
          <w:cs/>
          <w:lang w:val="th-TH" w:bidi="th-TH"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hint="cs" w:ascii="Angsana New" w:hAnsi="Angsana New"/>
          <w:cs/>
          <w:lang w:val="th-TH" w:bidi="th-TH"/>
        </w:rPr>
        <w:t>กลุ่ม</w:t>
      </w:r>
      <w:r>
        <w:rPr>
          <w:rFonts w:ascii="Angsana New" w:hAnsi="Angsana New"/>
          <w:cs/>
          <w:lang w:val="th-TH" w:bidi="th-TH"/>
        </w:rPr>
        <w:t>บริษัทจะรับรู้ส่วนที่สูงกว่านี้เป็นกำไรในส่วนของกำไรหรือขาดทุนทันที</w:t>
      </w:r>
    </w:p>
    <w:p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2.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olor w:val="000000" w:themeColor="text1"/>
          <w:cs/>
          <w:lang w:val="th-TH" w:bidi="th-TH"/>
          <w14:textFill>
            <w14:solidFill>
              <w14:schemeClr w14:val="tx1"/>
            </w14:solidFill>
          </w14:textFill>
        </w:rPr>
        <w:t>รายการ</w:t>
      </w:r>
      <w:r>
        <w:rPr>
          <w:rFonts w:asciiTheme="majorBidi" w:hAnsiTheme="majorBidi" w:cstheme="majorBidi"/>
          <w:b/>
          <w:bCs/>
          <w:cs/>
          <w:lang w:val="th-TH" w:bidi="th-TH"/>
        </w:rPr>
        <w:t>ธุรกิจกับกิจการที่เกี่ยวข้องกัน</w:t>
      </w:r>
    </w:p>
    <w:p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 xml:space="preserve">ในระหว่างงวด </w:t>
      </w:r>
      <w:r>
        <w:rPr>
          <w:rFonts w:hint="cs" w:asciiTheme="majorBidi" w:hAnsiTheme="majorBidi" w:cstheme="majorBidi"/>
          <w:cs/>
          <w:lang w:val="th-TH" w:bidi="th-TH"/>
        </w:rPr>
        <w:t>กลุ่ม</w:t>
      </w:r>
      <w:r>
        <w:rPr>
          <w:rFonts w:asciiTheme="majorBidi" w:hAnsiTheme="majorBidi" w:cstheme="majorBidi"/>
          <w:cs/>
          <w:lang w:val="th-TH" w:bidi="th-TH"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>
        <w:rPr>
          <w:rFonts w:asciiTheme="majorBidi" w:hAnsiTheme="majorBidi" w:cstheme="majorBidi"/>
          <w:spacing w:val="-2"/>
          <w:cs/>
          <w:lang w:val="th-TH" w:bidi="th-TH"/>
        </w:rPr>
        <w:t>เป็นไปตาม</w:t>
      </w:r>
      <w:r>
        <w:rPr>
          <w:rFonts w:asciiTheme="majorBidi" w:hAnsiTheme="majorBidi" w:cstheme="majorBidi"/>
          <w:cs/>
          <w:lang w:val="th-TH" w:bidi="th-TH"/>
        </w:rPr>
        <w:t>เงื่อนไข</w:t>
      </w:r>
      <w:r>
        <w:rPr>
          <w:rFonts w:asciiTheme="majorBidi" w:hAnsiTheme="majorBidi" w:cstheme="majorBidi"/>
          <w:spacing w:val="-2"/>
          <w:cs/>
          <w:lang w:val="th-TH" w:bidi="th-TH"/>
        </w:rPr>
        <w:t>ทางการค้าและเกณฑ์ตามที่ตกลงกันระหว่าง</w:t>
      </w:r>
      <w:r>
        <w:rPr>
          <w:rFonts w:hint="cs" w:asciiTheme="majorBidi" w:hAnsiTheme="majorBidi" w:cstheme="majorBidi"/>
          <w:spacing w:val="-2"/>
          <w:cs/>
          <w:lang w:val="th-TH" w:bidi="th-TH"/>
        </w:rPr>
        <w:t>กลุ่ม</w:t>
      </w:r>
      <w:r>
        <w:rPr>
          <w:rFonts w:asciiTheme="majorBidi" w:hAnsiTheme="majorBidi" w:cstheme="majorBidi"/>
          <w:spacing w:val="-2"/>
          <w:cs/>
          <w:lang w:val="th-TH" w:bidi="th-TH"/>
        </w:rPr>
        <w:t>บริษัท และบุคคลหรือกิจการที่เกี่ยวข้องกัน</w:t>
      </w:r>
      <w:r>
        <w:rPr>
          <w:rFonts w:asciiTheme="majorBidi" w:hAnsiTheme="majorBidi" w:cstheme="majorBidi"/>
          <w:cs/>
          <w:lang w:val="th-TH" w:bidi="th-TH"/>
        </w:rPr>
        <w:t>เหล่านั้น ซึ่งเป็นไปตามปกติธุรกิจ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ทั้งนี้ในระหว่างงวด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  <w:lang w:val="th-TH" w:bidi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Style w:val="9"/>
        <w:tblW w:w="921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0"/>
        <w:gridCol w:w="1620"/>
        <w:gridCol w:w="1545"/>
        <w:gridCol w:w="1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710" w:type="dxa"/>
            <w:gridSpan w:val="3"/>
            <w:vAlign w:val="bottom"/>
          </w:tcPr>
          <w:p>
            <w:pPr>
              <w:tabs>
                <w:tab w:val="decimal" w:pos="493"/>
              </w:tabs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พัน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710" w:type="dxa"/>
            <w:gridSpan w:val="3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493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  <w:lang w:val="th-TH" w:bidi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>
              <w:rPr>
                <w:rFonts w:hint="cs" w:asciiTheme="majorBidi" w:hAnsiTheme="majorBidi" w:cstheme="majorBidi"/>
                <w:spacing w:val="-5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>
            <w:pPr>
              <w:pStyle w:val="7"/>
              <w:pBdr>
                <w:bottom w:val="single" w:color="auto" w:sz="4" w:space="1"/>
              </w:pBdr>
              <w:spacing w:before="0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>
            <w:pPr>
              <w:pStyle w:val="7"/>
              <w:pBdr>
                <w:bottom w:val="single" w:color="auto" w:sz="4" w:space="1"/>
              </w:pBdr>
              <w:spacing w:before="0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>
            <w:pPr>
              <w:pStyle w:val="7"/>
              <w:spacing w:before="0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545" w:type="dxa"/>
            <w:vAlign w:val="bottom"/>
          </w:tcPr>
          <w:p>
            <w:pPr>
              <w:pStyle w:val="7"/>
              <w:spacing w:before="0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545" w:type="dxa"/>
            <w:vAlign w:val="bottom"/>
          </w:tcPr>
          <w:p>
            <w:pPr>
              <w:pStyle w:val="7"/>
              <w:spacing w:before="0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ind w:left="173" w:hanging="173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  <w:lang w:val="th-TH" w:bidi="th-TH"/>
              </w:rPr>
              <w:t>รายการธุรกิจกับบริษัท</w:t>
            </w:r>
            <w:r>
              <w:rPr>
                <w:rFonts w:hint="cs" w:asciiTheme="majorBidi" w:hAnsiTheme="majorBidi" w:cstheme="majorBidi"/>
                <w:spacing w:val="-5"/>
                <w:sz w:val="30"/>
                <w:szCs w:val="30"/>
                <w:u w:val="single"/>
                <w:cs/>
                <w:lang w:val="th-TH" w:bidi="th-TH"/>
              </w:rPr>
              <w:t>ใหญ่</w:t>
            </w:r>
          </w:p>
        </w:tc>
        <w:tc>
          <w:tcPr>
            <w:tcW w:w="162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45" w:type="dxa"/>
          </w:tcPr>
          <w:p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45" w:type="dxa"/>
          </w:tcPr>
          <w:p>
            <w:pPr>
              <w:tabs>
                <w:tab w:val="decimal" w:pos="960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ind w:left="173" w:hanging="17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cs="Angsana New"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รายได้ค่าเช่าและบริการ</w:t>
            </w:r>
          </w:p>
        </w:tc>
        <w:tc>
          <w:tcPr>
            <w:tcW w:w="162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97</w:t>
            </w: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97</w:t>
            </w: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ind w:left="173" w:hanging="173"/>
              <w:rPr>
                <w:rFonts w:cs="Angsana New" w:asciiTheme="majorBidi" w:hAnsiTheme="majorBidi"/>
                <w:spacing w:val="-5"/>
                <w:sz w:val="30"/>
                <w:szCs w:val="30"/>
                <w:vertAlign w:val="superscript"/>
                <w:cs/>
              </w:rPr>
            </w:pPr>
            <w:r>
              <w:rPr>
                <w:rFonts w:cs="Angsana New"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รายได้ค่าที่ปรึกษา</w:t>
            </w:r>
            <w:r>
              <w:rPr>
                <w:rFonts w:hint="cs" w:cs="Angsana New" w:asciiTheme="majorBidi" w:hAnsiTheme="majorBidi"/>
                <w:spacing w:val="-5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62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77</w:t>
            </w: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77</w:t>
            </w: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ind w:left="173" w:hanging="173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  <w:lang w:val="th-TH" w:bidi="th-TH"/>
              </w:rPr>
              <w:t>รายการธุรกิจกับบริษัท</w:t>
            </w:r>
            <w:r>
              <w:rPr>
                <w:rFonts w:cs="Angsana New" w:asciiTheme="majorBidi" w:hAnsiTheme="majorBidi"/>
                <w:spacing w:val="-5"/>
                <w:sz w:val="30"/>
                <w:szCs w:val="30"/>
                <w:u w:val="single"/>
                <w:cs/>
                <w:lang w:val="th-TH" w:bidi="th-TH"/>
              </w:rPr>
              <w:t>ที่เกี่ยวข้องกัน</w:t>
            </w:r>
          </w:p>
        </w:tc>
        <w:tc>
          <w:tcPr>
            <w:tcW w:w="162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ind w:left="173" w:hanging="17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cs="Angsana New"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รายได้ค่าเช่าและบริการ</w:t>
            </w:r>
          </w:p>
        </w:tc>
        <w:tc>
          <w:tcPr>
            <w:tcW w:w="162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65</w:t>
            </w: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65</w:t>
            </w: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ind w:left="173" w:hanging="173"/>
              <w:rPr>
                <w:rFonts w:cs="Angsana New" w:asciiTheme="majorBidi" w:hAnsiTheme="majorBidi"/>
                <w:spacing w:val="-5"/>
                <w:sz w:val="30"/>
                <w:szCs w:val="30"/>
                <w:vertAlign w:val="superscript"/>
                <w:cs/>
              </w:rPr>
            </w:pPr>
            <w:r>
              <w:rPr>
                <w:rFonts w:cs="Angsana New"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รายได้ค่าที่ปรึกษา</w:t>
            </w:r>
            <w:r>
              <w:rPr>
                <w:rFonts w:hint="cs" w:cs="Angsana New" w:asciiTheme="majorBidi" w:hAnsiTheme="majorBidi"/>
                <w:spacing w:val="-5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62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178</w:t>
            </w: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178</w:t>
            </w:r>
          </w:p>
        </w:tc>
        <w:tc>
          <w:tcPr>
            <w:tcW w:w="154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</w:tbl>
    <w:p>
      <w:pPr>
        <w:overflowPunct/>
        <w:autoSpaceDE/>
        <w:autoSpaceDN/>
        <w:adjustRightInd/>
        <w:spacing w:after="260" w:line="260" w:lineRule="atLeast"/>
        <w:textAlignment w:val="auto"/>
        <w:rPr>
          <w:cs/>
        </w:rPr>
      </w:pPr>
    </w:p>
    <w:tbl>
      <w:tblPr>
        <w:tblStyle w:val="9"/>
        <w:tblW w:w="918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0"/>
        <w:gridCol w:w="1710"/>
        <w:gridCol w:w="1485"/>
        <w:gridCol w:w="1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3"/>
            <w:vAlign w:val="bottom"/>
          </w:tcPr>
          <w:p>
            <w:pPr>
              <w:tabs>
                <w:tab w:val="decimal" w:pos="493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พัน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3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493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  <w:lang w:val="th-TH" w:bidi="th-TH"/>
              </w:rPr>
              <w:t>สำหรับงวด</w:t>
            </w:r>
            <w:r>
              <w:rPr>
                <w:rFonts w:hint="cs" w:asciiTheme="majorBidi" w:hAnsiTheme="majorBidi" w:cstheme="majorBidi"/>
                <w:spacing w:val="-5"/>
                <w:sz w:val="30"/>
                <w:szCs w:val="30"/>
                <w:cs/>
                <w:lang w:val="th-TH" w:bidi="th-TH"/>
              </w:rPr>
              <w:t>เก้า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  <w:lang w:val="th-TH"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>
              <w:rPr>
                <w:rFonts w:hint="cs" w:asciiTheme="majorBidi" w:hAnsiTheme="majorBidi" w:cstheme="majorBidi"/>
                <w:spacing w:val="-5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>
            <w:pPr>
              <w:pStyle w:val="7"/>
              <w:pBdr>
                <w:bottom w:val="single" w:color="auto" w:sz="4" w:space="1"/>
              </w:pBdr>
              <w:spacing w:before="0" w:line="380" w:lineRule="exact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>
            <w:pPr>
              <w:pStyle w:val="7"/>
              <w:pBdr>
                <w:bottom w:val="single" w:color="auto" w:sz="4" w:space="1"/>
              </w:pBdr>
              <w:spacing w:before="0" w:line="380" w:lineRule="exact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>
            <w:pPr>
              <w:pStyle w:val="7"/>
              <w:spacing w:before="0" w:line="380" w:lineRule="exact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485" w:type="dxa"/>
            <w:vAlign w:val="bottom"/>
          </w:tcPr>
          <w:p>
            <w:pPr>
              <w:pStyle w:val="7"/>
              <w:spacing w:before="0" w:line="380" w:lineRule="exact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485" w:type="dxa"/>
            <w:vAlign w:val="bottom"/>
          </w:tcPr>
          <w:p>
            <w:pPr>
              <w:pStyle w:val="7"/>
              <w:spacing w:before="0" w:line="380" w:lineRule="exact"/>
              <w:jc w:val="center"/>
              <w:rPr>
                <w:rFonts w:asciiTheme="majorBidi" w:hAnsiTheme="majorBidi"/>
                <w:i/>
                <w:iCs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spacing w:line="380" w:lineRule="exact"/>
              <w:ind w:left="173" w:hanging="173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  <w:lang w:val="th-TH" w:bidi="th-TH"/>
              </w:rPr>
              <w:t>รายการธุรกิจกับบริษัท</w:t>
            </w:r>
            <w:r>
              <w:rPr>
                <w:rFonts w:hint="cs" w:asciiTheme="majorBidi" w:hAnsiTheme="majorBidi" w:cstheme="majorBidi"/>
                <w:spacing w:val="-5"/>
                <w:sz w:val="30"/>
                <w:szCs w:val="30"/>
                <w:u w:val="single"/>
                <w:cs/>
                <w:lang w:val="th-TH" w:bidi="th-TH"/>
              </w:rPr>
              <w:t>ใหญ่</w:t>
            </w:r>
          </w:p>
        </w:tc>
        <w:tc>
          <w:tcPr>
            <w:tcW w:w="171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spacing w:line="380" w:lineRule="exact"/>
              <w:ind w:left="173" w:hanging="17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cs="Angsana New"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รายได้ค่าเช่าและบริการ</w:t>
            </w:r>
          </w:p>
        </w:tc>
        <w:tc>
          <w:tcPr>
            <w:tcW w:w="171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289</w:t>
            </w: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289</w:t>
            </w: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spacing w:line="380" w:lineRule="exact"/>
              <w:ind w:left="173" w:hanging="173"/>
              <w:rPr>
                <w:rFonts w:cs="Angsana New" w:asciiTheme="majorBidi" w:hAnsiTheme="majorBidi"/>
                <w:spacing w:val="-5"/>
                <w:sz w:val="30"/>
                <w:szCs w:val="30"/>
                <w:vertAlign w:val="superscript"/>
                <w:cs/>
              </w:rPr>
            </w:pPr>
            <w:r>
              <w:rPr>
                <w:rFonts w:cs="Angsana New"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รายได้ค่าที่ปรึกษา</w:t>
            </w:r>
            <w:r>
              <w:rPr>
                <w:rFonts w:hint="cs" w:cs="Angsana New" w:asciiTheme="majorBidi" w:hAnsiTheme="majorBidi"/>
                <w:spacing w:val="-5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71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77</w:t>
            </w: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77</w:t>
            </w: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spacing w:line="380" w:lineRule="exact"/>
              <w:ind w:left="173" w:hanging="173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  <w:lang w:val="th-TH" w:bidi="th-TH"/>
              </w:rPr>
              <w:t>รายการธุรกิจกับบริษัท</w:t>
            </w:r>
            <w:r>
              <w:rPr>
                <w:rFonts w:cs="Angsana New" w:asciiTheme="majorBidi" w:hAnsiTheme="majorBidi"/>
                <w:spacing w:val="-5"/>
                <w:sz w:val="30"/>
                <w:szCs w:val="30"/>
                <w:u w:val="single"/>
                <w:cs/>
                <w:lang w:val="th-TH" w:bidi="th-TH"/>
              </w:rPr>
              <w:t>ที่เกี่ยวข้องกัน</w:t>
            </w:r>
          </w:p>
        </w:tc>
        <w:tc>
          <w:tcPr>
            <w:tcW w:w="171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spacing w:line="380" w:lineRule="exact"/>
              <w:ind w:left="173" w:hanging="17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cs="Angsana New"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รายได้ค่าเช่าและบริการ</w:t>
            </w:r>
          </w:p>
        </w:tc>
        <w:tc>
          <w:tcPr>
            <w:tcW w:w="171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194</w:t>
            </w: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194</w:t>
            </w: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>
            <w:pPr>
              <w:spacing w:line="380" w:lineRule="exact"/>
              <w:ind w:left="173" w:hanging="173"/>
              <w:rPr>
                <w:rFonts w:cs="Angsana New" w:asciiTheme="majorBidi" w:hAnsiTheme="majorBidi"/>
                <w:spacing w:val="-5"/>
                <w:sz w:val="30"/>
                <w:szCs w:val="30"/>
                <w:vertAlign w:val="superscript"/>
              </w:rPr>
            </w:pPr>
            <w:r>
              <w:rPr>
                <w:rFonts w:cs="Angsana New" w:asciiTheme="majorBidi" w:hAnsiTheme="majorBidi"/>
                <w:spacing w:val="-5"/>
                <w:sz w:val="30"/>
                <w:szCs w:val="30"/>
                <w:cs/>
                <w:lang w:val="th-TH" w:bidi="th-TH"/>
              </w:rPr>
              <w:t>รายได้ค่าที่ปรึกษา</w:t>
            </w:r>
            <w:r>
              <w:rPr>
                <w:rFonts w:cs="Angsana New" w:asciiTheme="majorBidi" w:hAnsiTheme="majorBidi"/>
                <w:spacing w:val="-5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710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178</w:t>
            </w: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178</w:t>
            </w:r>
          </w:p>
        </w:tc>
        <w:tc>
          <w:tcPr>
            <w:tcW w:w="1485" w:type="dxa"/>
          </w:tcPr>
          <w:p>
            <w:pPr>
              <w:tabs>
                <w:tab w:val="decimal" w:pos="97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</w:tbl>
    <w:p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>*</w:t>
      </w:r>
      <w:r>
        <w:rPr>
          <w:rFonts w:hint="cs" w:asciiTheme="majorBidi" w:hAnsiTheme="majorBidi" w:cstheme="majorBidi"/>
          <w:sz w:val="30"/>
          <w:szCs w:val="30"/>
          <w:cs/>
          <w:lang w:val="th-TH" w:bidi="th-TH"/>
        </w:rPr>
        <w:t>ราคาตามสัญญา</w:t>
      </w:r>
    </w:p>
    <w:p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  <w:u w:val="single"/>
          <w:cs/>
          <w:lang w:val="th-TH" w:bidi="th-TH"/>
        </w:rPr>
        <w:t>ค่าตอบแทนกรรมการและผู้บริหาร</w:t>
      </w:r>
    </w:p>
    <w:p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  <w:lang w:val="th-TH" w:bidi="th-TH"/>
        </w:rPr>
        <w:t>ในระหว่างงวด</w:t>
      </w:r>
      <w:r>
        <w:rPr>
          <w:rFonts w:asciiTheme="majorBidi" w:hAnsiTheme="majorBidi" w:cstheme="majorBidi"/>
        </w:rPr>
        <w:t xml:space="preserve"> </w:t>
      </w:r>
      <w:r>
        <w:rPr>
          <w:rFonts w:hint="cs" w:asciiTheme="majorBidi" w:hAnsiTheme="majorBidi" w:cstheme="majorBidi"/>
          <w:cs/>
          <w:lang w:val="th-TH" w:bidi="th-TH"/>
        </w:rPr>
        <w:t>กลุ่ม</w:t>
      </w:r>
      <w:r>
        <w:rPr>
          <w:rFonts w:asciiTheme="majorBidi" w:hAnsiTheme="majorBidi" w:cstheme="majorBidi"/>
          <w:cs/>
          <w:lang w:val="th-TH" w:bidi="th-TH"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9"/>
        <w:tblW w:w="9180" w:type="dxa"/>
        <w:tblInd w:w="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0"/>
        <w:gridCol w:w="1710"/>
        <w:gridCol w:w="1665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40" w:type="dxa"/>
            <w:vAlign w:val="bottom"/>
          </w:tcPr>
          <w:p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3"/>
            <w:vAlign w:val="bottom"/>
          </w:tcPr>
          <w:p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พัน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4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3"/>
            <w:vAlign w:val="bottom"/>
          </w:tcPr>
          <w:p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4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bottom"/>
          </w:tcPr>
          <w:p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4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665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665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140" w:type="dxa"/>
            <w:vAlign w:val="bottom"/>
          </w:tcPr>
          <w:p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ผลประโยชน์ระยะสั้น</w:t>
            </w:r>
          </w:p>
        </w:tc>
        <w:tc>
          <w:tcPr>
            <w:tcW w:w="1710" w:type="dxa"/>
          </w:tcPr>
          <w:p>
            <w:pP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1665" w:type="dxa"/>
          </w:tcPr>
          <w:p>
            <w:pP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1665" w:type="dxa"/>
          </w:tcPr>
          <w:p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140" w:type="dxa"/>
            <w:vAlign w:val="bottom"/>
          </w:tcPr>
          <w:p>
            <w:pPr>
              <w:spacing w:line="360" w:lineRule="exact"/>
              <w:ind w:left="173" w:right="-108" w:hanging="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cs="Angsana New" w:asciiTheme="majorBidi" w:hAnsiTheme="majorBidi"/>
                <w:sz w:val="30"/>
                <w:szCs w:val="30"/>
                <w:cs/>
                <w:lang w:val="th-TH" w:bidi="th-TH"/>
              </w:rPr>
              <w:t>ผลประโยชน์หลังออกจากงาน</w:t>
            </w:r>
          </w:p>
        </w:tc>
        <w:tc>
          <w:tcPr>
            <w:tcW w:w="171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665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665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0" w:type="dxa"/>
            <w:vAlign w:val="bottom"/>
          </w:tcPr>
          <w:p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รวม</w:t>
            </w:r>
          </w:p>
        </w:tc>
        <w:tc>
          <w:tcPr>
            <w:tcW w:w="1710" w:type="dxa"/>
          </w:tcPr>
          <w:p>
            <w:pPr>
              <w:pBdr>
                <w:bottom w:val="double" w:color="auto" w:sz="4" w:space="1"/>
              </w:pBd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  <w:tc>
          <w:tcPr>
            <w:tcW w:w="1665" w:type="dxa"/>
          </w:tcPr>
          <w:p>
            <w:pPr>
              <w:pBdr>
                <w:bottom w:val="double" w:color="auto" w:sz="4" w:space="1"/>
              </w:pBd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  <w:tc>
          <w:tcPr>
            <w:tcW w:w="1665" w:type="dxa"/>
          </w:tcPr>
          <w:p>
            <w:pPr>
              <w:pBdr>
                <w:bottom w:val="double" w:color="auto" w:sz="4" w:space="1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1,202</w:t>
            </w:r>
          </w:p>
        </w:tc>
      </w:tr>
    </w:tbl>
    <w:p/>
    <w:tbl>
      <w:tblPr>
        <w:tblStyle w:val="9"/>
        <w:tblW w:w="9180" w:type="dxa"/>
        <w:tblInd w:w="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0"/>
        <w:gridCol w:w="1710"/>
        <w:gridCol w:w="1710"/>
        <w:gridCol w:w="1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40" w:type="dxa"/>
            <w:vAlign w:val="bottom"/>
          </w:tcPr>
          <w:p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3"/>
            <w:vAlign w:val="bottom"/>
          </w:tcPr>
          <w:p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พัน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4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3"/>
            <w:vAlign w:val="bottom"/>
          </w:tcPr>
          <w:p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สำหรับงวด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เก้า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4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bottom"/>
          </w:tcPr>
          <w:p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4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71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140" w:type="dxa"/>
            <w:vAlign w:val="bottom"/>
          </w:tcPr>
          <w:p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ผลประโยชน์ระยะสั้น</w:t>
            </w:r>
          </w:p>
        </w:tc>
        <w:tc>
          <w:tcPr>
            <w:tcW w:w="1710" w:type="dxa"/>
          </w:tcPr>
          <w:p>
            <w:pP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3,323</w:t>
            </w:r>
          </w:p>
        </w:tc>
        <w:tc>
          <w:tcPr>
            <w:tcW w:w="1710" w:type="dxa"/>
          </w:tcPr>
          <w:p>
            <w:pP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3,323</w:t>
            </w:r>
          </w:p>
        </w:tc>
        <w:tc>
          <w:tcPr>
            <w:tcW w:w="1620" w:type="dxa"/>
          </w:tcPr>
          <w:p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140" w:type="dxa"/>
            <w:vAlign w:val="bottom"/>
          </w:tcPr>
          <w:p>
            <w:pPr>
              <w:spacing w:line="360" w:lineRule="exact"/>
              <w:ind w:left="173" w:right="-108" w:hanging="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cs="Angsana New" w:asciiTheme="majorBidi" w:hAnsiTheme="majorBidi"/>
                <w:sz w:val="30"/>
                <w:szCs w:val="30"/>
                <w:cs/>
                <w:lang w:val="th-TH" w:bidi="th-TH"/>
              </w:rPr>
              <w:t>ผลประโยชน์หลังออกจากงาน</w:t>
            </w:r>
          </w:p>
        </w:tc>
        <w:tc>
          <w:tcPr>
            <w:tcW w:w="171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71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0" w:type="dxa"/>
            <w:vAlign w:val="bottom"/>
          </w:tcPr>
          <w:p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รวม</w:t>
            </w:r>
          </w:p>
        </w:tc>
        <w:tc>
          <w:tcPr>
            <w:tcW w:w="1710" w:type="dxa"/>
          </w:tcPr>
          <w:p>
            <w:pPr>
              <w:pBdr>
                <w:bottom w:val="double" w:color="auto" w:sz="4" w:space="1"/>
              </w:pBd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  <w:tc>
          <w:tcPr>
            <w:tcW w:w="1710" w:type="dxa"/>
          </w:tcPr>
          <w:p>
            <w:pPr>
              <w:pBdr>
                <w:bottom w:val="double" w:color="auto" w:sz="4" w:space="1"/>
              </w:pBd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  <w:tc>
          <w:tcPr>
            <w:tcW w:w="1620" w:type="dxa"/>
          </w:tcPr>
          <w:p>
            <w:pPr>
              <w:pBdr>
                <w:bottom w:val="double" w:color="auto" w:sz="4" w:space="1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3,602</w:t>
            </w:r>
          </w:p>
        </w:tc>
      </w:tr>
    </w:tbl>
    <w:p>
      <w:pPr>
        <w:tabs>
          <w:tab w:val="right" w:pos="7280"/>
          <w:tab w:val="right" w:pos="8540"/>
        </w:tabs>
        <w:spacing w:before="24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ajorBidi" w:hAnsiTheme="majorBidi" w:cstheme="majorBidi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asciiTheme="majorBidi" w:hAnsiTheme="majorBidi" w:cstheme="majorBidi"/>
          <w:b/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Theme="majorBidi" w:hAnsiTheme="majorBidi" w:cstheme="majorBidi"/>
          <w:b/>
          <w:bCs/>
          <w:color w:val="000000" w:themeColor="text1"/>
          <w:cs/>
          <w:lang w:val="th-TH" w:bidi="th-TH"/>
          <w14:textFill>
            <w14:solidFill>
              <w14:schemeClr w14:val="tx1"/>
            </w14:solidFill>
          </w14:textFill>
        </w:rPr>
        <w:t>ลูกหนี้การค้าและลูกหนี้อื่น</w:t>
      </w:r>
    </w:p>
    <w:tbl>
      <w:tblPr>
        <w:tblStyle w:val="9"/>
        <w:tblW w:w="909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800"/>
        <w:gridCol w:w="1800"/>
        <w:gridCol w:w="1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090" w:type="dxa"/>
            <w:gridSpan w:val="4"/>
          </w:tcPr>
          <w:p>
            <w:pPr>
              <w:spacing w:line="370" w:lineRule="exac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90" w:type="dxa"/>
          </w:tcPr>
          <w:p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3600" w:type="dxa"/>
            <w:gridSpan w:val="2"/>
          </w:tcPr>
          <w:p>
            <w:pPr>
              <w:pBdr>
                <w:bottom w:val="single" w:color="auto" w:sz="4" w:space="1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90" w:type="dxa"/>
          </w:tcPr>
          <w:p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90" w:type="dxa"/>
          </w:tcPr>
          <w:p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00" w:type="dxa"/>
          </w:tcPr>
          <w:p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>
            <w:pPr>
              <w:spacing w:line="370" w:lineRule="exact"/>
              <w:ind w:left="-18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ตรวจสอบแล้ว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</w:tcPr>
          <w:p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800" w:type="dxa"/>
          </w:tcPr>
          <w:p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</w:tcPr>
          <w:p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>
        <w:tc>
          <w:tcPr>
            <w:tcW w:w="3690" w:type="dxa"/>
          </w:tcPr>
          <w:p>
            <w:pPr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ยังไม่ถึงกำหนดชำระ</w:t>
            </w:r>
          </w:p>
        </w:tc>
        <w:tc>
          <w:tcPr>
            <w:tcW w:w="1800" w:type="dxa"/>
          </w:tcPr>
          <w:p>
            <w:pP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9,108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3,611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</w:tcPr>
          <w:p>
            <w:pPr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ค้างชำระ</w:t>
            </w:r>
          </w:p>
        </w:tc>
        <w:tc>
          <w:tcPr>
            <w:tcW w:w="1800" w:type="dxa"/>
          </w:tcPr>
          <w:p>
            <w:pP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</w:tcPr>
          <w:p>
            <w:pPr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เดือน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</w:tcPr>
          <w:p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รวมลูกหนี้การค้า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10,391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3,611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</w:tcPr>
          <w:p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bidi="th-TH"/>
              </w:rPr>
              <w:t>ลูกหนี้อื่น</w:t>
            </w:r>
          </w:p>
        </w:tc>
        <w:tc>
          <w:tcPr>
            <w:tcW w:w="1800" w:type="dxa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center"/>
          </w:tcPr>
          <w:p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eastAsia="Cordia New" w:asciiTheme="majorBidi" w:hAnsiTheme="majorBidi" w:cstheme="majorBidi"/>
                <w:sz w:val="30"/>
                <w:szCs w:val="30"/>
                <w:cs/>
                <w:lang w:val="th-TH" w:bidi="th-TH"/>
              </w:rPr>
              <w:t>ลูกหนี้อื่น</w:t>
            </w:r>
            <w:r>
              <w:rPr>
                <w:rFonts w:eastAsia="Cordia New"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center"/>
          </w:tcPr>
          <w:p>
            <w:pPr>
              <w:spacing w:line="370" w:lineRule="exact"/>
              <w:ind w:right="-45"/>
              <w:jc w:val="thaiDistribute"/>
              <w:rPr>
                <w:rFonts w:eastAsia="Cordia New"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รายได้ค้างรับ</w:t>
            </w:r>
          </w:p>
        </w:tc>
        <w:tc>
          <w:tcPr>
            <w:tcW w:w="1800" w:type="dxa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center"/>
          </w:tcPr>
          <w:p>
            <w:pPr>
              <w:tabs>
                <w:tab w:val="left" w:pos="16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eastAsiaTheme="minorHAnsi" w:cstheme="majorBidi"/>
                <w:sz w:val="30"/>
                <w:szCs w:val="30"/>
                <w:cs/>
                <w:lang w:val="th-TH" w:bidi="th-TH"/>
              </w:rPr>
              <w:t>ค่าใช้จ่ายจ่ายล่วงหน้า</w:t>
            </w:r>
          </w:p>
        </w:tc>
        <w:tc>
          <w:tcPr>
            <w:tcW w:w="1800" w:type="dxa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3690" w:type="dxa"/>
          </w:tcPr>
          <w:p>
            <w:pPr>
              <w:tabs>
                <w:tab w:val="left" w:pos="162"/>
              </w:tabs>
              <w:spacing w:line="37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อื่น ๆ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</w:tcPr>
          <w:p>
            <w:pPr>
              <w:tabs>
                <w:tab w:val="left" w:pos="162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รวมลูกหนี้อื่น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</w:tcPr>
          <w:p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>
            <w:pPr>
              <w:pBdr>
                <w:bottom w:val="doub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11,286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4,436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150"/>
              </w:tabs>
              <w:spacing w:line="37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3,931</w:t>
            </w:r>
          </w:p>
        </w:tc>
      </w:tr>
    </w:tbl>
    <w:p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ajorBidi" w:hAnsiTheme="majorBidi" w:cstheme="majorBidi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asciiTheme="majorBidi" w:hAnsiTheme="majorBidi" w:cstheme="majorBidi"/>
          <w:b/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Theme="majorBidi" w:hAnsiTheme="majorBidi" w:cstheme="majorBidi"/>
          <w:b/>
          <w:bCs/>
          <w:color w:val="000000" w:themeColor="text1"/>
          <w:cs/>
          <w:lang w:val="th-TH" w:bidi="th-TH"/>
          <w14:textFill>
            <w14:solidFill>
              <w14:schemeClr w14:val="tx1"/>
            </w14:solidFill>
          </w14:textFill>
        </w:rPr>
        <w:t>สินทรัพย์ทางการเงินอื่น</w:t>
      </w:r>
    </w:p>
    <w:tbl>
      <w:tblPr>
        <w:tblStyle w:val="9"/>
        <w:tblW w:w="936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1800"/>
        <w:gridCol w:w="1800"/>
        <w:gridCol w:w="1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360" w:type="dxa"/>
            <w:gridSpan w:val="4"/>
          </w:tcPr>
          <w:p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60" w:type="dxa"/>
          </w:tcPr>
          <w:p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3600" w:type="dxa"/>
            <w:gridSpan w:val="2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60" w:type="dxa"/>
          </w:tcPr>
          <w:p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00" w:type="dxa"/>
          </w:tcPr>
          <w:p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ตรวจสอบแล้ว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  <w:lang w:val="th-TH"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>ตราสารหนี้ภาคเอกชนที่จะถือจนครบกำหนด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26,037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26,037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165" w:hanging="183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  <w:lang w:val="th-TH" w:bidi="th-TH"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972"/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>หน่วยลงทุนในกองทุนรวม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45,300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45,300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165" w:hanging="183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  <w:lang w:val="th-TH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>สินทรัพย์ตราสารอนุพันธ์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>รวมสินทรัพย์ทางการเงินอื่น</w:t>
            </w:r>
          </w:p>
        </w:tc>
        <w:tc>
          <w:tcPr>
            <w:tcW w:w="1800" w:type="dxa"/>
          </w:tcPr>
          <w:p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71,933</w:t>
            </w:r>
          </w:p>
        </w:tc>
        <w:tc>
          <w:tcPr>
            <w:tcW w:w="1800" w:type="dxa"/>
            <w:vAlign w:val="bottom"/>
          </w:tcPr>
          <w:p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71,933</w:t>
            </w:r>
          </w:p>
        </w:tc>
        <w:tc>
          <w:tcPr>
            <w:tcW w:w="1800" w:type="dxa"/>
            <w:vAlign w:val="bottom"/>
          </w:tcPr>
          <w:p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>หมุนเวียน</w:t>
            </w:r>
          </w:p>
        </w:tc>
        <w:tc>
          <w:tcPr>
            <w:tcW w:w="1800" w:type="dxa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71,337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71,337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>ไม่หมุนเวียน</w:t>
            </w:r>
          </w:p>
        </w:tc>
        <w:tc>
          <w:tcPr>
            <w:tcW w:w="1800" w:type="dxa"/>
          </w:tcPr>
          <w:p>
            <w:pPr>
              <w:pBdr>
                <w:bottom w:val="single" w:color="auto" w:sz="4" w:space="1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24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>
            <w:pPr>
              <w:pBdr>
                <w:bottom w:val="double" w:color="auto" w:sz="4" w:space="1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71,933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71,933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146,115</w:t>
            </w:r>
          </w:p>
        </w:tc>
      </w:tr>
    </w:tbl>
    <w:p>
      <w:pPr>
        <w:tabs>
          <w:tab w:val="left" w:pos="900"/>
          <w:tab w:val="left" w:pos="2160"/>
        </w:tabs>
        <w:spacing w:before="240" w:after="120"/>
        <w:ind w:left="547" w:right="4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 w:bidi="th-TH"/>
        </w:rPr>
        <w:t xml:space="preserve">สินทรัพย์ทางการเงินข้างต้นวัดมูลค่าด้วยมูลค่ายุติธรรมในระดับที่ </w:t>
      </w:r>
      <w:r>
        <w:rPr>
          <w:rFonts w:asciiTheme="majorBidi" w:hAnsiTheme="majorBidi" w:cstheme="majorBidi"/>
        </w:rPr>
        <w:t xml:space="preserve">2 </w:t>
      </w:r>
      <w:r>
        <w:rPr>
          <w:rFonts w:asciiTheme="majorBidi" w:hAnsiTheme="majorBidi" w:cstheme="majorBidi"/>
          <w:cs/>
          <w:lang w:val="th-TH" w:bidi="th-TH"/>
        </w:rPr>
        <w:t>และไม่มีการโอนรายการระหว่างลำดับชั้นของมูลค่ายุติธรรมในระหว่างงวด</w:t>
      </w:r>
    </w:p>
    <w:p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 xml:space="preserve">5. 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เงินลงทุนในบริษัท</w:t>
      </w:r>
      <w:r>
        <w:rPr>
          <w:rFonts w:hint="cs" w:asciiTheme="majorBidi" w:hAnsiTheme="majorBidi" w:cstheme="majorBidi"/>
          <w:b/>
          <w:bCs/>
          <w:cs/>
          <w:lang w:val="th-TH" w:bidi="th-TH"/>
        </w:rPr>
        <w:t>ย่อย</w:t>
      </w:r>
    </w:p>
    <w:p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>
        <w:rPr>
          <w:rFonts w:ascii="Angsana New" w:hAnsi="Angsana New"/>
          <w:cs/>
          <w:lang w:val="th-TH" w:bidi="th-TH"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Style w:val="9"/>
        <w:tblW w:w="936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1140"/>
        <w:gridCol w:w="1200"/>
        <w:gridCol w:w="1140"/>
        <w:gridCol w:w="1290"/>
        <w:gridCol w:w="1140"/>
        <w:gridCol w:w="1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พัน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บาท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ทุนเรียกชำระแล้ว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tabs>
                <w:tab w:val="right" w:pos="7200"/>
                <w:tab w:val="right" w:pos="8540"/>
              </w:tabs>
              <w:ind w:left="-22" w:firstLine="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ร้อยละของเงินลงทุน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tabs>
                <w:tab w:val="right" w:pos="7200"/>
                <w:tab w:val="right" w:pos="8540"/>
              </w:tabs>
              <w:ind w:left="-22" w:firstLine="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ราคาทุน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กันยายน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กันยายน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กันยายน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pos="7200"/>
                <w:tab w:val="right" w:pos="8540"/>
              </w:tabs>
              <w:ind w:left="-155" w:right="-12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 w:bidi="th-TH"/>
              </w:rPr>
              <w:t>ตรวจสอบแล้ว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pos="7200"/>
                <w:tab w:val="right" w:pos="8540"/>
              </w:tabs>
              <w:ind w:left="-155" w:right="-12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 w:bidi="th-TH"/>
              </w:rPr>
              <w:t>ตรวจสอบแล้ว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pos="7200"/>
                <w:tab w:val="right" w:pos="8540"/>
              </w:tabs>
              <w:ind w:left="-155" w:right="-12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 w:bidi="th-TH"/>
              </w:rPr>
              <w:t>ตรวจสอบแล้ว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56" w:right="3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cs="Angsana New" w:asciiTheme="majorBidi" w:hAnsiTheme="majorBidi"/>
                <w:sz w:val="28"/>
                <w:szCs w:val="28"/>
                <w:cs/>
                <w:lang w:val="th-TH" w:bidi="th-TH"/>
              </w:rPr>
              <w:t>บริษัท ดีดี</w:t>
            </w:r>
            <w:r>
              <w:rPr>
                <w:rFonts w:cs="Angsana New" w:asciiTheme="majorBidi" w:hAnsiTheme="majorBidi"/>
                <w:sz w:val="28"/>
                <w:szCs w:val="28"/>
                <w:cs/>
              </w:rPr>
              <w:t>-</w:t>
            </w:r>
            <w:r>
              <w:rPr>
                <w:rFonts w:cs="Angsana New" w:asciiTheme="majorBidi" w:hAnsiTheme="majorBidi"/>
                <w:sz w:val="28"/>
                <w:szCs w:val="28"/>
                <w:cs/>
                <w:lang w:val="th-TH" w:bidi="th-TH"/>
              </w:rPr>
              <w:t>ทวินวัน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99.60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decimal" w:pos="552"/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รวม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</w:rPr>
        <w:tab/>
      </w:r>
      <w:r>
        <w:rPr>
          <w:rFonts w:cs="Angsana New" w:asciiTheme="majorBidi" w:hAnsiTheme="majorBidi"/>
          <w:u w:val="single"/>
          <w:cs/>
          <w:lang w:val="th-TH" w:bidi="th-TH"/>
        </w:rPr>
        <w:t>บริษัท ดีดี</w:t>
      </w:r>
      <w:r>
        <w:rPr>
          <w:rFonts w:cs="Angsana New" w:asciiTheme="majorBidi" w:hAnsiTheme="majorBidi"/>
          <w:u w:val="single"/>
          <w:cs/>
        </w:rPr>
        <w:t>-</w:t>
      </w:r>
      <w:r>
        <w:rPr>
          <w:rFonts w:cs="Angsana New" w:asciiTheme="majorBidi" w:hAnsiTheme="majorBidi"/>
          <w:u w:val="single"/>
          <w:cs/>
          <w:lang w:val="th-TH" w:bidi="th-TH"/>
        </w:rPr>
        <w:t>ทวินวัน จำกัด</w:t>
      </w:r>
      <w:r>
        <w:rPr>
          <w:rFonts w:cs="Angsana New" w:asciiTheme="majorBidi" w:hAnsiTheme="majorBidi"/>
          <w:u w:val="single"/>
        </w:rPr>
        <w:t xml:space="preserve"> </w:t>
      </w:r>
      <w:r>
        <w:rPr>
          <w:rFonts w:asciiTheme="majorBidi" w:hAnsiTheme="majorBidi" w:cstheme="majorBidi"/>
          <w:u w:val="single"/>
          <w:cs/>
        </w:rPr>
        <w:t>(“</w:t>
      </w:r>
      <w:r>
        <w:rPr>
          <w:rFonts w:asciiTheme="majorBidi" w:hAnsiTheme="majorBidi" w:cstheme="majorBidi"/>
          <w:u w:val="single"/>
          <w:cs/>
          <w:lang w:val="th-TH" w:bidi="th-TH"/>
        </w:rPr>
        <w:t>ดีดี</w:t>
      </w:r>
      <w:r>
        <w:rPr>
          <w:rFonts w:asciiTheme="majorBidi" w:hAnsiTheme="majorBidi" w:cstheme="majorBidi"/>
          <w:u w:val="single"/>
          <w:cs/>
        </w:rPr>
        <w:t>-</w:t>
      </w:r>
      <w:r>
        <w:rPr>
          <w:rFonts w:asciiTheme="majorBidi" w:hAnsiTheme="majorBidi" w:cstheme="majorBidi"/>
          <w:u w:val="single"/>
          <w:cs/>
          <w:lang w:val="th-TH" w:bidi="th-TH"/>
        </w:rPr>
        <w:t>ทวินวัน</w:t>
      </w:r>
      <w:r>
        <w:rPr>
          <w:rFonts w:asciiTheme="majorBidi" w:hAnsiTheme="majorBidi" w:cstheme="majorBidi"/>
          <w:u w:val="single"/>
          <w:cs/>
        </w:rPr>
        <w:t>”)</w:t>
      </w:r>
    </w:p>
    <w:p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  <w:lang w:val="th-TH" w:bidi="th-TH"/>
        </w:rPr>
        <w:t xml:space="preserve">เมื่อวันที่ </w:t>
      </w:r>
      <w:r>
        <w:rPr>
          <w:rFonts w:asciiTheme="majorBidi" w:hAnsiTheme="majorBidi" w:cstheme="majorBidi"/>
        </w:rPr>
        <w:t>6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พฤษภาคม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ที่ประชุมคณะกรรมการของบริษัทฯ ได้มีมติอนุมัติเข้าซื้อหุ้นสามัญของ</w:t>
      </w:r>
      <w:r>
        <w:rPr>
          <w:rFonts w:hint="cs" w:asciiTheme="majorBidi" w:hAnsiTheme="majorBidi" w:cstheme="majorBidi"/>
          <w:cs/>
        </w:rPr>
        <w:t xml:space="preserve">                                          </w:t>
      </w:r>
      <w:r>
        <w:rPr>
          <w:rFonts w:asciiTheme="majorBidi" w:hAnsiTheme="majorBidi" w:cstheme="majorBidi"/>
          <w:cs/>
          <w:lang w:val="th-TH" w:bidi="th-TH"/>
        </w:rPr>
        <w:t>ดีดี</w:t>
      </w:r>
      <w:r>
        <w:rPr>
          <w:rFonts w:asciiTheme="majorBidi" w:hAnsiTheme="majorBidi" w:cstheme="majorBidi"/>
          <w:cs/>
        </w:rPr>
        <w:t>-</w:t>
      </w:r>
      <w:r>
        <w:rPr>
          <w:rFonts w:asciiTheme="majorBidi" w:hAnsiTheme="majorBidi" w:cstheme="majorBidi"/>
          <w:cs/>
          <w:lang w:val="th-TH" w:bidi="th-TH"/>
        </w:rPr>
        <w:t>ทวินวั</w:t>
      </w:r>
      <w:r>
        <w:rPr>
          <w:rFonts w:hint="cs" w:asciiTheme="majorBidi" w:hAnsiTheme="majorBidi" w:cstheme="majorBidi"/>
          <w:cs/>
          <w:lang w:val="th-TH" w:bidi="th-TH"/>
        </w:rPr>
        <w:t xml:space="preserve">น </w:t>
      </w:r>
      <w:r>
        <w:rPr>
          <w:rFonts w:asciiTheme="majorBidi" w:hAnsiTheme="majorBidi" w:cstheme="majorBidi"/>
          <w:cs/>
          <w:lang w:val="th-TH" w:bidi="th-TH"/>
        </w:rPr>
        <w:t xml:space="preserve">ซึ่งเป็นบริษัทที่ประกอบธุรกิจที่เกี่ยวข้องกับผลิตภัณฑ์อาหารเสริม จำนวน </w:t>
      </w:r>
      <w:r>
        <w:rPr>
          <w:rFonts w:asciiTheme="majorBidi" w:hAnsiTheme="majorBidi" w:cstheme="majorBidi"/>
        </w:rPr>
        <w:t>49,800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หุ้น คิดเป็นร้อยละ </w:t>
      </w:r>
      <w:r>
        <w:rPr>
          <w:rFonts w:asciiTheme="majorBidi" w:hAnsiTheme="majorBidi" w:cstheme="majorBidi"/>
        </w:rPr>
        <w:t>99.60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ของจำนวนหุ้นที่ชำระแล้วทั้งหมด บริษัทฯได้ทำสัญญาซื้อขายหุ้นของดีดี</w:t>
      </w:r>
      <w:r>
        <w:rPr>
          <w:rFonts w:asciiTheme="majorBidi" w:hAnsiTheme="majorBidi" w:cstheme="majorBidi"/>
          <w:cs/>
        </w:rPr>
        <w:t>-</w:t>
      </w:r>
      <w:r>
        <w:rPr>
          <w:rFonts w:asciiTheme="majorBidi" w:hAnsiTheme="majorBidi" w:cstheme="majorBidi"/>
          <w:cs/>
          <w:lang w:val="th-TH" w:bidi="th-TH"/>
        </w:rPr>
        <w:t xml:space="preserve">ทวินวัน กับผู้ขายในราคาซื้อขายรวมทั้งสิ้น </w:t>
      </w:r>
      <w:r>
        <w:rPr>
          <w:rFonts w:asciiTheme="majorBidi" w:hAnsiTheme="majorBidi" w:cstheme="majorBidi"/>
        </w:rPr>
        <w:t>4.98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ล้านบาท โดยบริษัทฯมีสิทธิที่จะขายหุ้นคืนให้กับผู้ขายตามเงื่อนไขที่ระบุในสัญญา</w:t>
      </w:r>
      <w:r>
        <w:rPr>
          <w:rFonts w:asciiTheme="majorBidi" w:hAnsiTheme="majorBidi" w:cstheme="majorBidi"/>
        </w:rPr>
        <w:t xml:space="preserve"> </w:t>
      </w:r>
      <w:r>
        <w:rPr>
          <w:rFonts w:hint="cs" w:asciiTheme="majorBidi" w:hAnsiTheme="majorBidi" w:cstheme="majorBidi"/>
          <w:cs/>
          <w:lang w:val="th-TH" w:bidi="th-TH"/>
        </w:rPr>
        <w:t>ต่อมา</w:t>
      </w:r>
      <w:r>
        <w:rPr>
          <w:rFonts w:asciiTheme="majorBidi" w:hAnsiTheme="majorBidi" w:cstheme="majorBidi"/>
          <w:cs/>
          <w:lang w:val="th-TH" w:bidi="th-TH"/>
        </w:rPr>
        <w:t xml:space="preserve">เมื่อวันที่ </w:t>
      </w:r>
      <w:r>
        <w:rPr>
          <w:rFonts w:asciiTheme="majorBidi" w:hAnsiTheme="majorBidi" w:cstheme="majorBidi"/>
        </w:rPr>
        <w:t>28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กรกฎาคม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hint="cs" w:asciiTheme="majorBidi" w:hAnsiTheme="majorBidi" w:cstheme="majorBidi"/>
          <w:cs/>
        </w:rPr>
        <w:t>(</w:t>
      </w:r>
      <w:r>
        <w:rPr>
          <w:rFonts w:hint="cs" w:asciiTheme="majorBidi" w:hAnsiTheme="majorBidi" w:cstheme="majorBidi"/>
          <w:cs/>
          <w:lang w:val="th-TH" w:bidi="th-TH"/>
        </w:rPr>
        <w:t>วันที่ซื้อ</w:t>
      </w:r>
      <w:r>
        <w:rPr>
          <w:rFonts w:hint="cs" w:asciiTheme="majorBidi" w:hAnsiTheme="majorBidi" w:cstheme="majorBidi"/>
          <w:cs/>
        </w:rPr>
        <w:t xml:space="preserve">) </w:t>
      </w:r>
      <w:r>
        <w:rPr>
          <w:rFonts w:asciiTheme="majorBidi" w:hAnsiTheme="majorBidi" w:cstheme="majorBidi"/>
          <w:cs/>
          <w:lang w:val="th-TH" w:bidi="th-TH"/>
        </w:rPr>
        <w:t>บริษัทฯ ได้รับโอนหุ้นสามัญจากผู้ขายแล้ว</w:t>
      </w:r>
    </w:p>
    <w:p>
      <w:pPr>
        <w:spacing w:before="120" w:after="120" w:line="420" w:lineRule="exact"/>
        <w:ind w:left="547" w:right="-43"/>
        <w:jc w:val="thaiDistribute"/>
        <w:rPr>
          <w:rFonts w:asciiTheme="majorBidi" w:hAnsiTheme="majorBidi" w:cstheme="majorBidi"/>
        </w:rPr>
      </w:pPr>
      <w:r>
        <w:rPr>
          <w:rFonts w:ascii="Angsana New" w:hAnsi="Angsana New"/>
          <w:cs/>
          <w:lang w:val="th-TH" w:bidi="th-TH"/>
        </w:rPr>
        <w:t>มูลค่า</w:t>
      </w:r>
      <w:r>
        <w:rPr>
          <w:rFonts w:hint="cs" w:ascii="Angsana New" w:hAnsi="Angsana New"/>
          <w:cs/>
          <w:lang w:val="th-TH" w:bidi="th-TH"/>
        </w:rPr>
        <w:t>ยุติธรรม</w:t>
      </w:r>
      <w:r>
        <w:rPr>
          <w:rFonts w:ascii="Angsana New" w:hAnsi="Angsana New"/>
          <w:cs/>
          <w:lang w:val="th-TH" w:bidi="th-TH"/>
        </w:rPr>
        <w:t>ของสินทรัพย์และหนี้สินที่</w:t>
      </w:r>
      <w:r>
        <w:rPr>
          <w:rFonts w:hint="cs" w:ascii="Angsana New" w:hAnsi="Angsana New"/>
          <w:cs/>
          <w:lang w:val="th-TH" w:bidi="th-TH"/>
        </w:rPr>
        <w:t>ระบุได้</w:t>
      </w:r>
      <w:r>
        <w:rPr>
          <w:rFonts w:ascii="Angsana New" w:hAnsi="Angsana New"/>
          <w:cs/>
          <w:lang w:val="th-TH" w:bidi="th-TH"/>
        </w:rPr>
        <w:t>ของ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  <w:lang w:val="th-TH" w:bidi="th-TH"/>
        </w:rPr>
        <w:t>ดีดี</w:t>
      </w:r>
      <w:r>
        <w:rPr>
          <w:rFonts w:ascii="Angsana New" w:hAnsi="Angsana New"/>
          <w:cs/>
        </w:rPr>
        <w:t>-</w:t>
      </w:r>
      <w:r>
        <w:rPr>
          <w:rFonts w:ascii="Angsana New" w:hAnsi="Angsana New"/>
          <w:cs/>
          <w:lang w:val="th-TH" w:bidi="th-TH"/>
        </w:rPr>
        <w:t>ทวินวัน</w:t>
      </w:r>
      <w:r>
        <w:rPr>
          <w:rFonts w:hint="cs" w:ascii="Angsana New" w:hAnsi="Angsana New"/>
          <w:cs/>
        </w:rPr>
        <w:t xml:space="preserve"> </w:t>
      </w:r>
      <w:r>
        <w:rPr>
          <w:rFonts w:hint="cs" w:ascii="Angsana New" w:hAnsi="Angsana New"/>
          <w:cs/>
          <w:lang w:val="th-TH" w:bidi="th-TH"/>
        </w:rPr>
        <w:t xml:space="preserve">ณ วันที่ซื้อ </w:t>
      </w:r>
      <w:r>
        <w:rPr>
          <w:rFonts w:ascii="Angsana New" w:hAnsi="Angsana New"/>
          <w:cs/>
          <w:lang w:val="th-TH" w:bidi="th-TH"/>
        </w:rPr>
        <w:t>มีรายละเอียดดังนี้</w:t>
      </w:r>
    </w:p>
    <w:tbl>
      <w:tblPr>
        <w:tblStyle w:val="55"/>
        <w:tblW w:w="9050" w:type="dxa"/>
        <w:tblInd w:w="4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0"/>
        <w:gridCol w:w="15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Header/>
        </w:trPr>
        <w:tc>
          <w:tcPr>
            <w:tcW w:w="9050" w:type="dxa"/>
            <w:gridSpan w:val="2"/>
            <w:vAlign w:val="bottom"/>
          </w:tcPr>
          <w:p>
            <w:pPr>
              <w:spacing w:line="400" w:lineRule="exact"/>
              <w:jc w:val="right"/>
              <w:textAlignment w:val="auto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สินค้าคงเหลือ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เงิน</w:t>
            </w:r>
            <w:r>
              <w:rPr>
                <w:rFonts w:hint="cs" w:ascii="Angsana New" w:hAnsi="Angsana New"/>
                <w:cs/>
                <w:lang w:val="th-TH" w:bidi="th-TH"/>
              </w:rPr>
              <w:t xml:space="preserve">ลงทุนในบริษัทร่วม </w:t>
            </w:r>
            <w:r>
              <w:rPr>
                <w:rFonts w:hint="cs" w:ascii="Angsana New" w:hAnsi="Angsana New"/>
                <w:cs/>
              </w:rPr>
              <w:t>(</w:t>
            </w:r>
            <w:r>
              <w:rPr>
                <w:rFonts w:hint="cs" w:ascii="Angsana New" w:hAnsi="Angsana New"/>
                <w:cs/>
                <w:lang w:val="th-TH" w:bidi="th-TH"/>
              </w:rPr>
              <w:t>บริษัท มูเตลูแล้วรวย จำกัด</w:t>
            </w:r>
            <w:r>
              <w:rPr>
                <w:rFonts w:hint="cs" w:ascii="Angsana New" w:hAnsi="Angsana New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อุปกรณ์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สินทรัพย์ไม่มีตัวตน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hint="cs" w:ascii="Angsana New" w:hAnsi="Angsana New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(3,339)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  <w:lang w:val="th-TH" w:bidi="th-TH"/>
              </w:rPr>
              <w:t>รวม</w:t>
            </w:r>
            <w:r>
              <w:rPr>
                <w:rFonts w:ascii="Angsana New" w:hAnsi="Angsana New"/>
                <w:cs/>
                <w:lang w:val="th-TH" w:bidi="th-TH"/>
              </w:rPr>
              <w:t>สินทรัพย์สุทธิ</w:t>
            </w:r>
            <w:r>
              <w:rPr>
                <w:rFonts w:hint="cs" w:ascii="Angsana New" w:hAnsi="Angsana New"/>
                <w:cs/>
                <w:lang w:val="th-TH" w:bidi="th-TH"/>
              </w:rPr>
              <w:t>ที่ระบุได้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tabs>
                <w:tab w:val="left" w:pos="518"/>
              </w:tabs>
              <w:spacing w:line="400" w:lineRule="exact"/>
              <w:ind w:left="691" w:hanging="691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hint="cs" w:ascii="Angsana New" w:hAnsi="Angsana New"/>
                <w:cs/>
                <w:lang w:val="th-TH" w:bidi="th-TH"/>
              </w:rPr>
              <w:t>กำไรจากการต่อรองราคาซื้อ</w:t>
            </w:r>
          </w:p>
        </w:tc>
        <w:tc>
          <w:tcPr>
            <w:tcW w:w="153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53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4,865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highlight w:val="yellow"/>
                <w:cs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530" w:type="dxa"/>
            <w:vAlign w:val="bottom"/>
          </w:tcPr>
          <w:p>
            <w:pP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tabs>
                <w:tab w:val="left" w:pos="518"/>
              </w:tabs>
              <w:spacing w:line="400" w:lineRule="exact"/>
              <w:ind w:left="691" w:hanging="691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  <w:lang w:val="th-TH" w:bidi="th-TH"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53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(4,865)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20" w:type="dxa"/>
            <w:vAlign w:val="bottom"/>
          </w:tcPr>
          <w:p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เงินสด</w:t>
            </w:r>
            <w:r>
              <w:rPr>
                <w:rFonts w:hint="cs" w:ascii="Angsana New" w:hAnsi="Angsana New"/>
                <w:cs/>
                <w:lang w:val="th-TH" w:bidi="th-TH"/>
              </w:rPr>
              <w:t>จ่าย</w:t>
            </w:r>
            <w:r>
              <w:rPr>
                <w:rFonts w:ascii="Angsana New" w:hAnsi="Angsana New"/>
                <w:cs/>
                <w:lang w:val="th-TH" w:bidi="th-TH"/>
              </w:rPr>
              <w:t>สุทธิจากการซื้อเงินลงทุนในบริษัทย่อย</w:t>
            </w:r>
          </w:p>
        </w:tc>
        <w:tc>
          <w:tcPr>
            <w:tcW w:w="153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4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(4,292)</w:t>
            </w:r>
          </w:p>
        </w:tc>
      </w:tr>
    </w:tbl>
    <w:p>
      <w:pPr>
        <w:overflowPunct/>
        <w:autoSpaceDE/>
        <w:autoSpaceDN/>
        <w:adjustRightInd/>
        <w:spacing w:before="240" w:after="120" w:line="420" w:lineRule="exact"/>
        <w:ind w:left="605"/>
        <w:jc w:val="thaiDistribute"/>
        <w:textAlignment w:val="auto"/>
        <w:rPr>
          <w:rFonts w:asciiTheme="majorBidi" w:hAnsiTheme="majorBidi"/>
          <w:spacing w:val="-4"/>
        </w:rPr>
      </w:pPr>
      <w:r>
        <w:rPr>
          <w:rFonts w:hint="cs" w:asciiTheme="majorBidi" w:hAnsiTheme="majorBidi" w:cstheme="majorBidi"/>
          <w:cs/>
          <w:lang w:val="th-TH" w:bidi="th-TH"/>
        </w:rPr>
        <w:t>ปัจจุบันฝ่ายบริหารของบริษัทฯอยู่ระหว่างดำเนินการวัดมูลค่ายุติธรรม ณ วันที่ซื้อของสินทรัพย์ที่ระบุได้ที่ได้มาและหนี้สินที่รับมาของ ดีดี</w:t>
      </w:r>
      <w:r>
        <w:rPr>
          <w:rFonts w:hint="cs" w:asciiTheme="majorBidi" w:hAnsiTheme="majorBidi" w:cstheme="majorBidi"/>
          <w:cs/>
        </w:rPr>
        <w:t>-</w:t>
      </w:r>
      <w:r>
        <w:rPr>
          <w:rFonts w:hint="cs" w:asciiTheme="majorBidi" w:hAnsiTheme="majorBidi" w:cstheme="majorBidi"/>
          <w:cs/>
          <w:lang w:val="th-TH" w:bidi="th-TH"/>
        </w:rPr>
        <w:t>ทวินวันให้แล้วเสร็จ</w:t>
      </w:r>
    </w:p>
    <w:p>
      <w:pPr>
        <w:overflowPunct/>
        <w:autoSpaceDE/>
        <w:autoSpaceDN/>
        <w:adjustRightInd/>
        <w:spacing w:before="240" w:after="120" w:line="420" w:lineRule="exact"/>
        <w:ind w:left="605"/>
        <w:jc w:val="thaiDistribute"/>
        <w:textAlignment w:val="auto"/>
        <w:rPr>
          <w:rFonts w:asciiTheme="majorBidi" w:hAnsiTheme="majorBidi"/>
          <w:spacing w:val="-4"/>
        </w:rPr>
      </w:pPr>
      <w:r>
        <w:rPr>
          <w:rFonts w:asciiTheme="majorBidi" w:hAnsiTheme="majorBidi"/>
          <w:spacing w:val="-4"/>
          <w:cs/>
          <w:lang w:val="th-TH" w:bidi="th-TH"/>
        </w:rPr>
        <w:t>รายได้และ</w:t>
      </w:r>
      <w:r>
        <w:rPr>
          <w:rFonts w:ascii="Angsana New" w:hAnsi="Angsana New"/>
          <w:spacing w:val="-4"/>
          <w:cs/>
          <w:lang w:val="th-TH" w:bidi="th-TH"/>
        </w:rPr>
        <w:t>กำไร</w:t>
      </w:r>
      <w:r>
        <w:rPr>
          <w:rFonts w:hint="cs" w:ascii="Angsana New" w:hAnsi="Angsana New"/>
          <w:spacing w:val="-4"/>
          <w:cs/>
          <w:lang w:val="th-TH" w:bidi="th-TH"/>
        </w:rPr>
        <w:t>ก่อนภาษี</w:t>
      </w:r>
      <w:r>
        <w:rPr>
          <w:rFonts w:asciiTheme="majorBidi" w:hAnsiTheme="majorBidi"/>
          <w:spacing w:val="-4"/>
          <w:cs/>
          <w:lang w:val="th-TH" w:bidi="th-TH"/>
        </w:rPr>
        <w:t>ของ ดีดี</w:t>
      </w:r>
      <w:r>
        <w:rPr>
          <w:rFonts w:asciiTheme="majorBidi" w:hAnsiTheme="majorBidi"/>
          <w:spacing w:val="-4"/>
          <w:cs/>
        </w:rPr>
        <w:t>-</w:t>
      </w:r>
      <w:r>
        <w:rPr>
          <w:rFonts w:asciiTheme="majorBidi" w:hAnsiTheme="majorBidi"/>
          <w:spacing w:val="-4"/>
          <w:cs/>
          <w:lang w:val="th-TH" w:bidi="th-TH"/>
        </w:rPr>
        <w:t>ทวินวัน</w:t>
      </w:r>
      <w:r>
        <w:rPr>
          <w:rFonts w:asciiTheme="majorBidi" w:hAnsiTheme="majorBidi"/>
          <w:spacing w:val="-4"/>
        </w:rPr>
        <w:t xml:space="preserve"> </w:t>
      </w:r>
      <w:r>
        <w:rPr>
          <w:rFonts w:asciiTheme="majorBidi" w:hAnsiTheme="majorBidi"/>
          <w:spacing w:val="-4"/>
          <w:cs/>
          <w:lang w:val="th-TH" w:bidi="th-TH"/>
        </w:rPr>
        <w:t>ตั้งแต่วันที่ซื้อ ซึ่งรวมอยู่ในงบกำไรขาดทุนเบ็ดเสร็จรวม</w:t>
      </w:r>
      <w:r>
        <w:rPr>
          <w:rFonts w:hint="cs" w:asciiTheme="majorBidi" w:hAnsiTheme="majorBidi"/>
          <w:spacing w:val="-4"/>
          <w:cs/>
        </w:rPr>
        <w:t xml:space="preserve"> </w:t>
      </w:r>
      <w:r>
        <w:rPr>
          <w:rFonts w:asciiTheme="majorBidi" w:hAnsiTheme="majorBidi"/>
          <w:spacing w:val="-4"/>
          <w:cs/>
          <w:lang w:val="th-TH" w:bidi="th-TH"/>
        </w:rPr>
        <w:t>มีรายละเอียดดังนี้</w:t>
      </w:r>
    </w:p>
    <w:tbl>
      <w:tblPr>
        <w:tblStyle w:val="9"/>
        <w:tblW w:w="900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4190"/>
        <w:gridCol w:w="3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660" w:type="dxa"/>
            <w:shd w:val="clear" w:color="auto" w:fill="auto"/>
          </w:tcPr>
          <w:p>
            <w:pPr>
              <w:tabs>
                <w:tab w:val="center" w:pos="4302"/>
                <w:tab w:val="right" w:pos="8306"/>
              </w:tabs>
              <w:spacing w:line="400" w:lineRule="exact"/>
              <w:ind w:left="1062" w:hanging="1062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7340" w:type="dxa"/>
            <w:gridSpan w:val="2"/>
            <w:shd w:val="clear" w:color="auto" w:fill="auto"/>
          </w:tcPr>
          <w:p>
            <w:pPr>
              <w:tabs>
                <w:tab w:val="center" w:pos="4302"/>
                <w:tab w:val="right" w:pos="8306"/>
              </w:tabs>
              <w:spacing w:line="400" w:lineRule="exact"/>
              <w:ind w:left="1062" w:hanging="1062"/>
              <w:jc w:val="right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/>
                <w:spacing w:val="-6"/>
                <w:cs/>
              </w:rPr>
              <w:t>(</w:t>
            </w:r>
            <w:r>
              <w:rPr>
                <w:rFonts w:ascii="Angsana New" w:hAnsi="Angsana New"/>
                <w:spacing w:val="-6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pacing w:val="-6"/>
                <w:cs/>
              </w:rPr>
              <w:t xml:space="preserve">: </w:t>
            </w:r>
            <w:r>
              <w:rPr>
                <w:rFonts w:hint="cs" w:ascii="Angsana New" w:hAnsi="Angsana New"/>
                <w:spacing w:val="-6"/>
                <w:cs/>
                <w:lang w:val="th-TH" w:bidi="th-TH"/>
              </w:rPr>
              <w:t>พัน</w:t>
            </w:r>
            <w:r>
              <w:rPr>
                <w:rFonts w:ascii="Angsana New" w:hAnsi="Angsana New"/>
                <w:spacing w:val="-6"/>
                <w:cs/>
                <w:lang w:val="th-TH" w:bidi="th-TH"/>
              </w:rPr>
              <w:t>บาท</w:t>
            </w:r>
            <w:r>
              <w:rPr>
                <w:rFonts w:ascii="Angsana New" w:hAnsi="Angsana New"/>
                <w:spacing w:val="-6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0" w:type="dxa"/>
            <w:gridSpan w:val="2"/>
            <w:shd w:val="clear" w:color="auto" w:fill="auto"/>
          </w:tcPr>
          <w:p>
            <w:pPr>
              <w:tabs>
                <w:tab w:val="decimal" w:pos="702"/>
                <w:tab w:val="center" w:pos="4153"/>
                <w:tab w:val="right" w:pos="8306"/>
              </w:tabs>
              <w:spacing w:line="400" w:lineRule="exact"/>
              <w:ind w:left="162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/>
                <w:lang w:val="th-TH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/>
                <w:cs/>
                <w:lang w:val="th-TH" w:bidi="th-TH"/>
              </w:rPr>
              <w:t>สามเดือนและ</w:t>
            </w:r>
            <w:r>
              <w:rPr>
                <w:rFonts w:ascii="Angsana New" w:hAnsi="Angsana New"/>
                <w:cs/>
                <w:lang w:val="th-TH" w:bidi="th-TH"/>
              </w:rPr>
              <w:t>เก้าเดือน</w:t>
            </w:r>
          </w:p>
          <w:p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/>
                <w:cs/>
                <w:lang w:val="th-TH"/>
              </w:rPr>
              <w:t>3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  <w:lang w:val="th-TH"/>
              </w:rPr>
              <w:t xml:space="preserve"> </w:t>
            </w:r>
            <w:r>
              <w:rPr>
                <w:rFonts w:hint="cs" w:ascii="Angsana New" w:hAnsi="Angsana New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850" w:type="dxa"/>
            <w:gridSpan w:val="2"/>
            <w:vAlign w:val="center"/>
          </w:tcPr>
          <w:p>
            <w:pPr>
              <w:spacing w:line="400" w:lineRule="exact"/>
              <w:ind w:left="173" w:hanging="17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รายได้</w:t>
            </w:r>
          </w:p>
        </w:tc>
        <w:tc>
          <w:tcPr>
            <w:tcW w:w="3150" w:type="dxa"/>
            <w:vAlign w:val="bottom"/>
          </w:tcPr>
          <w:p>
            <w:pPr>
              <w:tabs>
                <w:tab w:val="decimal" w:pos="1875"/>
              </w:tabs>
              <w:spacing w:line="4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850" w:type="dxa"/>
            <w:gridSpan w:val="2"/>
            <w:vAlign w:val="center"/>
          </w:tcPr>
          <w:p>
            <w:pPr>
              <w:spacing w:line="400" w:lineRule="exact"/>
              <w:ind w:left="173" w:hanging="17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th-TH" w:bidi="th-TH"/>
              </w:rPr>
              <w:t>กำไร</w:t>
            </w:r>
            <w:r>
              <w:rPr>
                <w:rFonts w:hint="cs" w:ascii="Angsana New" w:hAnsi="Angsana New"/>
                <w:cs/>
                <w:lang w:val="th-TH" w:bidi="th-TH"/>
              </w:rPr>
              <w:t>ก่อนภาษี</w:t>
            </w:r>
          </w:p>
        </w:tc>
        <w:tc>
          <w:tcPr>
            <w:tcW w:w="3150" w:type="dxa"/>
            <w:vAlign w:val="bottom"/>
          </w:tcPr>
          <w:p>
            <w:pPr>
              <w:tabs>
                <w:tab w:val="decimal" w:pos="1875"/>
              </w:tabs>
              <w:spacing w:line="4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5,209</w:t>
            </w:r>
          </w:p>
        </w:tc>
      </w:tr>
    </w:tbl>
    <w:p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6. 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เงินลงทุนในบริษัทร่วม</w:t>
      </w:r>
    </w:p>
    <w:tbl>
      <w:tblPr>
        <w:tblStyle w:val="9"/>
        <w:tblW w:w="900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0"/>
        <w:gridCol w:w="2700"/>
        <w:gridCol w:w="1665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งบการเงิน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รวม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มูลค่าตามบัญชีตามวิธีส่วนได้เสีย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</w:tcPr>
          <w:p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มูลค่าตามบัญชีตามวิธีราคาทุน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65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65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Calibri"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eastAsia="Calibri" w:asciiTheme="majorBidi" w:hAnsiTheme="majorBidi" w:cstheme="majorBidi"/>
                <w:sz w:val="28"/>
                <w:szCs w:val="28"/>
                <w:cs/>
                <w:lang w:val="th-TH" w:bidi="th-TH"/>
              </w:rPr>
              <w:t xml:space="preserve">ธันวาคม </w:t>
            </w:r>
            <w:r>
              <w:rPr>
                <w:rFonts w:eastAsia="Calibri" w:asciiTheme="majorBidi" w:hAnsiTheme="majorBidi" w:cstheme="majorBidi"/>
                <w:sz w:val="28"/>
                <w:szCs w:val="28"/>
              </w:rPr>
              <w:t>2564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</w:tcPr>
          <w:p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left w:val="nil"/>
              <w:right w:val="nil"/>
            </w:tcBorders>
          </w:tcPr>
          <w:p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65" w:type="dxa"/>
            <w:tcBorders>
              <w:left w:val="nil"/>
              <w:right w:val="nil"/>
            </w:tcBorders>
          </w:tcPr>
          <w:p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 w:bidi="th-TH"/>
              </w:rPr>
              <w:t>ตรวจสอบแล้ว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 w:bidi="th-TH"/>
              </w:rPr>
              <w:t>บริษัท อินฟินิตี้ ทู อินฟินิตี้ จำกัด</w:t>
            </w:r>
          </w:p>
        </w:tc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17,453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19,519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hint="cs" w:asciiTheme="majorBidi" w:hAnsiTheme="majorBidi" w:cstheme="majorBidi"/>
                <w:spacing w:val="-2"/>
                <w:sz w:val="28"/>
                <w:szCs w:val="28"/>
                <w:cs/>
                <w:lang w:val="th-TH" w:bidi="th-TH"/>
              </w:rPr>
              <w:t>บริษัท มูเตลูแล้วรวย จำกัด</w:t>
            </w:r>
          </w:p>
        </w:tc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2,062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รวม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19,515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19,519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cs/>
        </w:rPr>
      </w:pPr>
      <w:r>
        <w:rPr>
          <w:cs/>
        </w:rPr>
        <w:tab/>
      </w:r>
      <w:r>
        <w:rPr>
          <w:rFonts w:hint="cs"/>
          <w:spacing w:val="-6"/>
          <w:cs/>
          <w:lang w:val="th-TH" w:bidi="th-TH"/>
        </w:rPr>
        <w:t>รา</w:t>
      </w:r>
      <w:r>
        <w:rPr>
          <w:rFonts w:hint="cs" w:asciiTheme="majorBidi" w:hAnsiTheme="majorBidi" w:cstheme="majorBidi"/>
          <w:spacing w:val="-6"/>
          <w:cs/>
          <w:lang w:val="th-TH" w:bidi="th-TH"/>
        </w:rPr>
        <w:t xml:space="preserve">ยการเปลี่ยนแปลงของเงินลงทุนในบริษัทร่วมสำหรับงวดเก้าเดือนสิ้นสุดวันที่ </w:t>
      </w:r>
      <w:r>
        <w:rPr>
          <w:rFonts w:asciiTheme="majorBidi" w:hAnsiTheme="majorBidi" w:cstheme="majorBidi"/>
          <w:spacing w:val="-6"/>
        </w:rPr>
        <w:t xml:space="preserve">30 </w:t>
      </w:r>
      <w:r>
        <w:rPr>
          <w:rFonts w:hint="cs" w:asciiTheme="majorBidi" w:hAnsiTheme="majorBidi" w:cstheme="majorBidi"/>
          <w:spacing w:val="-6"/>
          <w:cs/>
          <w:lang w:val="th-TH" w:bidi="th-TH"/>
        </w:rPr>
        <w:t xml:space="preserve">กันยายน </w:t>
      </w:r>
      <w:r>
        <w:rPr>
          <w:rFonts w:asciiTheme="majorBidi" w:hAnsiTheme="majorBidi" w:cstheme="majorBidi"/>
          <w:spacing w:val="-6"/>
        </w:rPr>
        <w:t xml:space="preserve">2565 </w:t>
      </w:r>
      <w:r>
        <w:rPr>
          <w:rFonts w:hint="cs" w:asciiTheme="majorBidi" w:hAnsiTheme="majorBidi" w:cstheme="majorBidi"/>
          <w:spacing w:val="-6"/>
          <w:cs/>
          <w:lang w:val="th-TH" w:bidi="th-TH"/>
        </w:rPr>
        <w:t>สรุปได้ดังนี้</w:t>
      </w:r>
    </w:p>
    <w:tbl>
      <w:tblPr>
        <w:tblStyle w:val="9"/>
        <w:tblW w:w="900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2160"/>
        <w:gridCol w:w="2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000" w:type="dxa"/>
            <w:gridSpan w:val="3"/>
          </w:tcPr>
          <w:p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680" w:type="dxa"/>
          </w:tcPr>
          <w:p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16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</w:tcPr>
          <w:p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60" w:type="dxa"/>
          </w:tcPr>
          <w:p>
            <w:pP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0" w:type="dxa"/>
            <w:vAlign w:val="bottom"/>
          </w:tcPr>
          <w:p>
            <w:pP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ซื้อเงินลงทุนในบริษัทร่วม</w:t>
            </w:r>
          </w:p>
        </w:tc>
        <w:tc>
          <w:tcPr>
            <w:tcW w:w="2160" w:type="dxa"/>
          </w:tcPr>
          <w:p>
            <w:pP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19,519</w:t>
            </w:r>
          </w:p>
        </w:tc>
        <w:tc>
          <w:tcPr>
            <w:tcW w:w="2160" w:type="dxa"/>
            <w:vAlign w:val="bottom"/>
          </w:tcPr>
          <w:p>
            <w:pP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 xml:space="preserve">เพิ่มขึ้นจากการซื้อบริษัทย่อย </w:t>
            </w:r>
            <w:r>
              <w:rPr>
                <w:rFonts w:hint="cs"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>
              <w:rPr>
                <w:rFonts w:hint="cs"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hint="cs"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>
            <w:pP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  <w:tc>
          <w:tcPr>
            <w:tcW w:w="2160" w:type="dxa"/>
            <w:vAlign w:val="bottom"/>
          </w:tcPr>
          <w:p>
            <w:pP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</w:tcPr>
          <w:p>
            <w:pPr>
              <w:pStyle w:val="12"/>
              <w:spacing w:after="0" w:line="240" w:lineRule="auto"/>
              <w:ind w:left="165" w:hanging="18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2160" w:type="dxa"/>
            <w:vAlign w:val="bottom"/>
          </w:tcPr>
          <w:p>
            <w:pP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(1,255)</w:t>
            </w:r>
          </w:p>
        </w:tc>
        <w:tc>
          <w:tcPr>
            <w:tcW w:w="2160" w:type="dxa"/>
            <w:vAlign w:val="bottom"/>
          </w:tcPr>
          <w:p>
            <w:pP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>เงินปันผลรับ</w:t>
            </w:r>
          </w:p>
        </w:tc>
        <w:tc>
          <w:tcPr>
            <w:tcW w:w="216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(2,000)</w:t>
            </w:r>
          </w:p>
        </w:tc>
        <w:tc>
          <w:tcPr>
            <w:tcW w:w="216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</w:tcPr>
          <w:p>
            <w:pPr>
              <w:pStyle w:val="12"/>
              <w:spacing w:after="0" w:line="240" w:lineRule="auto"/>
              <w:ind w:left="165" w:hanging="18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hint="cs" w:asciiTheme="majorBidi" w:hAnsiTheme="majorBidi" w:cstheme="majorBidi"/>
                <w:color w:val="000000"/>
                <w:sz w:val="30"/>
                <w:szCs w:val="30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16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19,515</w:t>
            </w:r>
          </w:p>
        </w:tc>
        <w:tc>
          <w:tcPr>
            <w:tcW w:w="216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42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19,519</w:t>
            </w:r>
          </w:p>
        </w:tc>
      </w:tr>
    </w:tbl>
    <w:p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u w:val="single"/>
          <w:cs/>
          <w:lang w:val="th-TH" w:bidi="th-TH"/>
        </w:rPr>
        <w:t>บริษัท อินฟินิตี้ ทู อินฟินิตี้ จำกัด</w:t>
      </w:r>
      <w:r>
        <w:rPr>
          <w:rFonts w:asciiTheme="majorBidi" w:hAnsiTheme="majorBidi" w:cstheme="majorBidi"/>
          <w:u w:val="single"/>
        </w:rPr>
        <w:t xml:space="preserve"> </w:t>
      </w:r>
      <w:r>
        <w:rPr>
          <w:rFonts w:asciiTheme="majorBidi" w:hAnsiTheme="majorBidi" w:cstheme="majorBidi"/>
          <w:u w:val="single"/>
          <w:cs/>
        </w:rPr>
        <w:t>(“</w:t>
      </w:r>
      <w:r>
        <w:rPr>
          <w:rFonts w:asciiTheme="majorBidi" w:hAnsiTheme="majorBidi" w:cstheme="majorBidi"/>
          <w:u w:val="single"/>
          <w:cs/>
          <w:lang w:val="th-TH" w:bidi="th-TH"/>
        </w:rPr>
        <w:t>อินฟินิตี้</w:t>
      </w:r>
      <w:r>
        <w:rPr>
          <w:rFonts w:asciiTheme="majorBidi" w:hAnsiTheme="majorBidi" w:cstheme="majorBidi"/>
          <w:u w:val="single"/>
          <w:cs/>
        </w:rPr>
        <w:t>”)</w:t>
      </w:r>
    </w:p>
    <w:p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 xml:space="preserve">เมื่อวันที่ </w:t>
      </w:r>
      <w:r>
        <w:rPr>
          <w:rFonts w:asciiTheme="majorBidi" w:hAnsiTheme="majorBidi" w:cstheme="majorBidi"/>
        </w:rPr>
        <w:t>6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พฤษภาคม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ที่ประชุมคณะกรรมการของบริษัทฯ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ได้มีมติอนุมัติเข้าซื้อหุ้นสามัญของ</w:t>
      </w:r>
      <w:r>
        <w:rPr>
          <w:rFonts w:asciiTheme="majorBidi" w:hAnsiTheme="majorBidi" w:cstheme="majorBidi"/>
        </w:rPr>
        <w:t xml:space="preserve">                                   </w:t>
      </w:r>
      <w:r>
        <w:rPr>
          <w:rFonts w:asciiTheme="majorBidi" w:hAnsiTheme="majorBidi" w:cstheme="majorBidi"/>
          <w:cs/>
          <w:lang w:val="th-TH" w:bidi="th-TH"/>
        </w:rPr>
        <w:t xml:space="preserve">บริษัท อินฟินิตี้ ทู อินฟินิตี้ จำกัด ซึ่งเป็นบริษัทที่ประกอบธุรกิจที่เกี่ยวข้องกับความปลอดภัยของข้อมูลคอมพิวเตอร์ จำนวน </w:t>
      </w:r>
      <w:r>
        <w:rPr>
          <w:rFonts w:asciiTheme="majorBidi" w:hAnsiTheme="majorBidi" w:cstheme="majorBidi"/>
        </w:rPr>
        <w:t>16,000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หุ้น คิดเป็นร้อยละ </w:t>
      </w:r>
      <w:r>
        <w:rPr>
          <w:rFonts w:asciiTheme="majorBidi" w:hAnsiTheme="majorBidi" w:cstheme="majorBidi"/>
        </w:rPr>
        <w:t>40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ของจำนวนหุ้นที่ชำระแล้วทั้งหมด บริษัทฯได้ทำสัญญาซื้อขายหุ้นของอินฟินิตี้ กับผู้ขายในราคาซื้อขายรวมทั้งสิ้น </w:t>
      </w:r>
      <w:r>
        <w:rPr>
          <w:rFonts w:asciiTheme="majorBidi" w:hAnsiTheme="majorBidi" w:cstheme="majorBidi"/>
        </w:rPr>
        <w:t>20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ล้านบาท โดยบริษัทฯมีสิทธิที่จะขายหุ้นคืนให้กับผู้ขายตามเงื่อนไขที่ระบุในสัญญา</w:t>
      </w:r>
    </w:p>
    <w:p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 w:bidi="th-TH"/>
        </w:rPr>
        <w:t>เมื่อวันที่</w:t>
      </w:r>
      <w:r>
        <w:rPr>
          <w:rFonts w:asciiTheme="majorBidi" w:hAnsiTheme="majorBidi" w:cstheme="majorBidi"/>
        </w:rPr>
        <w:t xml:space="preserve"> 2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มิถุนายน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บริษัทฯ ได้รับโอนหุ้นสามัญจากผู้ขายแล้ว โดยมูลค่ายุติธรรมของสินทรัพย์สุทธิที่ระบุได้ของอินฟินิตี้ ณ วันที่ซื้อ ตามสัดส่วนของบริษัทฯเป็นจำนวน </w:t>
      </w:r>
      <w:r>
        <w:rPr>
          <w:rFonts w:asciiTheme="majorBidi" w:hAnsiTheme="majorBidi" w:cstheme="majorBidi"/>
        </w:rPr>
        <w:t xml:space="preserve">1.8 </w:t>
      </w:r>
      <w:r>
        <w:rPr>
          <w:rFonts w:asciiTheme="majorBidi" w:hAnsiTheme="majorBidi" w:cstheme="majorBidi"/>
          <w:cs/>
          <w:lang w:val="th-TH" w:bidi="th-TH"/>
        </w:rPr>
        <w:t>ล้านบาท</w:t>
      </w:r>
    </w:p>
    <w:p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7</w:t>
      </w:r>
      <w:r>
        <w:rPr>
          <w:rFonts w:asciiTheme="majorBidi" w:hAnsiTheme="majorBidi" w:cstheme="majorBidi"/>
          <w:b/>
          <w:bCs/>
          <w:cs/>
        </w:rPr>
        <w:t>.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ที่ดิน อาคารและอุปกรณ์</w:t>
      </w:r>
    </w:p>
    <w:p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 xml:space="preserve">การเปลี่ยนแปลงของบัญชีที่ดิน อาคารและอุปกรณ์สำหรับงวดเก้าเดือนสิ้นสุดวันที่ </w:t>
      </w:r>
      <w:r>
        <w:rPr>
          <w:rFonts w:asciiTheme="majorBidi" w:hAnsiTheme="majorBidi" w:cstheme="majorBidi"/>
        </w:rPr>
        <w:t xml:space="preserve">30 </w:t>
      </w:r>
      <w:r>
        <w:rPr>
          <w:rFonts w:asciiTheme="majorBidi" w:hAnsiTheme="majorBidi" w:cstheme="majorBidi"/>
          <w:cs/>
          <w:lang w:val="th-TH" w:bidi="th-TH"/>
        </w:rPr>
        <w:t xml:space="preserve">กันยายน </w:t>
      </w:r>
      <w:r>
        <w:rPr>
          <w:rFonts w:asciiTheme="majorBidi" w:hAnsiTheme="majorBidi" w:cstheme="majorBidi"/>
        </w:rPr>
        <w:t xml:space="preserve">2565 </w:t>
      </w:r>
      <w:r>
        <w:rPr>
          <w:rFonts w:asciiTheme="majorBidi" w:hAnsiTheme="majorBidi" w:cstheme="majorBidi"/>
          <w:cs/>
          <w:lang w:val="th-TH" w:bidi="th-TH"/>
        </w:rPr>
        <w:t>สรุปได้ดังนี้</w:t>
      </w:r>
    </w:p>
    <w:tbl>
      <w:tblPr>
        <w:tblStyle w:val="9"/>
        <w:tblW w:w="909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0"/>
        <w:gridCol w:w="2250"/>
        <w:gridCol w:w="22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9090" w:type="dxa"/>
            <w:gridSpan w:val="3"/>
          </w:tcPr>
          <w:p>
            <w:pPr>
              <w:pStyle w:val="1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>
            <w:pPr>
              <w:pStyle w:val="12"/>
              <w:pBdr>
                <w:bottom w:val="single" w:color="auto" w:sz="4" w:space="1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hint="cs" w:asciiTheme="majorBidi" w:hAnsiTheme="majorBidi" w:cstheme="majorBidi"/>
                <w:sz w:val="32"/>
                <w:szCs w:val="32"/>
                <w:cs/>
                <w:lang w:val="th-TH"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>
            <w:pPr>
              <w:pStyle w:val="12"/>
              <w:pBdr>
                <w:bottom w:val="single" w:color="auto" w:sz="4" w:space="1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hint="cs" w:asciiTheme="majorBidi" w:hAnsiTheme="majorBidi" w:cstheme="majorBidi"/>
                <w:sz w:val="32"/>
                <w:szCs w:val="32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46,356</w:t>
            </w:r>
          </w:p>
        </w:tc>
        <w:tc>
          <w:tcPr>
            <w:tcW w:w="2250" w:type="dxa"/>
            <w:vAlign w:val="bottom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46,356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 xml:space="preserve">ซื้อเพิ่มระหว่างงวด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ราคาทุน</w:t>
            </w:r>
          </w:p>
        </w:tc>
        <w:tc>
          <w:tcPr>
            <w:tcW w:w="2250" w:type="dxa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</w:t>
            </w:r>
          </w:p>
        </w:tc>
        <w:tc>
          <w:tcPr>
            <w:tcW w:w="2250" w:type="dxa"/>
            <w:vAlign w:val="bottom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hint="cs"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เพิ่มขึ้นจากการซื้อบริษัทย่อย</w:t>
            </w:r>
          </w:p>
        </w:tc>
        <w:tc>
          <w:tcPr>
            <w:tcW w:w="2250" w:type="dxa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2250" w:type="dxa"/>
            <w:vAlign w:val="bottom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>
            <w:pPr>
              <w:pStyle w:val="12"/>
              <w:pBdr>
                <w:bottom w:val="single" w:color="auto" w:sz="4" w:space="1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(1,149)</w:t>
            </w:r>
          </w:p>
        </w:tc>
        <w:tc>
          <w:tcPr>
            <w:tcW w:w="2250" w:type="dxa"/>
            <w:vAlign w:val="bottom"/>
          </w:tcPr>
          <w:p>
            <w:pPr>
              <w:pStyle w:val="12"/>
              <w:pBdr>
                <w:bottom w:val="single" w:color="auto" w:sz="4" w:space="1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(1,147)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tabs>
                <w:tab w:val="right" w:pos="6714"/>
              </w:tabs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มูลค่าสุทธิตามบัญชี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</w:p>
        </w:tc>
        <w:tc>
          <w:tcPr>
            <w:tcW w:w="2250" w:type="dxa"/>
          </w:tcPr>
          <w:p>
            <w:pPr>
              <w:pStyle w:val="12"/>
              <w:pBdr>
                <w:bottom w:val="double" w:color="auto" w:sz="4" w:space="1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45,489</w:t>
            </w:r>
          </w:p>
        </w:tc>
        <w:tc>
          <w:tcPr>
            <w:tcW w:w="2250" w:type="dxa"/>
            <w:vAlign w:val="bottom"/>
          </w:tcPr>
          <w:p>
            <w:pPr>
              <w:pStyle w:val="12"/>
              <w:pBdr>
                <w:bottom w:val="double" w:color="auto" w:sz="4" w:space="1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45,444</w:t>
            </w:r>
          </w:p>
        </w:tc>
      </w:tr>
    </w:tbl>
    <w:p>
      <w:pPr>
        <w:tabs>
          <w:tab w:val="left" w:pos="900"/>
          <w:tab w:val="left" w:pos="216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8</w:t>
      </w:r>
      <w:r>
        <w:rPr>
          <w:rFonts w:asciiTheme="majorBidi" w:hAnsiTheme="majorBidi" w:cstheme="majorBidi"/>
          <w:b/>
          <w:bCs/>
          <w:cs/>
        </w:rPr>
        <w:t>.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สินทรัพย์ไม่มีตัวตน</w:t>
      </w:r>
    </w:p>
    <w:p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 xml:space="preserve">การเปลี่ยนแปลงของบัญชีสินทรัพย์ไม่มีตัวตนสำหรับงวดเก้าเดือนสิ้นสุดวันที่ </w:t>
      </w:r>
      <w:r>
        <w:rPr>
          <w:rFonts w:asciiTheme="majorBidi" w:hAnsiTheme="majorBidi" w:cstheme="majorBidi"/>
        </w:rPr>
        <w:t xml:space="preserve">30 </w:t>
      </w:r>
      <w:r>
        <w:rPr>
          <w:rFonts w:asciiTheme="majorBidi" w:hAnsiTheme="majorBidi" w:cstheme="majorBidi"/>
          <w:cs/>
          <w:lang w:val="th-TH" w:bidi="th-TH"/>
        </w:rPr>
        <w:t xml:space="preserve">กันยายน </w:t>
      </w:r>
      <w:r>
        <w:rPr>
          <w:rFonts w:asciiTheme="majorBidi" w:hAnsiTheme="majorBidi" w:cstheme="majorBidi"/>
        </w:rPr>
        <w:t xml:space="preserve">2565 </w:t>
      </w:r>
      <w:r>
        <w:rPr>
          <w:rFonts w:asciiTheme="majorBidi" w:hAnsiTheme="majorBidi" w:cstheme="majorBidi"/>
          <w:cs/>
          <w:lang w:val="th-TH" w:bidi="th-TH"/>
        </w:rPr>
        <w:t>สรุปได้ดังนี้</w:t>
      </w:r>
    </w:p>
    <w:tbl>
      <w:tblPr>
        <w:tblStyle w:val="9"/>
        <w:tblW w:w="909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0"/>
        <w:gridCol w:w="2160"/>
        <w:gridCol w:w="2340"/>
      </w:tblGrid>
      <w:tr>
        <w:trPr>
          <w:cantSplit/>
          <w:trHeight w:val="20" w:hRule="atLeast"/>
        </w:trPr>
        <w:tc>
          <w:tcPr>
            <w:tcW w:w="9090" w:type="dxa"/>
            <w:gridSpan w:val="3"/>
          </w:tcPr>
          <w:p>
            <w:pPr>
              <w:pStyle w:val="1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pStyle w:val="12"/>
              <w:pBdr>
                <w:bottom w:val="single" w:color="auto" w:sz="4" w:space="1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hint="cs" w:asciiTheme="majorBidi" w:hAnsiTheme="majorBidi" w:cstheme="majorBidi"/>
                <w:sz w:val="32"/>
                <w:szCs w:val="32"/>
                <w:cs/>
                <w:lang w:val="th-TH" w:bidi="th-TH"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>
            <w:pPr>
              <w:pStyle w:val="12"/>
              <w:pBdr>
                <w:bottom w:val="single" w:color="auto" w:sz="4" w:space="1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hint="cs" w:asciiTheme="majorBidi" w:hAnsiTheme="majorBidi" w:cstheme="majorBidi"/>
                <w:sz w:val="32"/>
                <w:szCs w:val="32"/>
                <w:cs/>
                <w:lang w:val="th-TH" w:bidi="th-TH"/>
              </w:rPr>
              <w:t>งบการเงินเฉพาะกิจการ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48,191</w:t>
            </w:r>
          </w:p>
        </w:tc>
        <w:tc>
          <w:tcPr>
            <w:tcW w:w="2340" w:type="dxa"/>
            <w:vAlign w:val="bottom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48,191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 xml:space="preserve">ซื้อเพิ่มระหว่างงวด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ราคาทุน</w:t>
            </w:r>
          </w:p>
        </w:tc>
        <w:tc>
          <w:tcPr>
            <w:tcW w:w="2160" w:type="dxa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28,457</w:t>
            </w:r>
          </w:p>
        </w:tc>
        <w:tc>
          <w:tcPr>
            <w:tcW w:w="2340" w:type="dxa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hint="cs"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เพิ่มขึ้นจากการซื้อบริษัทย่อย</w:t>
            </w:r>
          </w:p>
        </w:tc>
        <w:tc>
          <w:tcPr>
            <w:tcW w:w="2160" w:type="dxa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2340" w:type="dxa"/>
          </w:tcPr>
          <w:p>
            <w:pPr>
              <w:pStyle w:val="1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ค่าตัดจำหน่ายสำหรับงวด</w:t>
            </w:r>
          </w:p>
        </w:tc>
        <w:tc>
          <w:tcPr>
            <w:tcW w:w="2160" w:type="dxa"/>
          </w:tcPr>
          <w:p>
            <w:pPr>
              <w:pStyle w:val="12"/>
              <w:pBdr>
                <w:bottom w:val="single" w:color="auto" w:sz="4" w:space="1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(14,521)</w:t>
            </w:r>
          </w:p>
        </w:tc>
        <w:tc>
          <w:tcPr>
            <w:tcW w:w="2340" w:type="dxa"/>
          </w:tcPr>
          <w:p>
            <w:pPr>
              <w:pStyle w:val="12"/>
              <w:pBdr>
                <w:bottom w:val="single" w:color="auto" w:sz="4" w:space="1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(14,520)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90" w:type="dxa"/>
          </w:tcPr>
          <w:p>
            <w:pPr>
              <w:pStyle w:val="1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>มูลค่าสุทธิตามบัญชี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>
            <w:pPr>
              <w:pStyle w:val="12"/>
              <w:pBdr>
                <w:bottom w:val="double" w:color="auto" w:sz="4" w:space="1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62,171</w:t>
            </w:r>
          </w:p>
        </w:tc>
        <w:tc>
          <w:tcPr>
            <w:tcW w:w="2340" w:type="dxa"/>
            <w:vAlign w:val="bottom"/>
          </w:tcPr>
          <w:p>
            <w:pPr>
              <w:pStyle w:val="12"/>
              <w:pBdr>
                <w:bottom w:val="double" w:color="auto" w:sz="4" w:space="1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62,128</w:t>
            </w:r>
          </w:p>
        </w:tc>
      </w:tr>
    </w:tbl>
    <w:p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9.</w:t>
      </w:r>
      <w:r>
        <w:rPr>
          <w:rFonts w:asciiTheme="majorBidi" w:hAnsiTheme="majorBidi" w:cstheme="majorBidi"/>
          <w:b/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กำไรต่อหุ้น</w:t>
      </w:r>
    </w:p>
    <w:p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</w:t>
      </w:r>
      <w:r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/>
          <w:cs/>
          <w:lang w:val="th-TH" w:bidi="th-TH"/>
        </w:rPr>
        <w:t>ไม่รวมกำไรขาดทุนเบ็ดเสร็จอื่น</w:t>
      </w:r>
      <w:r>
        <w:rPr>
          <w:rFonts w:asciiTheme="majorBidi" w:hAnsiTheme="majorBidi" w:cstheme="majorBidi"/>
          <w:cs/>
        </w:rPr>
        <w:t xml:space="preserve">) </w:t>
      </w:r>
      <w:r>
        <w:rPr>
          <w:rFonts w:asciiTheme="majorBidi" w:hAnsiTheme="majorBidi" w:cstheme="majorBidi"/>
          <w:cs/>
          <w:lang w:val="th-TH" w:bidi="th-TH"/>
        </w:rPr>
        <w:t>ด้วยจำนวนถัวเฉลี่ยถ่วงน้ำหนักของหุ้นสามัญที่ออกอยู่ในระหว่างงวด</w:t>
      </w:r>
    </w:p>
    <w:p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10.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ข้อมูลทางการเงินจำแนกตามส่วนงาน</w:t>
      </w:r>
    </w:p>
    <w:p>
      <w:pPr>
        <w:tabs>
          <w:tab w:val="left" w:pos="54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 w:bidi="th-TH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 ประธานกรรมการบริหาร</w:t>
      </w:r>
      <w:r>
        <w:rPr>
          <w:rFonts w:asciiTheme="majorBidi" w:hAnsiTheme="majorBidi" w:cstheme="majorBidi"/>
        </w:rPr>
        <w:t xml:space="preserve"> </w:t>
      </w:r>
      <w:r>
        <w:rPr>
          <w:rFonts w:cs="Angsana New" w:asciiTheme="majorBidi" w:hAnsiTheme="majorBidi"/>
          <w:cs/>
          <w:lang w:val="th-TH" w:bidi="th-TH"/>
        </w:rPr>
        <w:t xml:space="preserve">โดยในระหว่างงวด กลุ่มบริษัทได้มีการเปลี่ยนแปลงโครงสร้างของส่วนงานดำเนินงานที่รายงาน เนื่องจากการซื้อเงินลงทุนในบริษัทย่อยตามที่กล่าวไว้ในหมายเหตุประกอบงบการเงินระหว่างกาลข้อ </w:t>
      </w:r>
      <w:r>
        <w:rPr>
          <w:rFonts w:asciiTheme="majorBidi" w:hAnsiTheme="majorBidi" w:cstheme="majorBidi"/>
        </w:rPr>
        <w:t>5</w:t>
      </w:r>
    </w:p>
    <w:p>
      <w:pPr>
        <w:tabs>
          <w:tab w:val="left" w:pos="540"/>
        </w:tabs>
        <w:spacing w:before="120" w:after="120" w:line="420" w:lineRule="exact"/>
        <w:ind w:left="547"/>
        <w:jc w:val="thaiDistribute"/>
        <w:rPr>
          <w:rFonts w:asciiTheme="majorBidi" w:hAnsiTheme="majorBidi"/>
        </w:rPr>
      </w:pPr>
      <w:r>
        <w:rPr>
          <w:rFonts w:asciiTheme="majorBidi" w:hAnsiTheme="majorBidi"/>
          <w:cs/>
          <w:lang w:val="th-TH" w:bidi="th-TH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</w:t>
      </w:r>
      <w:r>
        <w:rPr>
          <w:rFonts w:hint="cs" w:asciiTheme="majorBidi" w:hAnsiTheme="majorBidi"/>
          <w:cs/>
          <w:lang w:val="th-TH" w:bidi="th-TH"/>
        </w:rPr>
        <w:t>ง</w:t>
      </w:r>
      <w:r>
        <w:rPr>
          <w:rFonts w:asciiTheme="majorBidi" w:hAnsiTheme="majorBidi"/>
          <w:cs/>
          <w:lang w:val="th-TH" w:bidi="th-TH"/>
        </w:rPr>
        <w:t>ผลิตภัณฑ์และบริการ</w:t>
      </w:r>
      <w:r>
        <w:rPr>
          <w:rFonts w:asciiTheme="majorBidi" w:hAnsiTheme="majorBidi"/>
        </w:rPr>
        <w:t xml:space="preserve"> </w:t>
      </w:r>
      <w:r>
        <w:rPr>
          <w:rFonts w:asciiTheme="majorBidi" w:hAnsiTheme="majorBidi"/>
          <w:cs/>
          <w:lang w:val="th-TH" w:bidi="th-TH"/>
        </w:rPr>
        <w:t xml:space="preserve">กลุ่มบริษัทมีส่วนงานที่รายงานทั้งสิ้น </w:t>
      </w:r>
      <w:r>
        <w:rPr>
          <w:rFonts w:asciiTheme="majorBidi" w:hAnsiTheme="majorBidi"/>
        </w:rPr>
        <w:t>2</w:t>
      </w:r>
      <w:r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  <w:cs/>
          <w:lang w:val="th-TH" w:bidi="th-TH"/>
        </w:rPr>
        <w:t>ส่วนงาน ดังนี้</w:t>
      </w:r>
    </w:p>
    <w:p>
      <w:pPr>
        <w:pStyle w:val="42"/>
        <w:numPr>
          <w:ilvl w:val="0"/>
          <w:numId w:val="1"/>
        </w:numPr>
        <w:overflowPunct/>
        <w:autoSpaceDE/>
        <w:autoSpaceDN/>
        <w:adjustRightInd/>
        <w:spacing w:before="40" w:after="40" w:line="420" w:lineRule="exact"/>
        <w:ind w:left="900"/>
        <w:contextualSpacing w:val="0"/>
        <w:jc w:val="thaiDistribute"/>
        <w:textAlignment w:val="auto"/>
        <w:rPr>
          <w:rFonts w:ascii="Angsana New" w:hAnsi="Angsana New"/>
          <w:szCs w:val="32"/>
        </w:rPr>
      </w:pPr>
      <w:r>
        <w:rPr>
          <w:rFonts w:hint="cs" w:ascii="Angsana New" w:hAnsi="Angsana New"/>
          <w:szCs w:val="32"/>
          <w:cs/>
          <w:lang w:val="th-TH" w:bidi="th-TH"/>
        </w:rPr>
        <w:t>ส่วนงานบริการเป็นส่วนงานที่</w:t>
      </w:r>
      <w:r>
        <w:rPr>
          <w:rFonts w:ascii="Angsana New" w:hAnsi="Angsana New"/>
          <w:szCs w:val="32"/>
          <w:cs/>
          <w:lang w:val="th-TH" w:bidi="th-TH"/>
        </w:rPr>
        <w:t>ให้บริการเกี่ยวกับการซื้อขายสินค้าหรือบริการโดยสื่ออิเล็กทรอนิกส์ผ่านระบบเครือข่ายอินเตอร์เน็ต</w:t>
      </w:r>
    </w:p>
    <w:p>
      <w:pPr>
        <w:pStyle w:val="42"/>
        <w:numPr>
          <w:ilvl w:val="0"/>
          <w:numId w:val="1"/>
        </w:numPr>
        <w:overflowPunct/>
        <w:autoSpaceDE/>
        <w:autoSpaceDN/>
        <w:adjustRightInd/>
        <w:spacing w:before="40" w:after="40" w:line="420" w:lineRule="exact"/>
        <w:ind w:left="900"/>
        <w:contextualSpacing w:val="0"/>
        <w:jc w:val="thaiDistribute"/>
        <w:textAlignment w:val="auto"/>
        <w:rPr>
          <w:rFonts w:ascii="Angsana New" w:hAnsi="Angsana New"/>
          <w:szCs w:val="32"/>
        </w:rPr>
      </w:pPr>
      <w:r>
        <w:rPr>
          <w:rFonts w:hint="cs" w:ascii="Angsana New" w:hAnsi="Angsana New"/>
          <w:szCs w:val="32"/>
          <w:cs/>
          <w:lang w:val="th-TH" w:bidi="th-TH"/>
        </w:rPr>
        <w:t>ส่วนงานขายเป็น</w:t>
      </w:r>
      <w:r>
        <w:rPr>
          <w:rFonts w:ascii="Angsana New" w:hAnsi="Angsana New"/>
          <w:szCs w:val="32"/>
          <w:cs/>
          <w:lang w:val="th-TH" w:bidi="th-TH"/>
        </w:rPr>
        <w:t>ส่วนงาน</w:t>
      </w:r>
      <w:r>
        <w:rPr>
          <w:rFonts w:hint="cs" w:ascii="Angsana New" w:hAnsi="Angsana New"/>
          <w:szCs w:val="32"/>
          <w:cs/>
          <w:lang w:val="th-TH" w:bidi="th-TH"/>
        </w:rPr>
        <w:t>ที่</w:t>
      </w:r>
      <w:r>
        <w:rPr>
          <w:rFonts w:ascii="Angsana New" w:hAnsi="Angsana New"/>
          <w:szCs w:val="32"/>
          <w:cs/>
          <w:lang w:val="th-TH" w:bidi="th-TH"/>
        </w:rPr>
        <w:t>ประกอบธุรกิจที่เกี่ยวข้องกับผลิตภัณฑ์อาหารเสริม</w:t>
      </w:r>
    </w:p>
    <w:p>
      <w:pPr>
        <w:tabs>
          <w:tab w:val="left" w:pos="567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 w:bidi="th-TH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 w:bidi="th-TH"/>
        </w:rPr>
        <w:t>ข้อมูลรายได้และกำไรของส่วนงานของกลุ่มบริษัท มีดังต่อไปนี้</w:t>
      </w:r>
    </w:p>
    <w:tbl>
      <w:tblPr>
        <w:tblStyle w:val="9"/>
        <w:tblW w:w="936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620"/>
        <w:gridCol w:w="1620"/>
        <w:gridCol w:w="1620"/>
        <w:gridCol w:w="1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360" w:type="dxa"/>
            <w:gridSpan w:val="5"/>
          </w:tcPr>
          <w:p>
            <w:pPr>
              <w:ind w:left="-29" w:right="-58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pacing w:val="-4"/>
              </w:rPr>
              <w:t xml:space="preserve">: </w:t>
            </w:r>
            <w:r>
              <w:rPr>
                <w:rFonts w:asciiTheme="majorBidi" w:hAnsiTheme="majorBidi" w:cstheme="majorBidi"/>
                <w:spacing w:val="-4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880" w:type="dxa"/>
          </w:tcPr>
          <w:p>
            <w:pPr>
              <w:ind w:right="-19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s/>
                <w:lang w:val="th-TH" w:bidi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  <w:cs/>
                <w:lang w:val="th-TH" w:bidi="th-TH"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2565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880" w:type="dxa"/>
          </w:tcPr>
          <w:p>
            <w:pPr>
              <w:ind w:right="-19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th-TH" w:bidi="th-TH"/>
              </w:rPr>
              <w:t>ส่วนงาน</w:t>
            </w:r>
            <w:r>
              <w:rPr>
                <w:rFonts w:hint="cs" w:asciiTheme="majorBidi" w:hAnsiTheme="majorBidi" w:cstheme="majorBidi"/>
                <w:spacing w:val="-6"/>
                <w:cs/>
                <w:lang w:val="th-TH" w:bidi="th-TH"/>
              </w:rPr>
              <w:t>บริการ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10"/>
                <w:cs/>
                <w:lang w:val="th-TH" w:bidi="th-TH"/>
              </w:rPr>
              <w:t>ส่วนงาน</w:t>
            </w:r>
            <w:r>
              <w:rPr>
                <w:rFonts w:hint="cs" w:asciiTheme="majorBidi" w:hAnsiTheme="majorBidi" w:cstheme="majorBidi"/>
                <w:spacing w:val="-10"/>
                <w:cs/>
                <w:lang w:val="th-TH" w:bidi="th-TH"/>
              </w:rPr>
              <w:t>ขาย</w:t>
            </w:r>
          </w:p>
        </w:tc>
        <w:tc>
          <w:tcPr>
            <w:tcW w:w="162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th-TH" w:bidi="th-TH"/>
              </w:rPr>
              <w:t>ตัดรายการ</w:t>
            </w:r>
          </w:p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th-TH" w:bidi="th-TH"/>
              </w:rPr>
              <w:t>ระหว่างกัน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th-TH" w:bidi="th-TH"/>
              </w:rPr>
              <w:t>งบการเงินรวม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880" w:type="dxa"/>
            <w:vAlign w:val="bottom"/>
          </w:tcPr>
          <w:p>
            <w:pPr>
              <w:ind w:left="132" w:right="-108" w:hanging="132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cs/>
                <w:lang w:val="th-TH" w:bidi="th-TH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pacing w:val="-6"/>
              </w:rPr>
              <w:t>:</w:t>
            </w:r>
          </w:p>
        </w:tc>
        <w:tc>
          <w:tcPr>
            <w:tcW w:w="1620" w:type="dxa"/>
          </w:tcPr>
          <w:p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620" w:type="dxa"/>
          </w:tcPr>
          <w:p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620" w:type="dxa"/>
          </w:tcPr>
          <w:p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620" w:type="dxa"/>
          </w:tcPr>
          <w:p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vAlign w:val="bottom"/>
          </w:tcPr>
          <w:p>
            <w:pPr>
              <w:rPr>
                <w:rFonts w:asciiTheme="majorBidi" w:hAnsiTheme="majorBidi" w:cstheme="majorBidi"/>
                <w:color w:val="000000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รายได้จากภายนอก 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24,531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13,031</w:t>
            </w: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37,562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vAlign w:val="bottom"/>
          </w:tcPr>
          <w:p>
            <w:pPr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รายได้ระหว่างส่วนงาน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</w:tcPr>
          <w:p>
            <w:pPr>
              <w:pBdr>
                <w:bottom w:val="sing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vAlign w:val="bottom"/>
          </w:tcPr>
          <w:p>
            <w:pPr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th-TH" w:bidi="th-TH"/>
              </w:rPr>
              <w:t xml:space="preserve">รายได้ทั้งสิ้น 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24,531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13,031</w:t>
            </w:r>
          </w:p>
        </w:tc>
        <w:tc>
          <w:tcPr>
            <w:tcW w:w="1620" w:type="dxa"/>
          </w:tcPr>
          <w:p>
            <w:pPr>
              <w:pBdr>
                <w:bottom w:val="doub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37,562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vAlign w:val="bottom"/>
          </w:tcPr>
          <w:p>
            <w:pPr>
              <w:ind w:right="-132"/>
              <w:rPr>
                <w:rFonts w:asciiTheme="majorBidi" w:hAnsiTheme="majorBidi" w:cstheme="majorBidi"/>
                <w:color w:val="000000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กำไรของส่วนงาน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13,919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5,422</w:t>
            </w: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19,341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รายได้และค่าใช้จ่ายที่ไม่ได้ปันส่วน </w:t>
            </w:r>
            <w:r>
              <w:rPr>
                <w:rFonts w:asciiTheme="majorBidi" w:hAnsiTheme="majorBidi" w:cstheme="majorBidi"/>
                <w:color w:val="000000"/>
                <w:spacing w:val="-6"/>
                <w:cs/>
              </w:rPr>
              <w:t>: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รายได้อื่น 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1,501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ค่าใช้จ่ายในการขายและจัดจำหน่าย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(1,761)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ค่าใช้จ่ายในการบริหาร 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(6,579)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(1,073)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ค่าใช้จ่ายภาษีเงินได้ 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pBdr>
                <w:bottom w:val="sing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(2,167)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center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กำไรสำหรับงวด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146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pBdr>
                <w:bottom w:val="double" w:color="auto" w:sz="4" w:space="1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9,262</w:t>
            </w:r>
          </w:p>
        </w:tc>
      </w:tr>
    </w:tbl>
    <w:p>
      <w:pPr>
        <w:spacing w:line="40" w:lineRule="exact"/>
      </w:pPr>
    </w:p>
    <w:tbl>
      <w:tblPr>
        <w:tblStyle w:val="9"/>
        <w:tblW w:w="936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620"/>
        <w:gridCol w:w="1620"/>
        <w:gridCol w:w="1620"/>
        <w:gridCol w:w="1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360" w:type="dxa"/>
            <w:gridSpan w:val="5"/>
          </w:tcPr>
          <w:p>
            <w:pPr>
              <w:ind w:left="-29" w:right="-58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pacing w:val="-4"/>
              </w:rPr>
              <w:t xml:space="preserve">: </w:t>
            </w:r>
            <w:r>
              <w:rPr>
                <w:rFonts w:asciiTheme="majorBidi" w:hAnsiTheme="majorBidi" w:cstheme="majorBidi"/>
                <w:spacing w:val="-4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880" w:type="dxa"/>
          </w:tcPr>
          <w:p>
            <w:pPr>
              <w:ind w:right="-19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s/>
                <w:lang w:val="th-TH" w:bidi="th-TH"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  <w:cs/>
                <w:lang w:val="th-TH" w:bidi="th-TH"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2565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880" w:type="dxa"/>
          </w:tcPr>
          <w:p>
            <w:pPr>
              <w:ind w:right="-19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th-TH" w:bidi="th-TH"/>
              </w:rPr>
              <w:t>ส่วนงาน</w:t>
            </w:r>
            <w:r>
              <w:rPr>
                <w:rFonts w:hint="cs" w:asciiTheme="majorBidi" w:hAnsiTheme="majorBidi" w:cstheme="majorBidi"/>
                <w:spacing w:val="-6"/>
                <w:cs/>
                <w:lang w:val="th-TH" w:bidi="th-TH"/>
              </w:rPr>
              <w:t>บริการ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10"/>
                <w:cs/>
                <w:lang w:val="th-TH" w:bidi="th-TH"/>
              </w:rPr>
              <w:t>ส่วนงาน</w:t>
            </w:r>
            <w:r>
              <w:rPr>
                <w:rFonts w:hint="cs" w:asciiTheme="majorBidi" w:hAnsiTheme="majorBidi" w:cstheme="majorBidi"/>
                <w:spacing w:val="-10"/>
                <w:cs/>
                <w:lang w:val="th-TH" w:bidi="th-TH"/>
              </w:rPr>
              <w:t>ขาย</w:t>
            </w:r>
          </w:p>
        </w:tc>
        <w:tc>
          <w:tcPr>
            <w:tcW w:w="162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th-TH" w:bidi="th-TH"/>
              </w:rPr>
              <w:t>ตัดรายการ</w:t>
            </w:r>
          </w:p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th-TH" w:bidi="th-TH"/>
              </w:rPr>
              <w:t>ระหว่างกัน</w:t>
            </w:r>
          </w:p>
        </w:tc>
        <w:tc>
          <w:tcPr>
            <w:tcW w:w="1620" w:type="dxa"/>
          </w:tcPr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</w:p>
          <w:p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th-TH" w:bidi="th-TH"/>
              </w:rPr>
              <w:t>งบการเงินรวม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880" w:type="dxa"/>
            <w:vAlign w:val="bottom"/>
          </w:tcPr>
          <w:p>
            <w:pPr>
              <w:ind w:left="132" w:right="-108" w:hanging="132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cs/>
                <w:lang w:val="th-TH" w:bidi="th-TH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pacing w:val="-6"/>
              </w:rPr>
              <w:t>:</w:t>
            </w: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620" w:type="dxa"/>
          </w:tcPr>
          <w:p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620" w:type="dxa"/>
          </w:tcPr>
          <w:p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vAlign w:val="bottom"/>
          </w:tcPr>
          <w:p>
            <w:pPr>
              <w:rPr>
                <w:rFonts w:asciiTheme="majorBidi" w:hAnsiTheme="majorBidi" w:cstheme="majorBidi"/>
                <w:color w:val="000000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รายได้จากภายนอก 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68,366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13,031</w:t>
            </w: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81,397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vAlign w:val="bottom"/>
          </w:tcPr>
          <w:p>
            <w:pPr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รายได้ระหว่างส่วนงาน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</w:tcPr>
          <w:p>
            <w:pPr>
              <w:pBdr>
                <w:bottom w:val="sing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vAlign w:val="bottom"/>
          </w:tcPr>
          <w:p>
            <w:pPr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th-TH" w:bidi="th-TH"/>
              </w:rPr>
              <w:t xml:space="preserve">รายได้ทั้งสิ้น 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68,366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13,031</w:t>
            </w:r>
          </w:p>
        </w:tc>
        <w:tc>
          <w:tcPr>
            <w:tcW w:w="1620" w:type="dxa"/>
          </w:tcPr>
          <w:p>
            <w:pPr>
              <w:pBdr>
                <w:bottom w:val="doub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81,397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vAlign w:val="bottom"/>
          </w:tcPr>
          <w:p>
            <w:pPr>
              <w:ind w:right="-132"/>
              <w:rPr>
                <w:rFonts w:asciiTheme="majorBidi" w:hAnsiTheme="majorBidi" w:cstheme="majorBidi"/>
                <w:color w:val="000000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กำไรของส่วนงาน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37,762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5,422</w:t>
            </w: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43,184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รายได้และค่าใช้จ่ายที่ไม่ได้ปันส่วน </w:t>
            </w:r>
            <w:r>
              <w:rPr>
                <w:rFonts w:asciiTheme="majorBidi" w:hAnsiTheme="majorBidi" w:cstheme="majorBidi"/>
                <w:color w:val="000000"/>
                <w:spacing w:val="-6"/>
                <w:cs/>
              </w:rPr>
              <w:t>: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รายได้อื่น 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3,074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ค่าใช้จ่ายในการขายและจัดจำหน่าย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(4,504)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ค่าใช้จ่ายในการบริหาร 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(19,583)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(1,255)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bottom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 xml:space="preserve">ค่าใช้จ่ายภาษีเงินได้ 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pBdr>
                <w:bottom w:val="sing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(4,081)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  <w:vAlign w:val="center"/>
          </w:tcPr>
          <w:p>
            <w:pPr>
              <w:tabs>
                <w:tab w:val="decimal" w:pos="413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  <w:lang w:val="th-TH" w:bidi="th-TH"/>
              </w:rPr>
              <w:t>กำไรสำหรับงวด</w:t>
            </w:r>
          </w:p>
        </w:tc>
        <w:tc>
          <w:tcPr>
            <w:tcW w:w="1620" w:type="dxa"/>
            <w:vAlign w:val="bottom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tabs>
                <w:tab w:val="decimal" w:pos="1068"/>
              </w:tabs>
              <w:ind w:left="-29" w:right="-5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</w:tcPr>
          <w:p>
            <w:pPr>
              <w:pBdr>
                <w:bottom w:val="double" w:color="auto" w:sz="4" w:space="1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16,835</w:t>
            </w:r>
          </w:p>
        </w:tc>
      </w:tr>
    </w:tbl>
    <w:p>
      <w:pPr>
        <w:tabs>
          <w:tab w:val="left" w:pos="567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11.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เงินปันผล</w:t>
      </w:r>
    </w:p>
    <w:p>
      <w:pPr>
        <w:tabs>
          <w:tab w:val="left" w:pos="567"/>
        </w:tabs>
        <w:spacing w:before="120" w:after="120"/>
        <w:ind w:left="562" w:hanging="562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 xml:space="preserve">เงินปันผลที่ประกาศจ่ายในระหว่างงวดเก้าเดือนสิ้นสุดวันที่ </w:t>
      </w:r>
      <w:r>
        <w:rPr>
          <w:rFonts w:asciiTheme="majorBidi" w:hAnsiTheme="majorBidi" w:cstheme="majorBidi"/>
        </w:rPr>
        <w:t xml:space="preserve">30 </w:t>
      </w:r>
      <w:r>
        <w:rPr>
          <w:rFonts w:asciiTheme="majorBidi" w:hAnsiTheme="majorBidi" w:cstheme="majorBidi"/>
          <w:cs/>
          <w:lang w:val="th-TH" w:bidi="th-TH"/>
        </w:rPr>
        <w:t xml:space="preserve">กันยายน </w:t>
      </w:r>
      <w:r>
        <w:rPr>
          <w:rFonts w:asciiTheme="majorBidi" w:hAnsiTheme="majorBidi" w:cstheme="majorBidi"/>
        </w:rPr>
        <w:t>2564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 xml:space="preserve">และ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มีรายละเอียดดังนี้</w:t>
      </w:r>
    </w:p>
    <w:tbl>
      <w:tblPr>
        <w:tblStyle w:val="9"/>
        <w:tblW w:w="9540" w:type="dxa"/>
        <w:tblInd w:w="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3150"/>
        <w:gridCol w:w="1890"/>
        <w:gridCol w:w="1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  <w:lang w:val="th-TH" w:bidi="th-TH"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  <w:lang w:val="th-TH" w:bidi="th-TH"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  <w:lang w:val="th-TH" w:bidi="th-TH"/>
              </w:rPr>
              <w:t>เงินปันผลจ่าย</w:t>
            </w:r>
          </w:p>
        </w:tc>
        <w:tc>
          <w:tcPr>
            <w:tcW w:w="180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  <w:lang w:val="th-TH" w:bidi="th-TH"/>
              </w:rPr>
              <w:t>เงินปันผลจ่ายต่อหุ้น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00" w:type="dxa"/>
            <w:vAlign w:val="center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</w:p>
        </w:tc>
        <w:tc>
          <w:tcPr>
            <w:tcW w:w="3150" w:type="dxa"/>
            <w:vAlign w:val="center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</w:p>
        </w:tc>
        <w:tc>
          <w:tcPr>
            <w:tcW w:w="1890" w:type="dxa"/>
            <w:vAlign w:val="center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</w:t>
            </w: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)</w:t>
            </w:r>
          </w:p>
        </w:tc>
        <w:tc>
          <w:tcPr>
            <w:tcW w:w="1800" w:type="dxa"/>
            <w:vAlign w:val="center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</w:t>
            </w: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  <w:lang w:val="th-TH" w:bidi="th-TH"/>
              </w:rPr>
              <w:t>บาทต่อหุ้น</w:t>
            </w:r>
            <w:r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00" w:type="dxa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</w:t>
            </w:r>
          </w:p>
        </w:tc>
        <w:tc>
          <w:tcPr>
            <w:tcW w:w="3150" w:type="dxa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0" w:right="-43" w:hanging="117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>ที่ประชุมสามัญผู้ถือหุ้นของบริษัทฯ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>เมื่อวันที่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 10 </w:t>
            </w:r>
            <w:r>
              <w:rPr>
                <w:rFonts w:hint="cs"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890" w:type="dxa"/>
            <w:vAlign w:val="bottom"/>
          </w:tcPr>
          <w:p>
            <w:pPr>
              <w:tabs>
                <w:tab w:val="decimal" w:pos="115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13,000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063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00" w:type="dxa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hint="cs"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เงินปันผลระหว่างกาลสำหรับ ปี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3150" w:type="dxa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0" w:right="-43" w:hanging="11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>ที่ประชุมสามัญผู้ถือหุ้นของบริษัทฯ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>เมื่อวันที่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 13</w:t>
            </w:r>
            <w:r>
              <w:rPr>
                <w:rFonts w:hint="cs" w:asciiTheme="majorBidi" w:hAnsiTheme="majorBidi" w:cstheme="majorBidi"/>
                <w:sz w:val="31"/>
                <w:szCs w:val="31"/>
                <w:cs/>
              </w:rPr>
              <w:t xml:space="preserve"> </w:t>
            </w:r>
            <w:r>
              <w:rPr>
                <w:rFonts w:hint="cs"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89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6,000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063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850" w:type="dxa"/>
            <w:gridSpan w:val="2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7" w:right="-4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รวมเงินปันผลสำหรับงวดเก้าเดือนสิ้นสุดวันที่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89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>
              <w:rPr>
                <w:rFonts w:hint="cs" w:asciiTheme="majorBidi" w:hAnsiTheme="majorBidi" w:cstheme="majorBidi"/>
                <w:sz w:val="31"/>
                <w:szCs w:val="31"/>
                <w:cs/>
              </w:rPr>
              <w:t>9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,000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063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00" w:type="dxa"/>
            <w:vAlign w:val="center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</w:p>
        </w:tc>
        <w:tc>
          <w:tcPr>
            <w:tcW w:w="3150" w:type="dxa"/>
            <w:vAlign w:val="center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</w:p>
        </w:tc>
        <w:tc>
          <w:tcPr>
            <w:tcW w:w="1890" w:type="dxa"/>
            <w:vAlign w:val="center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00" w:type="dxa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150" w:type="dxa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0" w:right="-43" w:hanging="117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>ที่ประชุมสามัญผู้ถือหุ้นของบริษัทฯ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22 </w:t>
            </w:r>
            <w:r>
              <w:rPr>
                <w:rFonts w:hint="cs"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  <w:tc>
          <w:tcPr>
            <w:tcW w:w="1890" w:type="dxa"/>
            <w:vAlign w:val="bottom"/>
          </w:tcPr>
          <w:p>
            <w:pPr>
              <w:pBdr>
                <w:bottom w:val="single" w:color="auto" w:sz="4" w:space="1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5,399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063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850" w:type="dxa"/>
            <w:gridSpan w:val="2"/>
          </w:tcPr>
          <w:p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7" w:right="-4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รวมเงินปันผลสำหรับงวดเก้าเดือนสิ้นสุดวันที่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>
              <w:rPr>
                <w:rFonts w:asciiTheme="majorBidi" w:hAnsiTheme="majorBidi" w:cstheme="majorBidi"/>
                <w:sz w:val="31"/>
                <w:szCs w:val="31"/>
                <w:cs/>
                <w:lang w:val="th-TH"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  <w:tc>
          <w:tcPr>
            <w:tcW w:w="1890" w:type="dxa"/>
            <w:vAlign w:val="bottom"/>
          </w:tcPr>
          <w:p>
            <w:pPr>
              <w:pBdr>
                <w:bottom w:val="double" w:color="auto" w:sz="4" w:space="1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5,399</w:t>
            </w:r>
          </w:p>
        </w:tc>
        <w:tc>
          <w:tcPr>
            <w:tcW w:w="1800" w:type="dxa"/>
            <w:vAlign w:val="bottom"/>
          </w:tcPr>
          <w:p>
            <w:pPr>
              <w:tabs>
                <w:tab w:val="decimal" w:pos="1063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</w:tbl>
    <w:p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>
      <w:pPr>
        <w:tabs>
          <w:tab w:val="left" w:pos="900"/>
          <w:tab w:val="left" w:pos="1440"/>
        </w:tabs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12</w:t>
      </w:r>
      <w:r>
        <w:rPr>
          <w:rFonts w:asciiTheme="majorBidi" w:hAnsiTheme="majorBidi" w:cstheme="majorBidi"/>
          <w:b/>
          <w:bCs/>
          <w:cs/>
        </w:rPr>
        <w:t>.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ภาระผูกพันและหนี้สินที่อาจเกิดขึ้น</w:t>
      </w:r>
    </w:p>
    <w:p>
      <w:pPr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12.1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ภาระผูกพันเกี่ยวกับรายจ่ายฝ่ายทุน</w:t>
      </w:r>
    </w:p>
    <w:p>
      <w:pPr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  <w:lang w:val="th-TH" w:bidi="th-TH"/>
        </w:rPr>
        <w:t>ณ วันที่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spacing w:val="-4"/>
        </w:rPr>
        <w:t xml:space="preserve">30 </w:t>
      </w:r>
      <w:r>
        <w:rPr>
          <w:rFonts w:asciiTheme="majorBidi" w:hAnsiTheme="majorBidi" w:cstheme="majorBidi"/>
          <w:spacing w:val="-4"/>
          <w:cs/>
          <w:lang w:val="th-TH" w:bidi="th-TH"/>
        </w:rPr>
        <w:t xml:space="preserve">กันยายน </w:t>
      </w:r>
      <w:r>
        <w:rPr>
          <w:rFonts w:asciiTheme="majorBidi" w:hAnsiTheme="majorBidi" w:cstheme="majorBidi"/>
          <w:spacing w:val="-4"/>
        </w:rPr>
        <w:t xml:space="preserve">2565 </w:t>
      </w:r>
      <w:r>
        <w:rPr>
          <w:rFonts w:hint="cs" w:asciiTheme="majorBidi" w:hAnsiTheme="majorBidi" w:cstheme="majorBidi"/>
          <w:spacing w:val="-4"/>
          <w:cs/>
          <w:lang w:val="th-TH" w:bidi="th-TH"/>
        </w:rPr>
        <w:t>กลุ่ม</w:t>
      </w:r>
      <w:r>
        <w:rPr>
          <w:rFonts w:asciiTheme="majorBidi" w:hAnsiTheme="majorBidi" w:cstheme="majorBidi"/>
          <w:cs/>
          <w:lang w:val="th-TH" w:bidi="th-TH"/>
        </w:rPr>
        <w:t>บริษัท</w:t>
      </w:r>
      <w:r>
        <w:rPr>
          <w:rFonts w:hint="cs"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มีภาระผูกพันเกี่ยวกับรายจ่ายฝ่ายทุนซึ่งเกี่ยวข้องกับสัญญาจ้างพัฒนาเว็บไซต์และแอปพลิเคชัน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จำนวนเงินประมาณ</w:t>
      </w:r>
      <w:r>
        <w:rPr>
          <w:rFonts w:asciiTheme="majorBidi" w:hAnsiTheme="majorBidi" w:cstheme="majorBidi"/>
        </w:rPr>
        <w:t xml:space="preserve"> 2 </w:t>
      </w:r>
      <w:r>
        <w:rPr>
          <w:rFonts w:asciiTheme="majorBidi" w:hAnsiTheme="majorBidi" w:cstheme="majorBidi"/>
          <w:cs/>
          <w:lang w:val="th-TH" w:bidi="th-TH"/>
        </w:rPr>
        <w:t>ล้านบาท</w:t>
      </w:r>
      <w:r>
        <w:rPr>
          <w:rFonts w:asciiTheme="majorBidi" w:hAnsiTheme="majorBidi" w:cstheme="majorBidi"/>
        </w:rPr>
        <w:t xml:space="preserve"> </w:t>
      </w:r>
    </w:p>
    <w:p>
      <w:pPr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12.2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ภาระผูกพันเกี่ยวกับสัญญาบริการ</w:t>
      </w:r>
    </w:p>
    <w:p>
      <w:pPr>
        <w:tabs>
          <w:tab w:val="left" w:pos="900"/>
          <w:tab w:val="left" w:pos="1440"/>
        </w:tabs>
        <w:spacing w:before="120" w:after="120" w:line="410" w:lineRule="exact"/>
        <w:ind w:left="547" w:hanging="547"/>
        <w:jc w:val="thaiDistribute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spacing w:val="-4"/>
        </w:rPr>
        <w:tab/>
      </w:r>
      <w:r>
        <w:rPr>
          <w:rFonts w:asciiTheme="majorBidi" w:hAnsiTheme="majorBidi" w:cstheme="majorBidi"/>
          <w:spacing w:val="-4"/>
          <w:cs/>
          <w:lang w:val="th-TH" w:bidi="th-TH"/>
        </w:rPr>
        <w:t xml:space="preserve">ณ วันที่ </w:t>
      </w:r>
      <w:r>
        <w:rPr>
          <w:rFonts w:asciiTheme="majorBidi" w:hAnsiTheme="majorBidi" w:cstheme="majorBidi"/>
          <w:spacing w:val="-4"/>
        </w:rPr>
        <w:t xml:space="preserve">30 </w:t>
      </w:r>
      <w:r>
        <w:rPr>
          <w:rFonts w:asciiTheme="majorBidi" w:hAnsiTheme="majorBidi" w:cstheme="majorBidi"/>
          <w:spacing w:val="-4"/>
          <w:cs/>
          <w:lang w:val="th-TH" w:bidi="th-TH"/>
        </w:rPr>
        <w:t xml:space="preserve">กันยายน </w:t>
      </w:r>
      <w:r>
        <w:rPr>
          <w:rFonts w:asciiTheme="majorBidi" w:hAnsiTheme="majorBidi" w:cstheme="majorBidi"/>
          <w:spacing w:val="-4"/>
        </w:rPr>
        <w:t xml:space="preserve">2565 </w:t>
      </w:r>
      <w:r>
        <w:rPr>
          <w:rFonts w:hint="cs" w:asciiTheme="majorBidi" w:hAnsiTheme="majorBidi" w:cstheme="majorBidi"/>
          <w:spacing w:val="-4"/>
          <w:cs/>
          <w:lang w:val="th-TH" w:bidi="th-TH"/>
        </w:rPr>
        <w:t>กลุ่ม</w:t>
      </w:r>
      <w:r>
        <w:rPr>
          <w:rFonts w:asciiTheme="majorBidi" w:hAnsiTheme="majorBidi" w:cstheme="majorBidi"/>
          <w:cs/>
          <w:lang w:val="th-TH" w:bidi="th-TH"/>
        </w:rPr>
        <w:t xml:space="preserve">บริษัท มีภาระผูกพันเกี่ยวกับสัญญาบริการต่าง ๆ ซึ่งได้ทำสัญญาไว้แล้วเป็นจำนวน </w:t>
      </w:r>
      <w:r>
        <w:rPr>
          <w:rFonts w:asciiTheme="majorBidi" w:hAnsiTheme="majorBidi" w:cstheme="majorBidi"/>
        </w:rPr>
        <w:t xml:space="preserve">1 </w:t>
      </w:r>
      <w:r>
        <w:rPr>
          <w:rFonts w:asciiTheme="majorBidi" w:hAnsiTheme="majorBidi" w:cstheme="majorBidi"/>
          <w:cs/>
          <w:lang w:val="th-TH" w:bidi="th-TH"/>
        </w:rPr>
        <w:t xml:space="preserve">ล้านบาท </w:t>
      </w:r>
    </w:p>
    <w:p>
      <w:pPr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13</w:t>
      </w:r>
      <w:r>
        <w:rPr>
          <w:rFonts w:asciiTheme="majorBidi" w:hAnsiTheme="majorBidi" w:cstheme="majorBidi"/>
          <w:b/>
          <w:bCs/>
          <w:cs/>
        </w:rPr>
        <w:t>.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มูลค่ายุติธรรมของเครื่องมือทางการเงิน</w:t>
      </w:r>
      <w:r>
        <w:rPr>
          <w:rFonts w:asciiTheme="majorBidi" w:hAnsiTheme="majorBidi" w:cstheme="majorBidi"/>
          <w:b/>
          <w:bCs/>
        </w:rPr>
        <w:t xml:space="preserve"> </w:t>
      </w:r>
    </w:p>
    <w:p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>เนื่องจากเครื่องมือทางการเงินส่วนใหญ่ของ</w:t>
      </w:r>
      <w:r>
        <w:rPr>
          <w:rFonts w:hint="cs" w:asciiTheme="majorBidi" w:hAnsiTheme="majorBidi" w:cstheme="majorBidi"/>
          <w:cs/>
          <w:lang w:val="th-TH" w:bidi="th-TH"/>
        </w:rPr>
        <w:t>กลุ่ม</w:t>
      </w:r>
      <w:r>
        <w:rPr>
          <w:rFonts w:asciiTheme="majorBidi" w:hAnsiTheme="majorBidi" w:cstheme="majorBidi"/>
          <w:cs/>
          <w:lang w:val="th-TH" w:bidi="th-TH"/>
        </w:rPr>
        <w:t>บริษัท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จัดอยู่ในประเภทระยะสั้นหรือมีอัตราดอกเบี้ยใกล้เคียงกับ</w:t>
      </w:r>
      <w:r>
        <w:rPr>
          <w:rFonts w:eastAsia="Calibri" w:asciiTheme="majorBidi" w:hAnsiTheme="majorBidi" w:cstheme="majorBidi"/>
          <w:color w:val="000000"/>
          <w:cs/>
          <w:lang w:val="th-TH" w:bidi="th-TH"/>
        </w:rPr>
        <w:t>อัตรา</w:t>
      </w:r>
      <w:r>
        <w:rPr>
          <w:rFonts w:asciiTheme="majorBidi" w:hAnsiTheme="majorBidi" w:cstheme="majorBidi"/>
          <w:cs/>
          <w:lang w:val="th-TH" w:bidi="th-TH"/>
        </w:rPr>
        <w:t xml:space="preserve">ดอกเบี้ยในตลาด </w:t>
      </w:r>
      <w:r>
        <w:rPr>
          <w:rFonts w:hint="cs" w:asciiTheme="majorBidi" w:hAnsiTheme="majorBidi" w:cstheme="majorBidi"/>
          <w:cs/>
          <w:lang w:val="th-TH" w:bidi="th-TH"/>
        </w:rPr>
        <w:t>กลุ่ม</w:t>
      </w:r>
      <w:r>
        <w:rPr>
          <w:rFonts w:asciiTheme="majorBidi" w:hAnsiTheme="majorBidi" w:cstheme="majorBidi"/>
          <w:cs/>
          <w:lang w:val="th-TH" w:bidi="th-TH"/>
        </w:rPr>
        <w:t>บริษัท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>
      <w:pPr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14.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เหตุการณ์ภายหลังรอบระยะเวลารายงาน</w:t>
      </w:r>
    </w:p>
    <w:p>
      <w:pPr>
        <w:tabs>
          <w:tab w:val="left" w:pos="540"/>
        </w:tabs>
        <w:spacing w:before="120" w:after="120" w:line="410" w:lineRule="exact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 xml:space="preserve">เมื่อวันที่ </w:t>
      </w:r>
      <w:r>
        <w:rPr>
          <w:rFonts w:asciiTheme="majorBidi" w:hAnsiTheme="majorBidi" w:cstheme="majorBidi"/>
        </w:rPr>
        <w:t xml:space="preserve">19 </w:t>
      </w:r>
      <w:r>
        <w:rPr>
          <w:rFonts w:hint="cs" w:asciiTheme="majorBidi" w:hAnsiTheme="majorBidi" w:cstheme="majorBidi"/>
          <w:cs/>
          <w:lang w:val="th-TH" w:bidi="th-TH"/>
        </w:rPr>
        <w:t>ตุลาคม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ที่</w:t>
      </w:r>
      <w:r>
        <w:rPr>
          <w:rFonts w:hint="cs" w:asciiTheme="majorBidi" w:hAnsiTheme="majorBidi" w:cstheme="majorBidi"/>
          <w:cs/>
          <w:lang w:val="th-TH" w:bidi="th-TH"/>
        </w:rPr>
        <w:t>ประชุมวิสามัญผู้ถือหุ้นของ</w:t>
      </w:r>
      <w:r>
        <w:rPr>
          <w:rFonts w:asciiTheme="majorBidi" w:hAnsiTheme="majorBidi" w:cstheme="majorBidi"/>
          <w:cs/>
          <w:lang w:val="th-TH" w:bidi="th-TH"/>
        </w:rPr>
        <w:t>บริษัทฯได้มีมติอนุมัติเรื่องดังต่อไปนี้</w:t>
      </w:r>
    </w:p>
    <w:p>
      <w:pPr>
        <w:pStyle w:val="42"/>
        <w:numPr>
          <w:ilvl w:val="0"/>
          <w:numId w:val="2"/>
        </w:numPr>
        <w:spacing w:before="240" w:after="120" w:line="410" w:lineRule="exact"/>
        <w:ind w:left="990" w:hanging="443"/>
        <w:contextualSpacing w:val="0"/>
        <w:jc w:val="thaiDistribute"/>
        <w:rPr>
          <w:rFonts w:asciiTheme="majorBidi" w:hAnsiTheme="majorBidi" w:cstheme="majorBidi"/>
          <w:szCs w:val="32"/>
        </w:rPr>
      </w:pPr>
      <w:bookmarkStart w:id="0" w:name="_Hlk104309666"/>
      <w:r>
        <w:rPr>
          <w:rFonts w:hint="cs" w:asciiTheme="majorBidi" w:hAnsiTheme="majorBidi" w:cstheme="majorBidi"/>
          <w:szCs w:val="32"/>
          <w:cs/>
          <w:lang w:val="th-TH" w:bidi="th-TH"/>
        </w:rPr>
        <w:t>อนุมัติ</w:t>
      </w:r>
      <w:r>
        <w:rPr>
          <w:rFonts w:asciiTheme="majorBidi" w:hAnsiTheme="majorBidi" w:cstheme="majorBidi"/>
          <w:szCs w:val="32"/>
          <w:cs/>
          <w:lang w:val="th-TH" w:bidi="th-TH"/>
        </w:rPr>
        <w:t xml:space="preserve">การออกและจัดสรรใบสำคัญแสดงสิทธิที่จะซื้อหุ้นสามัญของบริษัทฯ ครั้งที่ </w:t>
      </w:r>
      <w:r>
        <w:rPr>
          <w:rFonts w:asciiTheme="majorBidi" w:hAnsiTheme="majorBidi" w:cstheme="majorBidi"/>
          <w:szCs w:val="32"/>
        </w:rPr>
        <w:t>1</w:t>
      </w:r>
      <w:r>
        <w:rPr>
          <w:rFonts w:asciiTheme="majorBidi" w:hAnsiTheme="majorBidi" w:cstheme="majorBidi"/>
          <w:szCs w:val="32"/>
          <w:cs/>
        </w:rPr>
        <w:t xml:space="preserve"> (</w:t>
      </w:r>
      <w:r>
        <w:rPr>
          <w:rFonts w:asciiTheme="majorBidi" w:hAnsiTheme="majorBidi" w:cstheme="majorBidi"/>
          <w:szCs w:val="32"/>
        </w:rPr>
        <w:t>GLORY-W1</w:t>
      </w:r>
      <w:r>
        <w:rPr>
          <w:rFonts w:asciiTheme="majorBidi" w:hAnsiTheme="majorBidi" w:cstheme="majorBidi"/>
          <w:szCs w:val="32"/>
          <w:cs/>
        </w:rPr>
        <w:t xml:space="preserve">) </w:t>
      </w:r>
      <w:r>
        <w:rPr>
          <w:rFonts w:asciiTheme="majorBidi" w:hAnsiTheme="majorBidi" w:cstheme="majorBidi"/>
          <w:szCs w:val="32"/>
          <w:cs/>
          <w:lang w:val="th-TH" w:bidi="th-TH"/>
        </w:rPr>
        <w:t xml:space="preserve">ในจำนวนไม่เกิน </w:t>
      </w:r>
      <w:r>
        <w:rPr>
          <w:rFonts w:asciiTheme="majorBidi" w:hAnsiTheme="majorBidi" w:cstheme="majorBidi"/>
          <w:szCs w:val="32"/>
        </w:rPr>
        <w:t>135,000,000</w:t>
      </w:r>
      <w:r>
        <w:rPr>
          <w:rFonts w:asciiTheme="majorBidi" w:hAnsiTheme="majorBidi" w:cstheme="majorBidi"/>
          <w:szCs w:val="32"/>
          <w:cs/>
        </w:rPr>
        <w:t xml:space="preserve"> </w:t>
      </w:r>
      <w:r>
        <w:rPr>
          <w:rFonts w:asciiTheme="majorBidi" w:hAnsiTheme="majorBidi" w:cstheme="majorBidi"/>
          <w:szCs w:val="32"/>
          <w:cs/>
          <w:lang w:val="th-TH" w:bidi="th-TH"/>
        </w:rPr>
        <w:t xml:space="preserve">หน่วย ให้แก่ผู้ถือหุ้นเดิมของบริษัทฯตามสัดส่วนการถือหุ้น </w:t>
      </w:r>
      <w:r>
        <w:rPr>
          <w:rFonts w:asciiTheme="majorBidi" w:hAnsiTheme="majorBidi" w:cstheme="majorBidi"/>
          <w:szCs w:val="32"/>
          <w:cs/>
        </w:rPr>
        <w:t>(</w:t>
      </w:r>
      <w:r>
        <w:rPr>
          <w:rFonts w:asciiTheme="majorBidi" w:hAnsiTheme="majorBidi" w:cstheme="majorBidi"/>
          <w:szCs w:val="32"/>
        </w:rPr>
        <w:t xml:space="preserve">Rights Offering) </w:t>
      </w:r>
      <w:r>
        <w:rPr>
          <w:rFonts w:hint="cs" w:asciiTheme="majorBidi" w:hAnsiTheme="majorBidi" w:cstheme="majorBidi"/>
          <w:szCs w:val="32"/>
          <w:cs/>
          <w:lang w:val="th-TH" w:bidi="th-TH"/>
        </w:rPr>
        <w:t>ซึ่ง</w:t>
      </w:r>
      <w:r>
        <w:rPr>
          <w:rFonts w:asciiTheme="majorBidi" w:hAnsiTheme="majorBidi" w:cstheme="majorBidi"/>
          <w:szCs w:val="32"/>
          <w:cs/>
          <w:lang w:val="th-TH" w:bidi="th-TH"/>
        </w:rPr>
        <w:t>ไม่คิดมูลค่า โดยมีรายละเอียดดังนี้</w:t>
      </w:r>
    </w:p>
    <w:tbl>
      <w:tblPr>
        <w:tblStyle w:val="9"/>
        <w:tblW w:w="8640" w:type="dxa"/>
        <w:tblInd w:w="90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30"/>
        <w:gridCol w:w="53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"/>
              <w:spacing w:after="0" w:line="41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อัตราการจัดสรร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"/>
              <w:spacing w:after="0" w:line="41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หุ้นสามัญเดิม ต่อ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หน่วยใบสำคัญแสดงสิทธิ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"/>
              <w:spacing w:after="0" w:line="41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อายุใบสำคัญแสดงสิทธิ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"/>
              <w:spacing w:after="0" w:line="41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ปี นับแต่วันที่ออกใบสำคัญแสดงสิทธิ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"/>
              <w:spacing w:after="0" w:line="41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อัตราการใช้สิทธิ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"/>
              <w:spacing w:after="0" w:line="41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ใบสำคัญแสดงสิทธิ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หน่วย มีสิทธิซื้อหุ้นสามัญได้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หุ้น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"/>
              <w:spacing w:after="0" w:line="41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ราคาการใช้สิทธิ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"/>
              <w:spacing w:after="0" w:line="41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หุ้นละ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บาท</w:t>
            </w:r>
          </w:p>
        </w:tc>
      </w:tr>
    </w:tbl>
    <w:p>
      <w:pPr>
        <w:pStyle w:val="42"/>
        <w:numPr>
          <w:ilvl w:val="0"/>
          <w:numId w:val="2"/>
        </w:numPr>
        <w:spacing w:before="240" w:after="120" w:line="410" w:lineRule="exact"/>
        <w:ind w:left="990" w:hanging="443"/>
        <w:contextualSpacing w:val="0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/>
          <w:szCs w:val="32"/>
          <w:cs/>
          <w:lang w:val="th-TH" w:bidi="th-TH"/>
        </w:rPr>
        <w:t xml:space="preserve">อนุมัติการเพิ่มทุนจดทะเบียนของบริษัทฯจำนวน </w:t>
      </w:r>
      <w:r>
        <w:rPr>
          <w:rFonts w:asciiTheme="majorBidi" w:hAnsiTheme="majorBidi" w:cstheme="majorBidi"/>
          <w:szCs w:val="32"/>
        </w:rPr>
        <w:t>67.5</w:t>
      </w:r>
      <w:r>
        <w:rPr>
          <w:rFonts w:asciiTheme="majorBidi" w:hAnsiTheme="majorBidi" w:cstheme="majorBidi"/>
          <w:szCs w:val="32"/>
          <w:cs/>
        </w:rPr>
        <w:t xml:space="preserve"> </w:t>
      </w:r>
      <w:r>
        <w:rPr>
          <w:rFonts w:asciiTheme="majorBidi" w:hAnsiTheme="majorBidi" w:cstheme="majorBidi"/>
          <w:szCs w:val="32"/>
          <w:cs/>
          <w:lang w:val="th-TH" w:bidi="th-TH"/>
        </w:rPr>
        <w:t xml:space="preserve">ล้านบาท จากทุนจดทะเบียนเดิมจำนวน </w:t>
      </w:r>
      <w:r>
        <w:rPr>
          <w:rFonts w:asciiTheme="majorBidi" w:hAnsiTheme="majorBidi" w:cstheme="majorBidi"/>
          <w:szCs w:val="32"/>
        </w:rPr>
        <w:t>135</w:t>
      </w:r>
      <w:r>
        <w:rPr>
          <w:rFonts w:asciiTheme="majorBidi" w:hAnsiTheme="majorBidi" w:cstheme="majorBidi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Cs w:val="32"/>
          <w:cs/>
          <w:lang w:val="th-TH" w:bidi="th-TH"/>
        </w:rPr>
        <w:t xml:space="preserve">ล้านบาท เป็นทุนจดทะเบียนจำนวน </w:t>
      </w:r>
      <w:r>
        <w:rPr>
          <w:rFonts w:asciiTheme="majorBidi" w:hAnsiTheme="majorBidi" w:cstheme="majorBidi"/>
          <w:spacing w:val="-4"/>
          <w:szCs w:val="32"/>
        </w:rPr>
        <w:t>202.5</w:t>
      </w:r>
      <w:r>
        <w:rPr>
          <w:rFonts w:asciiTheme="majorBidi" w:hAnsiTheme="majorBidi" w:cstheme="majorBidi"/>
          <w:spacing w:val="-4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Cs w:val="32"/>
          <w:cs/>
          <w:lang w:val="th-TH" w:bidi="th-TH"/>
        </w:rPr>
        <w:t xml:space="preserve">ล้านบาท โดยการออกหุ้นสามัญเพิ่มทุนจำนวน </w:t>
      </w:r>
      <w:r>
        <w:rPr>
          <w:rFonts w:asciiTheme="majorBidi" w:hAnsiTheme="majorBidi" w:cstheme="majorBidi"/>
          <w:spacing w:val="-4"/>
          <w:szCs w:val="32"/>
        </w:rPr>
        <w:t xml:space="preserve">135 </w:t>
      </w:r>
      <w:r>
        <w:rPr>
          <w:rFonts w:asciiTheme="majorBidi" w:hAnsiTheme="majorBidi" w:cstheme="majorBidi"/>
          <w:spacing w:val="-4"/>
          <w:szCs w:val="32"/>
          <w:cs/>
          <w:lang w:val="th-TH" w:bidi="th-TH"/>
        </w:rPr>
        <w:t>ล้านหุ้น</w:t>
      </w:r>
      <w:r>
        <w:rPr>
          <w:rFonts w:asciiTheme="majorBidi" w:hAnsiTheme="majorBidi" w:cstheme="majorBidi"/>
          <w:szCs w:val="32"/>
          <w:cs/>
        </w:rPr>
        <w:t xml:space="preserve"> </w:t>
      </w:r>
      <w:r>
        <w:rPr>
          <w:rFonts w:asciiTheme="majorBidi" w:hAnsiTheme="majorBidi" w:cstheme="majorBidi"/>
          <w:szCs w:val="32"/>
          <w:cs/>
          <w:lang w:val="th-TH" w:bidi="th-TH"/>
        </w:rPr>
        <w:t xml:space="preserve">มูลค่าที่ตราไว้หุ้นละ </w:t>
      </w:r>
      <w:r>
        <w:rPr>
          <w:rFonts w:asciiTheme="majorBidi" w:hAnsiTheme="majorBidi" w:cstheme="majorBidi"/>
          <w:szCs w:val="32"/>
        </w:rPr>
        <w:t>0.50</w:t>
      </w:r>
      <w:r>
        <w:rPr>
          <w:rFonts w:asciiTheme="majorBidi" w:hAnsiTheme="majorBidi" w:cstheme="majorBidi"/>
          <w:szCs w:val="32"/>
          <w:cs/>
        </w:rPr>
        <w:t xml:space="preserve"> </w:t>
      </w:r>
      <w:r>
        <w:rPr>
          <w:rFonts w:asciiTheme="majorBidi" w:hAnsiTheme="majorBidi" w:cstheme="majorBidi"/>
          <w:szCs w:val="32"/>
          <w:cs/>
          <w:lang w:val="th-TH" w:bidi="th-TH"/>
        </w:rPr>
        <w:t xml:space="preserve">บาท เพื่อรองรับการใช้สิทธิตามใบสำคัญแสดงสิทธิ </w:t>
      </w:r>
      <w:r>
        <w:rPr>
          <w:rFonts w:asciiTheme="majorBidi" w:hAnsiTheme="majorBidi" w:cstheme="majorBidi"/>
          <w:szCs w:val="32"/>
        </w:rPr>
        <w:t>GLORY-W1</w:t>
      </w:r>
    </w:p>
    <w:p>
      <w:pPr>
        <w:tabs>
          <w:tab w:val="left" w:pos="540"/>
        </w:tabs>
        <w:spacing w:before="120" w:after="120" w:line="410" w:lineRule="exact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hint="cs" w:asciiTheme="majorBidi" w:hAnsiTheme="majorBidi" w:cstheme="majorBidi"/>
          <w:cs/>
          <w:lang w:val="th-TH" w:bidi="th-TH"/>
        </w:rPr>
        <w:t xml:space="preserve">บริษัทฯได้ดำเนินการจดทะเบียนเพิ่มทุนดังกล่าวกับกระทรวงพาณิชย์ เมื่อวันที่ </w:t>
      </w:r>
      <w:r>
        <w:rPr>
          <w:rFonts w:asciiTheme="majorBidi" w:hAnsiTheme="majorBidi" w:cstheme="majorBidi"/>
        </w:rPr>
        <w:t xml:space="preserve">21 </w:t>
      </w:r>
      <w:r>
        <w:rPr>
          <w:rFonts w:hint="cs" w:asciiTheme="majorBidi" w:hAnsiTheme="majorBidi" w:cstheme="majorBidi"/>
          <w:cs/>
          <w:lang w:val="th-TH" w:bidi="th-TH"/>
        </w:rPr>
        <w:t xml:space="preserve">ตุลาคม </w:t>
      </w:r>
      <w:r>
        <w:rPr>
          <w:rFonts w:asciiTheme="majorBidi" w:hAnsiTheme="majorBidi" w:cstheme="majorBidi"/>
        </w:rPr>
        <w:t>2565</w:t>
      </w:r>
    </w:p>
    <w:bookmarkEnd w:id="0"/>
    <w:p>
      <w:pPr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15</w:t>
      </w:r>
      <w:r>
        <w:rPr>
          <w:rFonts w:asciiTheme="majorBidi" w:hAnsiTheme="majorBidi" w:cstheme="majorBidi"/>
          <w:b/>
          <w:bCs/>
          <w:cs/>
        </w:rPr>
        <w:t>.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cs/>
          <w:lang w:val="th-TH" w:bidi="th-TH"/>
        </w:rPr>
        <w:t>การอนุมัติงบการเงินระหว่างกาล</w:t>
      </w:r>
    </w:p>
    <w:p>
      <w:pPr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cs/>
          <w:lang w:val="th-TH" w:bidi="th-TH"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>
        <w:rPr>
          <w:rFonts w:asciiTheme="majorBidi" w:hAnsiTheme="majorBidi" w:cstheme="majorBidi"/>
        </w:rPr>
        <w:t xml:space="preserve"> 11 </w:t>
      </w:r>
      <w:r>
        <w:rPr>
          <w:rFonts w:hint="cs" w:asciiTheme="majorBidi" w:hAnsiTheme="majorBidi" w:cstheme="majorBidi"/>
          <w:cs/>
          <w:lang w:val="th-TH" w:bidi="th-TH"/>
        </w:rPr>
        <w:t>พฤศจิกายน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2565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1296" w:right="1080" w:bottom="1080" w:left="1339" w:header="706" w:footer="706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right"/>
      <w:rPr>
        <w:rFonts w:ascii="Angsana New" w:hAnsi="Angsana New" w:cs="Angsana New"/>
      </w:rPr>
    </w:pPr>
    <w:r>
      <w:rPr>
        <w:rFonts w:ascii="Angsana New" w:hAnsi="Angsana New" w:cs="Angsana New"/>
      </w:rPr>
      <w:fldChar w:fldCharType="begin"/>
    </w:r>
    <w:r>
      <w:rPr>
        <w:rFonts w:ascii="Angsana New" w:hAnsi="Angsana New" w:cs="Angsana New"/>
      </w:rPr>
      <w:instrText xml:space="preserve"> PAGE   \* MERGEFORMAT </w:instrText>
    </w:r>
    <w:r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</w:rPr>
      <w:t>14</w:t>
    </w:r>
    <w:r>
      <w:rPr>
        <w:rFonts w:ascii="Angsana New" w:hAnsi="Angsana New" w:cs="Angsana New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right"/>
      <w:rPr>
        <w:rFonts w:ascii="Angsana New" w:hAnsi="Angsana New" w:cs="Angsana New"/>
      </w:rPr>
    </w:pPr>
    <w:r>
      <w:rPr>
        <w:rFonts w:ascii="Angsana New" w:hAnsi="Angsana New" w:cs="Angsana New"/>
        <w:cs/>
      </w:rPr>
      <w:t>(</w:t>
    </w:r>
    <w:r>
      <w:rPr>
        <w:rFonts w:ascii="Angsana New" w:hAnsi="Angsana New" w:cs="Angsana New"/>
        <w:cs/>
        <w:lang w:val="th-TH" w:bidi="th-TH"/>
      </w:rPr>
      <w:t>ยังไม่ได้ตรวจสอบ แต่สอบทานแล้ว</w:t>
    </w:r>
    <w:r>
      <w:rPr>
        <w:rFonts w:ascii="Angsana New" w:hAnsi="Angsana New" w:cs="Angsana New"/>
        <w:cs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934F4B"/>
    <w:multiLevelType w:val="multilevel"/>
    <w:tmpl w:val="28934F4B"/>
    <w:lvl w:ilvl="0" w:tentative="0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85" w:hanging="360"/>
      </w:pPr>
    </w:lvl>
    <w:lvl w:ilvl="2" w:tentative="0">
      <w:start w:val="1"/>
      <w:numFmt w:val="lowerRoman"/>
      <w:lvlText w:val="%3."/>
      <w:lvlJc w:val="right"/>
      <w:pPr>
        <w:ind w:left="2405" w:hanging="180"/>
      </w:pPr>
    </w:lvl>
    <w:lvl w:ilvl="3" w:tentative="0">
      <w:start w:val="1"/>
      <w:numFmt w:val="decimal"/>
      <w:lvlText w:val="%4."/>
      <w:lvlJc w:val="left"/>
      <w:pPr>
        <w:ind w:left="3125" w:hanging="360"/>
      </w:pPr>
    </w:lvl>
    <w:lvl w:ilvl="4" w:tentative="0">
      <w:start w:val="1"/>
      <w:numFmt w:val="lowerLetter"/>
      <w:lvlText w:val="%5."/>
      <w:lvlJc w:val="left"/>
      <w:pPr>
        <w:ind w:left="3845" w:hanging="360"/>
      </w:pPr>
    </w:lvl>
    <w:lvl w:ilvl="5" w:tentative="0">
      <w:start w:val="1"/>
      <w:numFmt w:val="lowerRoman"/>
      <w:lvlText w:val="%6."/>
      <w:lvlJc w:val="right"/>
      <w:pPr>
        <w:ind w:left="4565" w:hanging="180"/>
      </w:pPr>
    </w:lvl>
    <w:lvl w:ilvl="6" w:tentative="0">
      <w:start w:val="1"/>
      <w:numFmt w:val="decimal"/>
      <w:lvlText w:val="%7."/>
      <w:lvlJc w:val="left"/>
      <w:pPr>
        <w:ind w:left="5285" w:hanging="360"/>
      </w:pPr>
    </w:lvl>
    <w:lvl w:ilvl="7" w:tentative="0">
      <w:start w:val="1"/>
      <w:numFmt w:val="lowerLetter"/>
      <w:lvlText w:val="%8."/>
      <w:lvlJc w:val="left"/>
      <w:pPr>
        <w:ind w:left="6005" w:hanging="360"/>
      </w:pPr>
    </w:lvl>
    <w:lvl w:ilvl="8" w:tentative="0">
      <w:start w:val="1"/>
      <w:numFmt w:val="lowerRoman"/>
      <w:lvlText w:val="%9."/>
      <w:lvlJc w:val="right"/>
      <w:pPr>
        <w:ind w:left="6725" w:hanging="180"/>
      </w:pPr>
    </w:lvl>
  </w:abstractNum>
  <w:abstractNum w:abstractNumId="1">
    <w:nsid w:val="7222485F"/>
    <w:multiLevelType w:val="multilevel"/>
    <w:tmpl w:val="7222485F"/>
    <w:lvl w:ilvl="0" w:tentative="0">
      <w:start w:val="1"/>
      <w:numFmt w:val="bullet"/>
      <w:lvlText w:val=""/>
      <w:lvlJc w:val="left"/>
      <w:pPr>
        <w:ind w:left="1350" w:hanging="360"/>
      </w:pPr>
      <w:rPr>
        <w:rFonts w:hint="default" w:ascii="Symbol" w:hAnsi="Symbol"/>
        <w:sz w:val="22"/>
      </w:rPr>
    </w:lvl>
    <w:lvl w:ilvl="1" w:tentative="0">
      <w:start w:val="1"/>
      <w:numFmt w:val="bullet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1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7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1699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8EE"/>
    <w:rsid w:val="000001EB"/>
    <w:rsid w:val="000005BF"/>
    <w:rsid w:val="000010D0"/>
    <w:rsid w:val="000016C8"/>
    <w:rsid w:val="000027E5"/>
    <w:rsid w:val="000029CE"/>
    <w:rsid w:val="00002F8B"/>
    <w:rsid w:val="00003793"/>
    <w:rsid w:val="00004255"/>
    <w:rsid w:val="00004A37"/>
    <w:rsid w:val="00004DDC"/>
    <w:rsid w:val="00005B74"/>
    <w:rsid w:val="00005EB9"/>
    <w:rsid w:val="00006854"/>
    <w:rsid w:val="000068AD"/>
    <w:rsid w:val="00006C8A"/>
    <w:rsid w:val="00011554"/>
    <w:rsid w:val="00011A52"/>
    <w:rsid w:val="00011A68"/>
    <w:rsid w:val="00011EDE"/>
    <w:rsid w:val="00012DEC"/>
    <w:rsid w:val="00013104"/>
    <w:rsid w:val="00013EE8"/>
    <w:rsid w:val="000143D7"/>
    <w:rsid w:val="00014B03"/>
    <w:rsid w:val="00014CF5"/>
    <w:rsid w:val="00015251"/>
    <w:rsid w:val="000163D3"/>
    <w:rsid w:val="000178C1"/>
    <w:rsid w:val="00017A42"/>
    <w:rsid w:val="0002095A"/>
    <w:rsid w:val="000209FA"/>
    <w:rsid w:val="0002157C"/>
    <w:rsid w:val="00022011"/>
    <w:rsid w:val="00022E72"/>
    <w:rsid w:val="00026B32"/>
    <w:rsid w:val="00027965"/>
    <w:rsid w:val="00027C4E"/>
    <w:rsid w:val="00027C88"/>
    <w:rsid w:val="00030104"/>
    <w:rsid w:val="00031707"/>
    <w:rsid w:val="000322A2"/>
    <w:rsid w:val="00032376"/>
    <w:rsid w:val="000325D7"/>
    <w:rsid w:val="00033583"/>
    <w:rsid w:val="00033738"/>
    <w:rsid w:val="0003377A"/>
    <w:rsid w:val="000337EE"/>
    <w:rsid w:val="00033A5A"/>
    <w:rsid w:val="00033DDF"/>
    <w:rsid w:val="000352E8"/>
    <w:rsid w:val="00035FAF"/>
    <w:rsid w:val="00036682"/>
    <w:rsid w:val="00036F9F"/>
    <w:rsid w:val="000377A3"/>
    <w:rsid w:val="00037987"/>
    <w:rsid w:val="00037AA2"/>
    <w:rsid w:val="00037AB7"/>
    <w:rsid w:val="00041E0F"/>
    <w:rsid w:val="000423F0"/>
    <w:rsid w:val="000429D1"/>
    <w:rsid w:val="00043E0B"/>
    <w:rsid w:val="000456C5"/>
    <w:rsid w:val="00045B21"/>
    <w:rsid w:val="000471A3"/>
    <w:rsid w:val="000472B8"/>
    <w:rsid w:val="00050DB3"/>
    <w:rsid w:val="0005178A"/>
    <w:rsid w:val="00051F86"/>
    <w:rsid w:val="00052D08"/>
    <w:rsid w:val="0005410F"/>
    <w:rsid w:val="00054207"/>
    <w:rsid w:val="0005439E"/>
    <w:rsid w:val="00056118"/>
    <w:rsid w:val="0005716C"/>
    <w:rsid w:val="0005763D"/>
    <w:rsid w:val="00057892"/>
    <w:rsid w:val="00060368"/>
    <w:rsid w:val="000611DB"/>
    <w:rsid w:val="00062302"/>
    <w:rsid w:val="000648C5"/>
    <w:rsid w:val="000655E9"/>
    <w:rsid w:val="0006626F"/>
    <w:rsid w:val="000662F5"/>
    <w:rsid w:val="00070A75"/>
    <w:rsid w:val="00072688"/>
    <w:rsid w:val="00072993"/>
    <w:rsid w:val="000736E6"/>
    <w:rsid w:val="000738C0"/>
    <w:rsid w:val="0007421F"/>
    <w:rsid w:val="00074AD2"/>
    <w:rsid w:val="000753DE"/>
    <w:rsid w:val="00075B05"/>
    <w:rsid w:val="000763BC"/>
    <w:rsid w:val="00076F2C"/>
    <w:rsid w:val="00077409"/>
    <w:rsid w:val="00080AAF"/>
    <w:rsid w:val="0008197A"/>
    <w:rsid w:val="0008372A"/>
    <w:rsid w:val="00083C89"/>
    <w:rsid w:val="00083E4D"/>
    <w:rsid w:val="00090C89"/>
    <w:rsid w:val="00090DF1"/>
    <w:rsid w:val="00092408"/>
    <w:rsid w:val="00092C24"/>
    <w:rsid w:val="0009321A"/>
    <w:rsid w:val="000939FD"/>
    <w:rsid w:val="00093DF6"/>
    <w:rsid w:val="000940AB"/>
    <w:rsid w:val="00094586"/>
    <w:rsid w:val="00096E14"/>
    <w:rsid w:val="00097773"/>
    <w:rsid w:val="00097D55"/>
    <w:rsid w:val="000A0B80"/>
    <w:rsid w:val="000A0EFA"/>
    <w:rsid w:val="000A13D6"/>
    <w:rsid w:val="000A20FD"/>
    <w:rsid w:val="000A34E0"/>
    <w:rsid w:val="000A36CC"/>
    <w:rsid w:val="000A4952"/>
    <w:rsid w:val="000A5003"/>
    <w:rsid w:val="000A50F8"/>
    <w:rsid w:val="000A5278"/>
    <w:rsid w:val="000A562F"/>
    <w:rsid w:val="000A5A5B"/>
    <w:rsid w:val="000A63B0"/>
    <w:rsid w:val="000A77F1"/>
    <w:rsid w:val="000B0343"/>
    <w:rsid w:val="000B073B"/>
    <w:rsid w:val="000B1163"/>
    <w:rsid w:val="000B13AD"/>
    <w:rsid w:val="000B220E"/>
    <w:rsid w:val="000B2F4B"/>
    <w:rsid w:val="000B3257"/>
    <w:rsid w:val="000B49BB"/>
    <w:rsid w:val="000B52F2"/>
    <w:rsid w:val="000B59B5"/>
    <w:rsid w:val="000B6A50"/>
    <w:rsid w:val="000B6C91"/>
    <w:rsid w:val="000B789E"/>
    <w:rsid w:val="000C0E27"/>
    <w:rsid w:val="000C0ECD"/>
    <w:rsid w:val="000C242E"/>
    <w:rsid w:val="000C3C83"/>
    <w:rsid w:val="000C3E9B"/>
    <w:rsid w:val="000C477E"/>
    <w:rsid w:val="000C5B5E"/>
    <w:rsid w:val="000C5D80"/>
    <w:rsid w:val="000C6FE0"/>
    <w:rsid w:val="000C7020"/>
    <w:rsid w:val="000C73AF"/>
    <w:rsid w:val="000C7AE5"/>
    <w:rsid w:val="000D0517"/>
    <w:rsid w:val="000D0581"/>
    <w:rsid w:val="000D1C60"/>
    <w:rsid w:val="000D1C79"/>
    <w:rsid w:val="000D1E42"/>
    <w:rsid w:val="000D1EFF"/>
    <w:rsid w:val="000D3DA1"/>
    <w:rsid w:val="000D4904"/>
    <w:rsid w:val="000D4A00"/>
    <w:rsid w:val="000D6176"/>
    <w:rsid w:val="000D628B"/>
    <w:rsid w:val="000D6AFD"/>
    <w:rsid w:val="000E004F"/>
    <w:rsid w:val="000E04EB"/>
    <w:rsid w:val="000E0B12"/>
    <w:rsid w:val="000E1431"/>
    <w:rsid w:val="000E2D6E"/>
    <w:rsid w:val="000E3A41"/>
    <w:rsid w:val="000E4918"/>
    <w:rsid w:val="000E544F"/>
    <w:rsid w:val="000E5CBF"/>
    <w:rsid w:val="000E6F83"/>
    <w:rsid w:val="000E75B7"/>
    <w:rsid w:val="000F01A3"/>
    <w:rsid w:val="000F0948"/>
    <w:rsid w:val="000F100D"/>
    <w:rsid w:val="000F1818"/>
    <w:rsid w:val="000F2184"/>
    <w:rsid w:val="000F34C2"/>
    <w:rsid w:val="000F39D7"/>
    <w:rsid w:val="000F5323"/>
    <w:rsid w:val="000F540D"/>
    <w:rsid w:val="000F5A04"/>
    <w:rsid w:val="000F5E0F"/>
    <w:rsid w:val="000F79F7"/>
    <w:rsid w:val="00100360"/>
    <w:rsid w:val="001005FE"/>
    <w:rsid w:val="00100C8F"/>
    <w:rsid w:val="00100CB4"/>
    <w:rsid w:val="0010103F"/>
    <w:rsid w:val="00101A5A"/>
    <w:rsid w:val="00101C88"/>
    <w:rsid w:val="0010344B"/>
    <w:rsid w:val="00103F01"/>
    <w:rsid w:val="00104BCB"/>
    <w:rsid w:val="00105024"/>
    <w:rsid w:val="001054DB"/>
    <w:rsid w:val="00105803"/>
    <w:rsid w:val="0010604D"/>
    <w:rsid w:val="00106213"/>
    <w:rsid w:val="00107A67"/>
    <w:rsid w:val="0011000B"/>
    <w:rsid w:val="00110202"/>
    <w:rsid w:val="00110A1F"/>
    <w:rsid w:val="00112952"/>
    <w:rsid w:val="00112E52"/>
    <w:rsid w:val="00113372"/>
    <w:rsid w:val="00113688"/>
    <w:rsid w:val="00114C93"/>
    <w:rsid w:val="0011648F"/>
    <w:rsid w:val="00116A45"/>
    <w:rsid w:val="0011769C"/>
    <w:rsid w:val="00117CFB"/>
    <w:rsid w:val="00117F9D"/>
    <w:rsid w:val="00121143"/>
    <w:rsid w:val="0012135A"/>
    <w:rsid w:val="00121BFC"/>
    <w:rsid w:val="00121E7F"/>
    <w:rsid w:val="001228C5"/>
    <w:rsid w:val="00124339"/>
    <w:rsid w:val="00125905"/>
    <w:rsid w:val="001262DC"/>
    <w:rsid w:val="00126A4C"/>
    <w:rsid w:val="00126F82"/>
    <w:rsid w:val="0012727D"/>
    <w:rsid w:val="00127602"/>
    <w:rsid w:val="00127B61"/>
    <w:rsid w:val="00132083"/>
    <w:rsid w:val="0013266A"/>
    <w:rsid w:val="00133C93"/>
    <w:rsid w:val="00135DAF"/>
    <w:rsid w:val="00136F26"/>
    <w:rsid w:val="00137F30"/>
    <w:rsid w:val="00140085"/>
    <w:rsid w:val="00140261"/>
    <w:rsid w:val="001407A9"/>
    <w:rsid w:val="00142502"/>
    <w:rsid w:val="00144CB0"/>
    <w:rsid w:val="00145398"/>
    <w:rsid w:val="0014697C"/>
    <w:rsid w:val="001476BA"/>
    <w:rsid w:val="00147CBD"/>
    <w:rsid w:val="001500A6"/>
    <w:rsid w:val="00150AA6"/>
    <w:rsid w:val="001511F0"/>
    <w:rsid w:val="0015164D"/>
    <w:rsid w:val="001523E6"/>
    <w:rsid w:val="001556F7"/>
    <w:rsid w:val="001558EC"/>
    <w:rsid w:val="00155BEA"/>
    <w:rsid w:val="00157680"/>
    <w:rsid w:val="00157ACE"/>
    <w:rsid w:val="00157CEA"/>
    <w:rsid w:val="00157DB7"/>
    <w:rsid w:val="00160106"/>
    <w:rsid w:val="00160270"/>
    <w:rsid w:val="00160425"/>
    <w:rsid w:val="00160D36"/>
    <w:rsid w:val="00161720"/>
    <w:rsid w:val="00162139"/>
    <w:rsid w:val="00163473"/>
    <w:rsid w:val="0016370C"/>
    <w:rsid w:val="001659D4"/>
    <w:rsid w:val="00165FBB"/>
    <w:rsid w:val="001666CA"/>
    <w:rsid w:val="001701AB"/>
    <w:rsid w:val="00170ECF"/>
    <w:rsid w:val="00171678"/>
    <w:rsid w:val="001723D4"/>
    <w:rsid w:val="001727B5"/>
    <w:rsid w:val="00173B79"/>
    <w:rsid w:val="00174028"/>
    <w:rsid w:val="00174E36"/>
    <w:rsid w:val="001752CA"/>
    <w:rsid w:val="00175A61"/>
    <w:rsid w:val="00177848"/>
    <w:rsid w:val="00180A94"/>
    <w:rsid w:val="00181386"/>
    <w:rsid w:val="00183404"/>
    <w:rsid w:val="00185926"/>
    <w:rsid w:val="001865FB"/>
    <w:rsid w:val="00186A33"/>
    <w:rsid w:val="00187B2A"/>
    <w:rsid w:val="001914E0"/>
    <w:rsid w:val="001925A4"/>
    <w:rsid w:val="001929C4"/>
    <w:rsid w:val="00192D54"/>
    <w:rsid w:val="00192E56"/>
    <w:rsid w:val="00193492"/>
    <w:rsid w:val="00193CFA"/>
    <w:rsid w:val="00194128"/>
    <w:rsid w:val="0019470C"/>
    <w:rsid w:val="0019510A"/>
    <w:rsid w:val="00195519"/>
    <w:rsid w:val="0019583F"/>
    <w:rsid w:val="001979D3"/>
    <w:rsid w:val="00197B3F"/>
    <w:rsid w:val="00197FAA"/>
    <w:rsid w:val="001A0C8C"/>
    <w:rsid w:val="001A255F"/>
    <w:rsid w:val="001A2B99"/>
    <w:rsid w:val="001A3088"/>
    <w:rsid w:val="001A3241"/>
    <w:rsid w:val="001A32B4"/>
    <w:rsid w:val="001A38EB"/>
    <w:rsid w:val="001A3937"/>
    <w:rsid w:val="001A6AFE"/>
    <w:rsid w:val="001A6B61"/>
    <w:rsid w:val="001A7ED2"/>
    <w:rsid w:val="001B150A"/>
    <w:rsid w:val="001B184B"/>
    <w:rsid w:val="001B4382"/>
    <w:rsid w:val="001B7781"/>
    <w:rsid w:val="001C0199"/>
    <w:rsid w:val="001C086E"/>
    <w:rsid w:val="001C0CC9"/>
    <w:rsid w:val="001C2D55"/>
    <w:rsid w:val="001C3526"/>
    <w:rsid w:val="001C3638"/>
    <w:rsid w:val="001C3DD5"/>
    <w:rsid w:val="001C61D0"/>
    <w:rsid w:val="001C625A"/>
    <w:rsid w:val="001C62EC"/>
    <w:rsid w:val="001C676F"/>
    <w:rsid w:val="001D005F"/>
    <w:rsid w:val="001D045E"/>
    <w:rsid w:val="001D069E"/>
    <w:rsid w:val="001D1CF7"/>
    <w:rsid w:val="001D1DEC"/>
    <w:rsid w:val="001D2253"/>
    <w:rsid w:val="001D2635"/>
    <w:rsid w:val="001D43F4"/>
    <w:rsid w:val="001D4658"/>
    <w:rsid w:val="001D6ADF"/>
    <w:rsid w:val="001D74E9"/>
    <w:rsid w:val="001D7891"/>
    <w:rsid w:val="001D7E2A"/>
    <w:rsid w:val="001E1082"/>
    <w:rsid w:val="001E25C8"/>
    <w:rsid w:val="001E3B36"/>
    <w:rsid w:val="001E47D6"/>
    <w:rsid w:val="001E5DAB"/>
    <w:rsid w:val="001E775C"/>
    <w:rsid w:val="001F1E39"/>
    <w:rsid w:val="001F2E7B"/>
    <w:rsid w:val="001F354E"/>
    <w:rsid w:val="001F3FE2"/>
    <w:rsid w:val="001F41DE"/>
    <w:rsid w:val="001F4684"/>
    <w:rsid w:val="001F58E2"/>
    <w:rsid w:val="001F5DFF"/>
    <w:rsid w:val="001F7CBB"/>
    <w:rsid w:val="001F7D0F"/>
    <w:rsid w:val="001F7D40"/>
    <w:rsid w:val="00201182"/>
    <w:rsid w:val="002011A6"/>
    <w:rsid w:val="00201B49"/>
    <w:rsid w:val="00202359"/>
    <w:rsid w:val="00203CEC"/>
    <w:rsid w:val="00204C67"/>
    <w:rsid w:val="0020509A"/>
    <w:rsid w:val="0020623B"/>
    <w:rsid w:val="00207DF1"/>
    <w:rsid w:val="00210275"/>
    <w:rsid w:val="00210B6E"/>
    <w:rsid w:val="00211A5B"/>
    <w:rsid w:val="002129AF"/>
    <w:rsid w:val="00213811"/>
    <w:rsid w:val="00213B9E"/>
    <w:rsid w:val="00214E60"/>
    <w:rsid w:val="0021538D"/>
    <w:rsid w:val="00215B00"/>
    <w:rsid w:val="0021608F"/>
    <w:rsid w:val="002163FD"/>
    <w:rsid w:val="002165B1"/>
    <w:rsid w:val="00217BA5"/>
    <w:rsid w:val="00217C68"/>
    <w:rsid w:val="002216E7"/>
    <w:rsid w:val="00222604"/>
    <w:rsid w:val="00222806"/>
    <w:rsid w:val="00222EBF"/>
    <w:rsid w:val="002249F5"/>
    <w:rsid w:val="00224FEB"/>
    <w:rsid w:val="00226AC6"/>
    <w:rsid w:val="00226D68"/>
    <w:rsid w:val="00227962"/>
    <w:rsid w:val="00230B07"/>
    <w:rsid w:val="00232539"/>
    <w:rsid w:val="002326A7"/>
    <w:rsid w:val="00233E97"/>
    <w:rsid w:val="00234AD4"/>
    <w:rsid w:val="00236241"/>
    <w:rsid w:val="00236EC8"/>
    <w:rsid w:val="0023717C"/>
    <w:rsid w:val="00237C79"/>
    <w:rsid w:val="002409EB"/>
    <w:rsid w:val="00240AC2"/>
    <w:rsid w:val="00240B2D"/>
    <w:rsid w:val="002424A5"/>
    <w:rsid w:val="00242532"/>
    <w:rsid w:val="002473E4"/>
    <w:rsid w:val="00247882"/>
    <w:rsid w:val="002502A6"/>
    <w:rsid w:val="00251835"/>
    <w:rsid w:val="00251CD7"/>
    <w:rsid w:val="00252AFE"/>
    <w:rsid w:val="002538C1"/>
    <w:rsid w:val="00253A66"/>
    <w:rsid w:val="00255764"/>
    <w:rsid w:val="0025644D"/>
    <w:rsid w:val="0025653E"/>
    <w:rsid w:val="00256B58"/>
    <w:rsid w:val="0025728A"/>
    <w:rsid w:val="00257E06"/>
    <w:rsid w:val="00260DF3"/>
    <w:rsid w:val="002619E8"/>
    <w:rsid w:val="002621A9"/>
    <w:rsid w:val="0026297F"/>
    <w:rsid w:val="00262F3C"/>
    <w:rsid w:val="002644A0"/>
    <w:rsid w:val="00264F15"/>
    <w:rsid w:val="002651B9"/>
    <w:rsid w:val="00267C60"/>
    <w:rsid w:val="00267E9E"/>
    <w:rsid w:val="00270819"/>
    <w:rsid w:val="00270F9B"/>
    <w:rsid w:val="0027121F"/>
    <w:rsid w:val="00273595"/>
    <w:rsid w:val="00273DEB"/>
    <w:rsid w:val="00274005"/>
    <w:rsid w:val="0027478F"/>
    <w:rsid w:val="00276E53"/>
    <w:rsid w:val="00280559"/>
    <w:rsid w:val="00283C18"/>
    <w:rsid w:val="00283C44"/>
    <w:rsid w:val="00283DAC"/>
    <w:rsid w:val="002848D4"/>
    <w:rsid w:val="00284D10"/>
    <w:rsid w:val="00285A46"/>
    <w:rsid w:val="00285C3D"/>
    <w:rsid w:val="00285FCC"/>
    <w:rsid w:val="002861E4"/>
    <w:rsid w:val="00287782"/>
    <w:rsid w:val="00290999"/>
    <w:rsid w:val="002911F9"/>
    <w:rsid w:val="00291E0F"/>
    <w:rsid w:val="00292303"/>
    <w:rsid w:val="00292312"/>
    <w:rsid w:val="00292D1F"/>
    <w:rsid w:val="0029314D"/>
    <w:rsid w:val="002941AA"/>
    <w:rsid w:val="00295CA6"/>
    <w:rsid w:val="00296F42"/>
    <w:rsid w:val="002976E1"/>
    <w:rsid w:val="002A0E3E"/>
    <w:rsid w:val="002A13E6"/>
    <w:rsid w:val="002A25BD"/>
    <w:rsid w:val="002A2A2B"/>
    <w:rsid w:val="002A2FE6"/>
    <w:rsid w:val="002A3859"/>
    <w:rsid w:val="002A38B4"/>
    <w:rsid w:val="002A455D"/>
    <w:rsid w:val="002A57D4"/>
    <w:rsid w:val="002A73B4"/>
    <w:rsid w:val="002A77EA"/>
    <w:rsid w:val="002A7B52"/>
    <w:rsid w:val="002B1E53"/>
    <w:rsid w:val="002B3B25"/>
    <w:rsid w:val="002B3FF6"/>
    <w:rsid w:val="002B5D9C"/>
    <w:rsid w:val="002C010B"/>
    <w:rsid w:val="002C0862"/>
    <w:rsid w:val="002C1B77"/>
    <w:rsid w:val="002C271A"/>
    <w:rsid w:val="002C2BC5"/>
    <w:rsid w:val="002C3666"/>
    <w:rsid w:val="002C59B0"/>
    <w:rsid w:val="002C59F8"/>
    <w:rsid w:val="002C5C58"/>
    <w:rsid w:val="002C5E74"/>
    <w:rsid w:val="002C6251"/>
    <w:rsid w:val="002C64DF"/>
    <w:rsid w:val="002C7616"/>
    <w:rsid w:val="002D0B04"/>
    <w:rsid w:val="002D0FAE"/>
    <w:rsid w:val="002D14D8"/>
    <w:rsid w:val="002D1FEC"/>
    <w:rsid w:val="002D2542"/>
    <w:rsid w:val="002D3312"/>
    <w:rsid w:val="002D38CD"/>
    <w:rsid w:val="002D3DF4"/>
    <w:rsid w:val="002D423F"/>
    <w:rsid w:val="002D57A7"/>
    <w:rsid w:val="002D59CE"/>
    <w:rsid w:val="002D5DDF"/>
    <w:rsid w:val="002D6125"/>
    <w:rsid w:val="002D6A4F"/>
    <w:rsid w:val="002D75E2"/>
    <w:rsid w:val="002D7AEA"/>
    <w:rsid w:val="002D7D03"/>
    <w:rsid w:val="002E194C"/>
    <w:rsid w:val="002E1A98"/>
    <w:rsid w:val="002E2371"/>
    <w:rsid w:val="002E2972"/>
    <w:rsid w:val="002E2BF7"/>
    <w:rsid w:val="002E2FC6"/>
    <w:rsid w:val="002E33F8"/>
    <w:rsid w:val="002E3CE5"/>
    <w:rsid w:val="002E46B1"/>
    <w:rsid w:val="002E4AA8"/>
    <w:rsid w:val="002E52F0"/>
    <w:rsid w:val="002E69FE"/>
    <w:rsid w:val="002E6C39"/>
    <w:rsid w:val="002E7494"/>
    <w:rsid w:val="002E7716"/>
    <w:rsid w:val="002E7C8B"/>
    <w:rsid w:val="002F19B5"/>
    <w:rsid w:val="002F3B5A"/>
    <w:rsid w:val="002F4229"/>
    <w:rsid w:val="002F46E6"/>
    <w:rsid w:val="002F5269"/>
    <w:rsid w:val="002F5E06"/>
    <w:rsid w:val="002F611D"/>
    <w:rsid w:val="00300CCC"/>
    <w:rsid w:val="00300D08"/>
    <w:rsid w:val="0030214A"/>
    <w:rsid w:val="0030228E"/>
    <w:rsid w:val="00302417"/>
    <w:rsid w:val="003035A4"/>
    <w:rsid w:val="00303732"/>
    <w:rsid w:val="003042B0"/>
    <w:rsid w:val="0030594B"/>
    <w:rsid w:val="003059BD"/>
    <w:rsid w:val="00305CCA"/>
    <w:rsid w:val="00307AE4"/>
    <w:rsid w:val="00310A0B"/>
    <w:rsid w:val="00310D3C"/>
    <w:rsid w:val="00310D9B"/>
    <w:rsid w:val="00310EFA"/>
    <w:rsid w:val="00313016"/>
    <w:rsid w:val="003132CE"/>
    <w:rsid w:val="00313AFE"/>
    <w:rsid w:val="00315FD0"/>
    <w:rsid w:val="0031771F"/>
    <w:rsid w:val="0032025C"/>
    <w:rsid w:val="00322685"/>
    <w:rsid w:val="00323585"/>
    <w:rsid w:val="00323726"/>
    <w:rsid w:val="00325109"/>
    <w:rsid w:val="00326D41"/>
    <w:rsid w:val="0032766B"/>
    <w:rsid w:val="00330213"/>
    <w:rsid w:val="003304FE"/>
    <w:rsid w:val="0033087E"/>
    <w:rsid w:val="00330A24"/>
    <w:rsid w:val="00330E7F"/>
    <w:rsid w:val="00331519"/>
    <w:rsid w:val="00331872"/>
    <w:rsid w:val="003322D4"/>
    <w:rsid w:val="003337AC"/>
    <w:rsid w:val="00334597"/>
    <w:rsid w:val="00335EE2"/>
    <w:rsid w:val="00336065"/>
    <w:rsid w:val="00337C7B"/>
    <w:rsid w:val="003409CD"/>
    <w:rsid w:val="00340D40"/>
    <w:rsid w:val="00340E77"/>
    <w:rsid w:val="00342736"/>
    <w:rsid w:val="0034282F"/>
    <w:rsid w:val="0034296C"/>
    <w:rsid w:val="003441B0"/>
    <w:rsid w:val="00344771"/>
    <w:rsid w:val="003448A2"/>
    <w:rsid w:val="0034496C"/>
    <w:rsid w:val="003450F7"/>
    <w:rsid w:val="00345A5F"/>
    <w:rsid w:val="003460B2"/>
    <w:rsid w:val="003470DE"/>
    <w:rsid w:val="00350324"/>
    <w:rsid w:val="00351289"/>
    <w:rsid w:val="0035169D"/>
    <w:rsid w:val="0035186B"/>
    <w:rsid w:val="00351A51"/>
    <w:rsid w:val="00351F4B"/>
    <w:rsid w:val="00352136"/>
    <w:rsid w:val="003525E7"/>
    <w:rsid w:val="0035283F"/>
    <w:rsid w:val="0035370D"/>
    <w:rsid w:val="0035385C"/>
    <w:rsid w:val="003556FF"/>
    <w:rsid w:val="00355C32"/>
    <w:rsid w:val="00355DA4"/>
    <w:rsid w:val="00356C0A"/>
    <w:rsid w:val="00356C74"/>
    <w:rsid w:val="0035745D"/>
    <w:rsid w:val="00357778"/>
    <w:rsid w:val="00357894"/>
    <w:rsid w:val="00360272"/>
    <w:rsid w:val="003604E8"/>
    <w:rsid w:val="00360CBB"/>
    <w:rsid w:val="003613C4"/>
    <w:rsid w:val="00363656"/>
    <w:rsid w:val="003641FA"/>
    <w:rsid w:val="00364B1D"/>
    <w:rsid w:val="003655F6"/>
    <w:rsid w:val="003656BD"/>
    <w:rsid w:val="00365DC3"/>
    <w:rsid w:val="00365EDB"/>
    <w:rsid w:val="00366874"/>
    <w:rsid w:val="00366A3E"/>
    <w:rsid w:val="00367C4E"/>
    <w:rsid w:val="00367E26"/>
    <w:rsid w:val="00370761"/>
    <w:rsid w:val="003718AA"/>
    <w:rsid w:val="00372213"/>
    <w:rsid w:val="00373640"/>
    <w:rsid w:val="00373939"/>
    <w:rsid w:val="003742CA"/>
    <w:rsid w:val="00375DF2"/>
    <w:rsid w:val="0037799B"/>
    <w:rsid w:val="00380E6D"/>
    <w:rsid w:val="003810A0"/>
    <w:rsid w:val="00381B94"/>
    <w:rsid w:val="00381F95"/>
    <w:rsid w:val="0038348A"/>
    <w:rsid w:val="00384196"/>
    <w:rsid w:val="00385229"/>
    <w:rsid w:val="00386E80"/>
    <w:rsid w:val="003872FB"/>
    <w:rsid w:val="00390D7D"/>
    <w:rsid w:val="00390E80"/>
    <w:rsid w:val="0039131D"/>
    <w:rsid w:val="0039153B"/>
    <w:rsid w:val="0039271C"/>
    <w:rsid w:val="00392DDC"/>
    <w:rsid w:val="00393390"/>
    <w:rsid w:val="003933EA"/>
    <w:rsid w:val="00393749"/>
    <w:rsid w:val="00394067"/>
    <w:rsid w:val="00394528"/>
    <w:rsid w:val="0039473F"/>
    <w:rsid w:val="00394AC1"/>
    <w:rsid w:val="00395528"/>
    <w:rsid w:val="0039584B"/>
    <w:rsid w:val="0039739E"/>
    <w:rsid w:val="003975FA"/>
    <w:rsid w:val="00397A11"/>
    <w:rsid w:val="00397B21"/>
    <w:rsid w:val="003A028E"/>
    <w:rsid w:val="003A123A"/>
    <w:rsid w:val="003A153F"/>
    <w:rsid w:val="003A197F"/>
    <w:rsid w:val="003A276B"/>
    <w:rsid w:val="003A2987"/>
    <w:rsid w:val="003A4AA1"/>
    <w:rsid w:val="003A5152"/>
    <w:rsid w:val="003A57EA"/>
    <w:rsid w:val="003A6FC8"/>
    <w:rsid w:val="003A703C"/>
    <w:rsid w:val="003A7829"/>
    <w:rsid w:val="003B00AB"/>
    <w:rsid w:val="003B00E6"/>
    <w:rsid w:val="003B0512"/>
    <w:rsid w:val="003B2A69"/>
    <w:rsid w:val="003B2BCF"/>
    <w:rsid w:val="003B3CA1"/>
    <w:rsid w:val="003B424A"/>
    <w:rsid w:val="003B5438"/>
    <w:rsid w:val="003B57A7"/>
    <w:rsid w:val="003B7525"/>
    <w:rsid w:val="003B78EC"/>
    <w:rsid w:val="003C0418"/>
    <w:rsid w:val="003C0EEC"/>
    <w:rsid w:val="003C0F45"/>
    <w:rsid w:val="003C13AF"/>
    <w:rsid w:val="003C21FE"/>
    <w:rsid w:val="003C2618"/>
    <w:rsid w:val="003C441D"/>
    <w:rsid w:val="003C4D29"/>
    <w:rsid w:val="003C550E"/>
    <w:rsid w:val="003C6290"/>
    <w:rsid w:val="003C6BA7"/>
    <w:rsid w:val="003D0DF6"/>
    <w:rsid w:val="003D117B"/>
    <w:rsid w:val="003D235C"/>
    <w:rsid w:val="003D2406"/>
    <w:rsid w:val="003D4ADE"/>
    <w:rsid w:val="003D6029"/>
    <w:rsid w:val="003D63D9"/>
    <w:rsid w:val="003D6541"/>
    <w:rsid w:val="003D656E"/>
    <w:rsid w:val="003D66E8"/>
    <w:rsid w:val="003D7C41"/>
    <w:rsid w:val="003E1708"/>
    <w:rsid w:val="003E23AB"/>
    <w:rsid w:val="003E335A"/>
    <w:rsid w:val="003E37BB"/>
    <w:rsid w:val="003E3DEF"/>
    <w:rsid w:val="003E40E9"/>
    <w:rsid w:val="003E6300"/>
    <w:rsid w:val="003E641E"/>
    <w:rsid w:val="003E651C"/>
    <w:rsid w:val="003E7694"/>
    <w:rsid w:val="003F0DF2"/>
    <w:rsid w:val="003F29C9"/>
    <w:rsid w:val="003F56BB"/>
    <w:rsid w:val="003F5CB0"/>
    <w:rsid w:val="003F5CDE"/>
    <w:rsid w:val="003F620C"/>
    <w:rsid w:val="003F629C"/>
    <w:rsid w:val="00400C77"/>
    <w:rsid w:val="0040236D"/>
    <w:rsid w:val="00402EF5"/>
    <w:rsid w:val="0040352D"/>
    <w:rsid w:val="00403B52"/>
    <w:rsid w:val="00403FCD"/>
    <w:rsid w:val="00404133"/>
    <w:rsid w:val="00404443"/>
    <w:rsid w:val="00404597"/>
    <w:rsid w:val="00404B58"/>
    <w:rsid w:val="004058FE"/>
    <w:rsid w:val="004060D9"/>
    <w:rsid w:val="004061BD"/>
    <w:rsid w:val="004067B8"/>
    <w:rsid w:val="00406A11"/>
    <w:rsid w:val="004119BC"/>
    <w:rsid w:val="00411B0B"/>
    <w:rsid w:val="00412286"/>
    <w:rsid w:val="00413383"/>
    <w:rsid w:val="0041368D"/>
    <w:rsid w:val="004147CC"/>
    <w:rsid w:val="00414EB8"/>
    <w:rsid w:val="0041762F"/>
    <w:rsid w:val="00420B1B"/>
    <w:rsid w:val="00421802"/>
    <w:rsid w:val="004218E6"/>
    <w:rsid w:val="00421C32"/>
    <w:rsid w:val="004237C8"/>
    <w:rsid w:val="00423A86"/>
    <w:rsid w:val="00423E4D"/>
    <w:rsid w:val="0042402B"/>
    <w:rsid w:val="00427366"/>
    <w:rsid w:val="0043082C"/>
    <w:rsid w:val="00430D18"/>
    <w:rsid w:val="004321D8"/>
    <w:rsid w:val="004327FD"/>
    <w:rsid w:val="0043354A"/>
    <w:rsid w:val="0043572B"/>
    <w:rsid w:val="00435896"/>
    <w:rsid w:val="00436447"/>
    <w:rsid w:val="00436D0C"/>
    <w:rsid w:val="004402DB"/>
    <w:rsid w:val="0044139F"/>
    <w:rsid w:val="004417B4"/>
    <w:rsid w:val="00441AEE"/>
    <w:rsid w:val="00441D49"/>
    <w:rsid w:val="00442040"/>
    <w:rsid w:val="00443DB5"/>
    <w:rsid w:val="00444044"/>
    <w:rsid w:val="00451429"/>
    <w:rsid w:val="0045168A"/>
    <w:rsid w:val="0045181A"/>
    <w:rsid w:val="004518BE"/>
    <w:rsid w:val="00451A43"/>
    <w:rsid w:val="00452B62"/>
    <w:rsid w:val="00452BA1"/>
    <w:rsid w:val="004552D3"/>
    <w:rsid w:val="00455C5B"/>
    <w:rsid w:val="004600DE"/>
    <w:rsid w:val="004604FB"/>
    <w:rsid w:val="00460605"/>
    <w:rsid w:val="0046104B"/>
    <w:rsid w:val="00461451"/>
    <w:rsid w:val="00461AFE"/>
    <w:rsid w:val="00463875"/>
    <w:rsid w:val="00463B07"/>
    <w:rsid w:val="00463FF4"/>
    <w:rsid w:val="004642A1"/>
    <w:rsid w:val="00464908"/>
    <w:rsid w:val="00464DA0"/>
    <w:rsid w:val="00465418"/>
    <w:rsid w:val="00466B06"/>
    <w:rsid w:val="00471796"/>
    <w:rsid w:val="0047380E"/>
    <w:rsid w:val="00473E9A"/>
    <w:rsid w:val="004748E1"/>
    <w:rsid w:val="00475896"/>
    <w:rsid w:val="00476872"/>
    <w:rsid w:val="004775D1"/>
    <w:rsid w:val="00477EA3"/>
    <w:rsid w:val="00480184"/>
    <w:rsid w:val="00480980"/>
    <w:rsid w:val="00480BB6"/>
    <w:rsid w:val="00480D35"/>
    <w:rsid w:val="00480F48"/>
    <w:rsid w:val="0048151F"/>
    <w:rsid w:val="00482177"/>
    <w:rsid w:val="004831D2"/>
    <w:rsid w:val="00483682"/>
    <w:rsid w:val="00485B23"/>
    <w:rsid w:val="00486277"/>
    <w:rsid w:val="004866BC"/>
    <w:rsid w:val="00486D17"/>
    <w:rsid w:val="0049044F"/>
    <w:rsid w:val="004906EF"/>
    <w:rsid w:val="004911DF"/>
    <w:rsid w:val="00491501"/>
    <w:rsid w:val="004918B8"/>
    <w:rsid w:val="00491C66"/>
    <w:rsid w:val="00492CF9"/>
    <w:rsid w:val="004934A2"/>
    <w:rsid w:val="00493BD5"/>
    <w:rsid w:val="00493CFC"/>
    <w:rsid w:val="00494155"/>
    <w:rsid w:val="00494A9C"/>
    <w:rsid w:val="00494FA3"/>
    <w:rsid w:val="0049559A"/>
    <w:rsid w:val="00495A57"/>
    <w:rsid w:val="00495D7B"/>
    <w:rsid w:val="00495E33"/>
    <w:rsid w:val="004A280C"/>
    <w:rsid w:val="004A28E8"/>
    <w:rsid w:val="004A3989"/>
    <w:rsid w:val="004A4404"/>
    <w:rsid w:val="004A55C3"/>
    <w:rsid w:val="004A591A"/>
    <w:rsid w:val="004A5D33"/>
    <w:rsid w:val="004A7018"/>
    <w:rsid w:val="004A7612"/>
    <w:rsid w:val="004A79AE"/>
    <w:rsid w:val="004B1DE1"/>
    <w:rsid w:val="004B2235"/>
    <w:rsid w:val="004B23A8"/>
    <w:rsid w:val="004B43B0"/>
    <w:rsid w:val="004B6096"/>
    <w:rsid w:val="004B64B0"/>
    <w:rsid w:val="004B7A48"/>
    <w:rsid w:val="004C0286"/>
    <w:rsid w:val="004C06D8"/>
    <w:rsid w:val="004C0C73"/>
    <w:rsid w:val="004C1682"/>
    <w:rsid w:val="004C169D"/>
    <w:rsid w:val="004C27BA"/>
    <w:rsid w:val="004C5321"/>
    <w:rsid w:val="004C7254"/>
    <w:rsid w:val="004D031A"/>
    <w:rsid w:val="004D2113"/>
    <w:rsid w:val="004D27C7"/>
    <w:rsid w:val="004D32EC"/>
    <w:rsid w:val="004D36F1"/>
    <w:rsid w:val="004D5B5D"/>
    <w:rsid w:val="004D65F9"/>
    <w:rsid w:val="004E0F0F"/>
    <w:rsid w:val="004E4474"/>
    <w:rsid w:val="004E4C33"/>
    <w:rsid w:val="004E4D60"/>
    <w:rsid w:val="004E73D7"/>
    <w:rsid w:val="004F01A4"/>
    <w:rsid w:val="004F0338"/>
    <w:rsid w:val="004F06DF"/>
    <w:rsid w:val="004F1573"/>
    <w:rsid w:val="004F2E02"/>
    <w:rsid w:val="004F32B7"/>
    <w:rsid w:val="004F387F"/>
    <w:rsid w:val="004F441E"/>
    <w:rsid w:val="004F466C"/>
    <w:rsid w:val="004F4BD9"/>
    <w:rsid w:val="004F56E8"/>
    <w:rsid w:val="004F5C77"/>
    <w:rsid w:val="004F5C97"/>
    <w:rsid w:val="004F69F9"/>
    <w:rsid w:val="004F7B9B"/>
    <w:rsid w:val="005003C7"/>
    <w:rsid w:val="005007BE"/>
    <w:rsid w:val="00500FC6"/>
    <w:rsid w:val="00501617"/>
    <w:rsid w:val="005028E7"/>
    <w:rsid w:val="00502C41"/>
    <w:rsid w:val="005033B3"/>
    <w:rsid w:val="0050393B"/>
    <w:rsid w:val="00503A2A"/>
    <w:rsid w:val="00504344"/>
    <w:rsid w:val="005046ED"/>
    <w:rsid w:val="005051A4"/>
    <w:rsid w:val="00505317"/>
    <w:rsid w:val="0050574F"/>
    <w:rsid w:val="005060A5"/>
    <w:rsid w:val="005067F2"/>
    <w:rsid w:val="00507969"/>
    <w:rsid w:val="00507D03"/>
    <w:rsid w:val="00507FEE"/>
    <w:rsid w:val="00510EA0"/>
    <w:rsid w:val="00512E8E"/>
    <w:rsid w:val="00513014"/>
    <w:rsid w:val="00513C74"/>
    <w:rsid w:val="00513CE1"/>
    <w:rsid w:val="00513E86"/>
    <w:rsid w:val="00514EC6"/>
    <w:rsid w:val="00515275"/>
    <w:rsid w:val="005163FB"/>
    <w:rsid w:val="005164A5"/>
    <w:rsid w:val="005166D8"/>
    <w:rsid w:val="00516A55"/>
    <w:rsid w:val="0051701C"/>
    <w:rsid w:val="00517712"/>
    <w:rsid w:val="0051781F"/>
    <w:rsid w:val="00517842"/>
    <w:rsid w:val="00517C7D"/>
    <w:rsid w:val="005202D0"/>
    <w:rsid w:val="00520737"/>
    <w:rsid w:val="0052105A"/>
    <w:rsid w:val="00521200"/>
    <w:rsid w:val="0052179C"/>
    <w:rsid w:val="0052295C"/>
    <w:rsid w:val="005230A5"/>
    <w:rsid w:val="00523649"/>
    <w:rsid w:val="005242E8"/>
    <w:rsid w:val="00524C1F"/>
    <w:rsid w:val="005258BE"/>
    <w:rsid w:val="00525D5D"/>
    <w:rsid w:val="00525FD2"/>
    <w:rsid w:val="00526352"/>
    <w:rsid w:val="005266E5"/>
    <w:rsid w:val="005267D6"/>
    <w:rsid w:val="00526BBA"/>
    <w:rsid w:val="00527ABE"/>
    <w:rsid w:val="00527AD7"/>
    <w:rsid w:val="00530566"/>
    <w:rsid w:val="00531C5C"/>
    <w:rsid w:val="00533A95"/>
    <w:rsid w:val="00534963"/>
    <w:rsid w:val="00535C56"/>
    <w:rsid w:val="00536B27"/>
    <w:rsid w:val="00540386"/>
    <w:rsid w:val="0054081E"/>
    <w:rsid w:val="00540CA4"/>
    <w:rsid w:val="00541266"/>
    <w:rsid w:val="00541589"/>
    <w:rsid w:val="0054198A"/>
    <w:rsid w:val="00542B29"/>
    <w:rsid w:val="0054371F"/>
    <w:rsid w:val="00544F3C"/>
    <w:rsid w:val="005466EB"/>
    <w:rsid w:val="00546C96"/>
    <w:rsid w:val="005501AC"/>
    <w:rsid w:val="00550624"/>
    <w:rsid w:val="00550C3D"/>
    <w:rsid w:val="00551666"/>
    <w:rsid w:val="0055243C"/>
    <w:rsid w:val="00552AB9"/>
    <w:rsid w:val="005544F5"/>
    <w:rsid w:val="0055457E"/>
    <w:rsid w:val="0055573E"/>
    <w:rsid w:val="00556FE8"/>
    <w:rsid w:val="005574F4"/>
    <w:rsid w:val="0056064B"/>
    <w:rsid w:val="005607E6"/>
    <w:rsid w:val="005617ED"/>
    <w:rsid w:val="00561FC3"/>
    <w:rsid w:val="005621C4"/>
    <w:rsid w:val="005626A9"/>
    <w:rsid w:val="0056298B"/>
    <w:rsid w:val="00563BEF"/>
    <w:rsid w:val="00564F48"/>
    <w:rsid w:val="005652B1"/>
    <w:rsid w:val="0056656D"/>
    <w:rsid w:val="00566A01"/>
    <w:rsid w:val="00567274"/>
    <w:rsid w:val="005706F7"/>
    <w:rsid w:val="00572D9D"/>
    <w:rsid w:val="005732AF"/>
    <w:rsid w:val="00573C89"/>
    <w:rsid w:val="00573EB2"/>
    <w:rsid w:val="00574105"/>
    <w:rsid w:val="00574C26"/>
    <w:rsid w:val="00575554"/>
    <w:rsid w:val="00575744"/>
    <w:rsid w:val="00575B0A"/>
    <w:rsid w:val="00575D88"/>
    <w:rsid w:val="0057607A"/>
    <w:rsid w:val="00580585"/>
    <w:rsid w:val="0058065F"/>
    <w:rsid w:val="00580C57"/>
    <w:rsid w:val="00580D76"/>
    <w:rsid w:val="00582D87"/>
    <w:rsid w:val="00583C74"/>
    <w:rsid w:val="00583DC3"/>
    <w:rsid w:val="0058476B"/>
    <w:rsid w:val="00584797"/>
    <w:rsid w:val="00585A0A"/>
    <w:rsid w:val="00585BCF"/>
    <w:rsid w:val="0058639E"/>
    <w:rsid w:val="00586B71"/>
    <w:rsid w:val="0058731A"/>
    <w:rsid w:val="005901CB"/>
    <w:rsid w:val="00590C3A"/>
    <w:rsid w:val="005914D6"/>
    <w:rsid w:val="0059197A"/>
    <w:rsid w:val="00592511"/>
    <w:rsid w:val="005929E9"/>
    <w:rsid w:val="00593D3F"/>
    <w:rsid w:val="005948EE"/>
    <w:rsid w:val="0059535E"/>
    <w:rsid w:val="00595485"/>
    <w:rsid w:val="0059548E"/>
    <w:rsid w:val="005A2932"/>
    <w:rsid w:val="005A3212"/>
    <w:rsid w:val="005A542F"/>
    <w:rsid w:val="005A55F7"/>
    <w:rsid w:val="005A5B07"/>
    <w:rsid w:val="005A61EF"/>
    <w:rsid w:val="005A6694"/>
    <w:rsid w:val="005A7E3C"/>
    <w:rsid w:val="005A7ED9"/>
    <w:rsid w:val="005B0F2D"/>
    <w:rsid w:val="005B1041"/>
    <w:rsid w:val="005B2332"/>
    <w:rsid w:val="005B27FB"/>
    <w:rsid w:val="005B3037"/>
    <w:rsid w:val="005B6799"/>
    <w:rsid w:val="005B68E3"/>
    <w:rsid w:val="005B7418"/>
    <w:rsid w:val="005B7560"/>
    <w:rsid w:val="005C0F67"/>
    <w:rsid w:val="005C12C8"/>
    <w:rsid w:val="005C20FF"/>
    <w:rsid w:val="005C2515"/>
    <w:rsid w:val="005C2BF0"/>
    <w:rsid w:val="005C2D45"/>
    <w:rsid w:val="005C3543"/>
    <w:rsid w:val="005C35FA"/>
    <w:rsid w:val="005C3798"/>
    <w:rsid w:val="005C4506"/>
    <w:rsid w:val="005C4554"/>
    <w:rsid w:val="005C48D3"/>
    <w:rsid w:val="005C493B"/>
    <w:rsid w:val="005C4B31"/>
    <w:rsid w:val="005C5034"/>
    <w:rsid w:val="005C5468"/>
    <w:rsid w:val="005C5530"/>
    <w:rsid w:val="005C6285"/>
    <w:rsid w:val="005C6CEB"/>
    <w:rsid w:val="005D08ED"/>
    <w:rsid w:val="005D096E"/>
    <w:rsid w:val="005D0F1D"/>
    <w:rsid w:val="005D16C0"/>
    <w:rsid w:val="005D347D"/>
    <w:rsid w:val="005D3890"/>
    <w:rsid w:val="005D3927"/>
    <w:rsid w:val="005D439F"/>
    <w:rsid w:val="005D46D6"/>
    <w:rsid w:val="005D5775"/>
    <w:rsid w:val="005D612B"/>
    <w:rsid w:val="005D67F1"/>
    <w:rsid w:val="005D6AAA"/>
    <w:rsid w:val="005D6CCA"/>
    <w:rsid w:val="005D719B"/>
    <w:rsid w:val="005D75CC"/>
    <w:rsid w:val="005D78EE"/>
    <w:rsid w:val="005D7E06"/>
    <w:rsid w:val="005E14DA"/>
    <w:rsid w:val="005E1C02"/>
    <w:rsid w:val="005E2777"/>
    <w:rsid w:val="005E3381"/>
    <w:rsid w:val="005E4551"/>
    <w:rsid w:val="005E4E16"/>
    <w:rsid w:val="005E5ADF"/>
    <w:rsid w:val="005E5BD5"/>
    <w:rsid w:val="005E6051"/>
    <w:rsid w:val="005E6985"/>
    <w:rsid w:val="005E73A8"/>
    <w:rsid w:val="005F038E"/>
    <w:rsid w:val="005F1B7B"/>
    <w:rsid w:val="005F1BBD"/>
    <w:rsid w:val="005F25E2"/>
    <w:rsid w:val="005F2713"/>
    <w:rsid w:val="005F37B0"/>
    <w:rsid w:val="005F46AF"/>
    <w:rsid w:val="005F4EB9"/>
    <w:rsid w:val="005F552A"/>
    <w:rsid w:val="005F56D7"/>
    <w:rsid w:val="005F5D91"/>
    <w:rsid w:val="005F6DA0"/>
    <w:rsid w:val="005F6E6D"/>
    <w:rsid w:val="006049E2"/>
    <w:rsid w:val="006049E4"/>
    <w:rsid w:val="0060538C"/>
    <w:rsid w:val="0060684C"/>
    <w:rsid w:val="00606BF5"/>
    <w:rsid w:val="00606C81"/>
    <w:rsid w:val="00610867"/>
    <w:rsid w:val="0061271C"/>
    <w:rsid w:val="00614DEB"/>
    <w:rsid w:val="00615BD2"/>
    <w:rsid w:val="00615E0E"/>
    <w:rsid w:val="006172F0"/>
    <w:rsid w:val="00621DD8"/>
    <w:rsid w:val="0062246B"/>
    <w:rsid w:val="00625003"/>
    <w:rsid w:val="00625553"/>
    <w:rsid w:val="0062656D"/>
    <w:rsid w:val="00626B44"/>
    <w:rsid w:val="006270B8"/>
    <w:rsid w:val="006279FE"/>
    <w:rsid w:val="00630A7D"/>
    <w:rsid w:val="006310B9"/>
    <w:rsid w:val="006310ED"/>
    <w:rsid w:val="00631EB4"/>
    <w:rsid w:val="00632578"/>
    <w:rsid w:val="0063308A"/>
    <w:rsid w:val="00633FF5"/>
    <w:rsid w:val="00634162"/>
    <w:rsid w:val="00634234"/>
    <w:rsid w:val="00636301"/>
    <w:rsid w:val="00636578"/>
    <w:rsid w:val="00637F8E"/>
    <w:rsid w:val="00640772"/>
    <w:rsid w:val="00640BDE"/>
    <w:rsid w:val="006410CA"/>
    <w:rsid w:val="00641362"/>
    <w:rsid w:val="006420E6"/>
    <w:rsid w:val="00642750"/>
    <w:rsid w:val="00645E9A"/>
    <w:rsid w:val="00646063"/>
    <w:rsid w:val="00646CF2"/>
    <w:rsid w:val="0065097E"/>
    <w:rsid w:val="00651285"/>
    <w:rsid w:val="006523E3"/>
    <w:rsid w:val="006525E6"/>
    <w:rsid w:val="00652DBB"/>
    <w:rsid w:val="0065444A"/>
    <w:rsid w:val="006567F5"/>
    <w:rsid w:val="00656881"/>
    <w:rsid w:val="00657EDF"/>
    <w:rsid w:val="00660AF4"/>
    <w:rsid w:val="006610E9"/>
    <w:rsid w:val="00661C47"/>
    <w:rsid w:val="006629D5"/>
    <w:rsid w:val="00664023"/>
    <w:rsid w:val="006650C2"/>
    <w:rsid w:val="00665F5E"/>
    <w:rsid w:val="006662AC"/>
    <w:rsid w:val="00667ADD"/>
    <w:rsid w:val="00667AF6"/>
    <w:rsid w:val="006706C2"/>
    <w:rsid w:val="006717B4"/>
    <w:rsid w:val="00671AC4"/>
    <w:rsid w:val="00673271"/>
    <w:rsid w:val="00673F9F"/>
    <w:rsid w:val="00674B43"/>
    <w:rsid w:val="0067699B"/>
    <w:rsid w:val="006778D2"/>
    <w:rsid w:val="006778D6"/>
    <w:rsid w:val="00677ED4"/>
    <w:rsid w:val="00680088"/>
    <w:rsid w:val="00680A4F"/>
    <w:rsid w:val="00680C18"/>
    <w:rsid w:val="00681994"/>
    <w:rsid w:val="0068272A"/>
    <w:rsid w:val="006836C1"/>
    <w:rsid w:val="00684538"/>
    <w:rsid w:val="00684B0E"/>
    <w:rsid w:val="00684E34"/>
    <w:rsid w:val="00685825"/>
    <w:rsid w:val="00686CA7"/>
    <w:rsid w:val="00687419"/>
    <w:rsid w:val="00687ECE"/>
    <w:rsid w:val="00690800"/>
    <w:rsid w:val="00691BF6"/>
    <w:rsid w:val="00691E56"/>
    <w:rsid w:val="00692449"/>
    <w:rsid w:val="006926D6"/>
    <w:rsid w:val="006930F7"/>
    <w:rsid w:val="00693784"/>
    <w:rsid w:val="00693D77"/>
    <w:rsid w:val="00694A97"/>
    <w:rsid w:val="00694B22"/>
    <w:rsid w:val="00694D04"/>
    <w:rsid w:val="006953B3"/>
    <w:rsid w:val="00695615"/>
    <w:rsid w:val="006963F1"/>
    <w:rsid w:val="00696881"/>
    <w:rsid w:val="00697314"/>
    <w:rsid w:val="006976A3"/>
    <w:rsid w:val="00697740"/>
    <w:rsid w:val="006A0BBD"/>
    <w:rsid w:val="006A1506"/>
    <w:rsid w:val="006A36E3"/>
    <w:rsid w:val="006A518D"/>
    <w:rsid w:val="006A6429"/>
    <w:rsid w:val="006A6489"/>
    <w:rsid w:val="006A6A55"/>
    <w:rsid w:val="006A7727"/>
    <w:rsid w:val="006A77E9"/>
    <w:rsid w:val="006A7C37"/>
    <w:rsid w:val="006B200F"/>
    <w:rsid w:val="006B34D8"/>
    <w:rsid w:val="006B37CB"/>
    <w:rsid w:val="006B42B7"/>
    <w:rsid w:val="006B57FC"/>
    <w:rsid w:val="006B5CA3"/>
    <w:rsid w:val="006B664D"/>
    <w:rsid w:val="006B7A59"/>
    <w:rsid w:val="006B7A85"/>
    <w:rsid w:val="006B7F3E"/>
    <w:rsid w:val="006C0904"/>
    <w:rsid w:val="006C0BA7"/>
    <w:rsid w:val="006C0FCE"/>
    <w:rsid w:val="006C10DF"/>
    <w:rsid w:val="006C1EF0"/>
    <w:rsid w:val="006C2A3B"/>
    <w:rsid w:val="006C30D6"/>
    <w:rsid w:val="006C341E"/>
    <w:rsid w:val="006C4AB9"/>
    <w:rsid w:val="006C4EEA"/>
    <w:rsid w:val="006C5060"/>
    <w:rsid w:val="006C5E1A"/>
    <w:rsid w:val="006C5FB0"/>
    <w:rsid w:val="006C631F"/>
    <w:rsid w:val="006C6B96"/>
    <w:rsid w:val="006C6E41"/>
    <w:rsid w:val="006C76B3"/>
    <w:rsid w:val="006C77B7"/>
    <w:rsid w:val="006C7A2E"/>
    <w:rsid w:val="006C7B8C"/>
    <w:rsid w:val="006D0221"/>
    <w:rsid w:val="006D0506"/>
    <w:rsid w:val="006D21FD"/>
    <w:rsid w:val="006D27CA"/>
    <w:rsid w:val="006D2C13"/>
    <w:rsid w:val="006D54A8"/>
    <w:rsid w:val="006D5578"/>
    <w:rsid w:val="006D6D95"/>
    <w:rsid w:val="006D6F15"/>
    <w:rsid w:val="006D78B7"/>
    <w:rsid w:val="006E002D"/>
    <w:rsid w:val="006E0496"/>
    <w:rsid w:val="006E1109"/>
    <w:rsid w:val="006E1DD9"/>
    <w:rsid w:val="006E23B3"/>
    <w:rsid w:val="006E23BE"/>
    <w:rsid w:val="006E2B2E"/>
    <w:rsid w:val="006E3D55"/>
    <w:rsid w:val="006E3DE6"/>
    <w:rsid w:val="006E3F0B"/>
    <w:rsid w:val="006E422F"/>
    <w:rsid w:val="006E49E7"/>
    <w:rsid w:val="006E536C"/>
    <w:rsid w:val="006E581F"/>
    <w:rsid w:val="006E61C4"/>
    <w:rsid w:val="006E646C"/>
    <w:rsid w:val="006E6892"/>
    <w:rsid w:val="006F064D"/>
    <w:rsid w:val="006F1ADB"/>
    <w:rsid w:val="006F1ECB"/>
    <w:rsid w:val="006F1FD5"/>
    <w:rsid w:val="006F2957"/>
    <w:rsid w:val="006F3597"/>
    <w:rsid w:val="006F3C56"/>
    <w:rsid w:val="006F4E4B"/>
    <w:rsid w:val="006F4F61"/>
    <w:rsid w:val="006F5456"/>
    <w:rsid w:val="006F5C6F"/>
    <w:rsid w:val="006F5F72"/>
    <w:rsid w:val="006F63A4"/>
    <w:rsid w:val="006F7727"/>
    <w:rsid w:val="00700112"/>
    <w:rsid w:val="007004D0"/>
    <w:rsid w:val="00700BEC"/>
    <w:rsid w:val="00702382"/>
    <w:rsid w:val="00703867"/>
    <w:rsid w:val="00704368"/>
    <w:rsid w:val="00704565"/>
    <w:rsid w:val="00704667"/>
    <w:rsid w:val="007057C3"/>
    <w:rsid w:val="00705824"/>
    <w:rsid w:val="0070647A"/>
    <w:rsid w:val="00706707"/>
    <w:rsid w:val="00710441"/>
    <w:rsid w:val="007106C1"/>
    <w:rsid w:val="00710952"/>
    <w:rsid w:val="00711823"/>
    <w:rsid w:val="00711878"/>
    <w:rsid w:val="007118AE"/>
    <w:rsid w:val="0071215C"/>
    <w:rsid w:val="007121AA"/>
    <w:rsid w:val="0071480E"/>
    <w:rsid w:val="00714A19"/>
    <w:rsid w:val="00714B5B"/>
    <w:rsid w:val="0071588A"/>
    <w:rsid w:val="00715A30"/>
    <w:rsid w:val="00716902"/>
    <w:rsid w:val="007172A4"/>
    <w:rsid w:val="00717FF5"/>
    <w:rsid w:val="0072306F"/>
    <w:rsid w:val="007238D8"/>
    <w:rsid w:val="00724BCF"/>
    <w:rsid w:val="00724D39"/>
    <w:rsid w:val="00726267"/>
    <w:rsid w:val="00726636"/>
    <w:rsid w:val="007266F3"/>
    <w:rsid w:val="007268B0"/>
    <w:rsid w:val="0072770A"/>
    <w:rsid w:val="0072775E"/>
    <w:rsid w:val="007279AC"/>
    <w:rsid w:val="00727EC3"/>
    <w:rsid w:val="00730640"/>
    <w:rsid w:val="007307D7"/>
    <w:rsid w:val="00730BB5"/>
    <w:rsid w:val="00730F15"/>
    <w:rsid w:val="00731C24"/>
    <w:rsid w:val="00732511"/>
    <w:rsid w:val="007326DB"/>
    <w:rsid w:val="0073281F"/>
    <w:rsid w:val="00732BA2"/>
    <w:rsid w:val="00735761"/>
    <w:rsid w:val="0073760F"/>
    <w:rsid w:val="00737E3D"/>
    <w:rsid w:val="00737E8F"/>
    <w:rsid w:val="00743212"/>
    <w:rsid w:val="0074349F"/>
    <w:rsid w:val="007451C0"/>
    <w:rsid w:val="0074749C"/>
    <w:rsid w:val="00750383"/>
    <w:rsid w:val="00751219"/>
    <w:rsid w:val="0075243F"/>
    <w:rsid w:val="007526F3"/>
    <w:rsid w:val="00753652"/>
    <w:rsid w:val="007541BA"/>
    <w:rsid w:val="007545BD"/>
    <w:rsid w:val="0075552F"/>
    <w:rsid w:val="00755FD8"/>
    <w:rsid w:val="00756C5E"/>
    <w:rsid w:val="007570E0"/>
    <w:rsid w:val="00757E0B"/>
    <w:rsid w:val="007600D6"/>
    <w:rsid w:val="00760170"/>
    <w:rsid w:val="00760FA8"/>
    <w:rsid w:val="007619B3"/>
    <w:rsid w:val="00763A00"/>
    <w:rsid w:val="00764DF7"/>
    <w:rsid w:val="00766CBF"/>
    <w:rsid w:val="00767B31"/>
    <w:rsid w:val="007711C8"/>
    <w:rsid w:val="00771C04"/>
    <w:rsid w:val="007728FD"/>
    <w:rsid w:val="00773F96"/>
    <w:rsid w:val="007744EF"/>
    <w:rsid w:val="007758AB"/>
    <w:rsid w:val="00775D9F"/>
    <w:rsid w:val="00776D2C"/>
    <w:rsid w:val="00776D92"/>
    <w:rsid w:val="00777EA6"/>
    <w:rsid w:val="0078010F"/>
    <w:rsid w:val="00781698"/>
    <w:rsid w:val="00782CE6"/>
    <w:rsid w:val="0078452F"/>
    <w:rsid w:val="00786D03"/>
    <w:rsid w:val="00787003"/>
    <w:rsid w:val="00787603"/>
    <w:rsid w:val="007913C1"/>
    <w:rsid w:val="00791E9D"/>
    <w:rsid w:val="007930AD"/>
    <w:rsid w:val="0079352F"/>
    <w:rsid w:val="00793745"/>
    <w:rsid w:val="007942F6"/>
    <w:rsid w:val="00794A03"/>
    <w:rsid w:val="00795391"/>
    <w:rsid w:val="007969F0"/>
    <w:rsid w:val="00797E59"/>
    <w:rsid w:val="007A0974"/>
    <w:rsid w:val="007A1249"/>
    <w:rsid w:val="007A2176"/>
    <w:rsid w:val="007A2F4F"/>
    <w:rsid w:val="007A30FB"/>
    <w:rsid w:val="007A3C41"/>
    <w:rsid w:val="007A3E29"/>
    <w:rsid w:val="007A44B3"/>
    <w:rsid w:val="007A5482"/>
    <w:rsid w:val="007A5FEA"/>
    <w:rsid w:val="007A6A3F"/>
    <w:rsid w:val="007B09C0"/>
    <w:rsid w:val="007B1504"/>
    <w:rsid w:val="007B21F8"/>
    <w:rsid w:val="007B57F9"/>
    <w:rsid w:val="007B5882"/>
    <w:rsid w:val="007B5EFE"/>
    <w:rsid w:val="007B6E09"/>
    <w:rsid w:val="007B7002"/>
    <w:rsid w:val="007B7F04"/>
    <w:rsid w:val="007C004D"/>
    <w:rsid w:val="007C2232"/>
    <w:rsid w:val="007C23C5"/>
    <w:rsid w:val="007C4228"/>
    <w:rsid w:val="007C560F"/>
    <w:rsid w:val="007C5F48"/>
    <w:rsid w:val="007C71A4"/>
    <w:rsid w:val="007C765E"/>
    <w:rsid w:val="007D19EE"/>
    <w:rsid w:val="007D2554"/>
    <w:rsid w:val="007D27DF"/>
    <w:rsid w:val="007D3FD3"/>
    <w:rsid w:val="007D4543"/>
    <w:rsid w:val="007D48C6"/>
    <w:rsid w:val="007D4C27"/>
    <w:rsid w:val="007D5A79"/>
    <w:rsid w:val="007D6E83"/>
    <w:rsid w:val="007D6F17"/>
    <w:rsid w:val="007E1F27"/>
    <w:rsid w:val="007E2965"/>
    <w:rsid w:val="007E2E52"/>
    <w:rsid w:val="007E33BA"/>
    <w:rsid w:val="007E3EE8"/>
    <w:rsid w:val="007E4B00"/>
    <w:rsid w:val="007E56B0"/>
    <w:rsid w:val="007E7191"/>
    <w:rsid w:val="007F0EB0"/>
    <w:rsid w:val="007F1C86"/>
    <w:rsid w:val="007F1D84"/>
    <w:rsid w:val="007F1EB8"/>
    <w:rsid w:val="007F210C"/>
    <w:rsid w:val="007F38C2"/>
    <w:rsid w:val="007F3AEC"/>
    <w:rsid w:val="007F3E67"/>
    <w:rsid w:val="007F43FC"/>
    <w:rsid w:val="007F4CE8"/>
    <w:rsid w:val="007F51C8"/>
    <w:rsid w:val="007F631D"/>
    <w:rsid w:val="007F659C"/>
    <w:rsid w:val="007F6700"/>
    <w:rsid w:val="007F7E18"/>
    <w:rsid w:val="00800676"/>
    <w:rsid w:val="00800CB3"/>
    <w:rsid w:val="0080197B"/>
    <w:rsid w:val="008028F7"/>
    <w:rsid w:val="00802B9A"/>
    <w:rsid w:val="00805630"/>
    <w:rsid w:val="00806FA0"/>
    <w:rsid w:val="00807B43"/>
    <w:rsid w:val="00807ED5"/>
    <w:rsid w:val="00811D60"/>
    <w:rsid w:val="00812911"/>
    <w:rsid w:val="00814394"/>
    <w:rsid w:val="0081493B"/>
    <w:rsid w:val="008150C0"/>
    <w:rsid w:val="00815461"/>
    <w:rsid w:val="008163BA"/>
    <w:rsid w:val="00816BA5"/>
    <w:rsid w:val="00817A0E"/>
    <w:rsid w:val="008203AB"/>
    <w:rsid w:val="008229DD"/>
    <w:rsid w:val="00822CAF"/>
    <w:rsid w:val="00823C0A"/>
    <w:rsid w:val="0082411A"/>
    <w:rsid w:val="0082477A"/>
    <w:rsid w:val="0082485B"/>
    <w:rsid w:val="00824BC4"/>
    <w:rsid w:val="008309F6"/>
    <w:rsid w:val="00830FED"/>
    <w:rsid w:val="00831224"/>
    <w:rsid w:val="0083166F"/>
    <w:rsid w:val="00831907"/>
    <w:rsid w:val="00834051"/>
    <w:rsid w:val="00835B9A"/>
    <w:rsid w:val="00837DEF"/>
    <w:rsid w:val="0084011C"/>
    <w:rsid w:val="00840B2D"/>
    <w:rsid w:val="008417D9"/>
    <w:rsid w:val="00841DF9"/>
    <w:rsid w:val="008420EF"/>
    <w:rsid w:val="00842734"/>
    <w:rsid w:val="00843194"/>
    <w:rsid w:val="00845516"/>
    <w:rsid w:val="00845CD7"/>
    <w:rsid w:val="00845CE3"/>
    <w:rsid w:val="00846222"/>
    <w:rsid w:val="00846615"/>
    <w:rsid w:val="0084687F"/>
    <w:rsid w:val="008469B0"/>
    <w:rsid w:val="00847B05"/>
    <w:rsid w:val="00850238"/>
    <w:rsid w:val="00850B0E"/>
    <w:rsid w:val="008511D5"/>
    <w:rsid w:val="008517CA"/>
    <w:rsid w:val="00852A72"/>
    <w:rsid w:val="00852CCB"/>
    <w:rsid w:val="00852DEC"/>
    <w:rsid w:val="00853EB8"/>
    <w:rsid w:val="008541C9"/>
    <w:rsid w:val="00855440"/>
    <w:rsid w:val="00856CCC"/>
    <w:rsid w:val="0086082E"/>
    <w:rsid w:val="00861051"/>
    <w:rsid w:val="00862922"/>
    <w:rsid w:val="00862FF4"/>
    <w:rsid w:val="0086311D"/>
    <w:rsid w:val="00865FF0"/>
    <w:rsid w:val="00866873"/>
    <w:rsid w:val="00867541"/>
    <w:rsid w:val="00870372"/>
    <w:rsid w:val="00870CDE"/>
    <w:rsid w:val="00871492"/>
    <w:rsid w:val="00871A48"/>
    <w:rsid w:val="00872063"/>
    <w:rsid w:val="00872B6D"/>
    <w:rsid w:val="008735BD"/>
    <w:rsid w:val="0087518C"/>
    <w:rsid w:val="0087563A"/>
    <w:rsid w:val="00875FCC"/>
    <w:rsid w:val="008762F6"/>
    <w:rsid w:val="00876559"/>
    <w:rsid w:val="00876E42"/>
    <w:rsid w:val="008771D7"/>
    <w:rsid w:val="00877C66"/>
    <w:rsid w:val="00880153"/>
    <w:rsid w:val="0088075A"/>
    <w:rsid w:val="00881296"/>
    <w:rsid w:val="00882B4F"/>
    <w:rsid w:val="00883A1F"/>
    <w:rsid w:val="00886BB4"/>
    <w:rsid w:val="00886D18"/>
    <w:rsid w:val="008905E3"/>
    <w:rsid w:val="00890A9B"/>
    <w:rsid w:val="008923E3"/>
    <w:rsid w:val="00892AA4"/>
    <w:rsid w:val="00894DCC"/>
    <w:rsid w:val="00895FE4"/>
    <w:rsid w:val="008971C2"/>
    <w:rsid w:val="00897A33"/>
    <w:rsid w:val="008A01A4"/>
    <w:rsid w:val="008A0456"/>
    <w:rsid w:val="008A0600"/>
    <w:rsid w:val="008A1074"/>
    <w:rsid w:val="008A2D2F"/>
    <w:rsid w:val="008A34D8"/>
    <w:rsid w:val="008A3556"/>
    <w:rsid w:val="008A42A8"/>
    <w:rsid w:val="008A4793"/>
    <w:rsid w:val="008A5007"/>
    <w:rsid w:val="008A7383"/>
    <w:rsid w:val="008A7A09"/>
    <w:rsid w:val="008A7CBC"/>
    <w:rsid w:val="008B0801"/>
    <w:rsid w:val="008B0F3F"/>
    <w:rsid w:val="008B1B06"/>
    <w:rsid w:val="008B3383"/>
    <w:rsid w:val="008B440A"/>
    <w:rsid w:val="008B446E"/>
    <w:rsid w:val="008B505C"/>
    <w:rsid w:val="008B5C67"/>
    <w:rsid w:val="008B64B6"/>
    <w:rsid w:val="008B7184"/>
    <w:rsid w:val="008B78DA"/>
    <w:rsid w:val="008C0117"/>
    <w:rsid w:val="008C0342"/>
    <w:rsid w:val="008C0489"/>
    <w:rsid w:val="008C12CF"/>
    <w:rsid w:val="008C288D"/>
    <w:rsid w:val="008C2908"/>
    <w:rsid w:val="008C2D6C"/>
    <w:rsid w:val="008C3FEE"/>
    <w:rsid w:val="008C54A7"/>
    <w:rsid w:val="008C5C83"/>
    <w:rsid w:val="008C66E3"/>
    <w:rsid w:val="008C6A0B"/>
    <w:rsid w:val="008C6E4A"/>
    <w:rsid w:val="008C6E66"/>
    <w:rsid w:val="008C755B"/>
    <w:rsid w:val="008C7D8C"/>
    <w:rsid w:val="008D1670"/>
    <w:rsid w:val="008D1C81"/>
    <w:rsid w:val="008D2C24"/>
    <w:rsid w:val="008D4E77"/>
    <w:rsid w:val="008D54C2"/>
    <w:rsid w:val="008D55AC"/>
    <w:rsid w:val="008D566A"/>
    <w:rsid w:val="008D5F31"/>
    <w:rsid w:val="008D7A2F"/>
    <w:rsid w:val="008D7AEE"/>
    <w:rsid w:val="008D7CC9"/>
    <w:rsid w:val="008D7FDC"/>
    <w:rsid w:val="008E0633"/>
    <w:rsid w:val="008E0E6D"/>
    <w:rsid w:val="008E26F3"/>
    <w:rsid w:val="008E2EFA"/>
    <w:rsid w:val="008E42FB"/>
    <w:rsid w:val="008F00CD"/>
    <w:rsid w:val="008F0C5C"/>
    <w:rsid w:val="008F0F41"/>
    <w:rsid w:val="008F117D"/>
    <w:rsid w:val="008F1393"/>
    <w:rsid w:val="008F19D3"/>
    <w:rsid w:val="008F1FB1"/>
    <w:rsid w:val="008F2E31"/>
    <w:rsid w:val="008F321E"/>
    <w:rsid w:val="008F3E1D"/>
    <w:rsid w:val="008F486B"/>
    <w:rsid w:val="008F4943"/>
    <w:rsid w:val="008F61B3"/>
    <w:rsid w:val="008F69D5"/>
    <w:rsid w:val="00900888"/>
    <w:rsid w:val="00900935"/>
    <w:rsid w:val="00900A39"/>
    <w:rsid w:val="009012B2"/>
    <w:rsid w:val="009022FB"/>
    <w:rsid w:val="00902826"/>
    <w:rsid w:val="009031D8"/>
    <w:rsid w:val="00903CDA"/>
    <w:rsid w:val="00907950"/>
    <w:rsid w:val="00910D19"/>
    <w:rsid w:val="009135AF"/>
    <w:rsid w:val="009161AB"/>
    <w:rsid w:val="009174D6"/>
    <w:rsid w:val="00917FA4"/>
    <w:rsid w:val="009209AA"/>
    <w:rsid w:val="00920BCE"/>
    <w:rsid w:val="0092105F"/>
    <w:rsid w:val="00921235"/>
    <w:rsid w:val="00921368"/>
    <w:rsid w:val="009215E4"/>
    <w:rsid w:val="00922020"/>
    <w:rsid w:val="009220FD"/>
    <w:rsid w:val="009233D8"/>
    <w:rsid w:val="0092477B"/>
    <w:rsid w:val="00924DDA"/>
    <w:rsid w:val="00924DFB"/>
    <w:rsid w:val="00924E64"/>
    <w:rsid w:val="00924F79"/>
    <w:rsid w:val="009260ED"/>
    <w:rsid w:val="00926387"/>
    <w:rsid w:val="00926931"/>
    <w:rsid w:val="009278E3"/>
    <w:rsid w:val="0093031D"/>
    <w:rsid w:val="00930D28"/>
    <w:rsid w:val="0093183D"/>
    <w:rsid w:val="00933C89"/>
    <w:rsid w:val="009345A2"/>
    <w:rsid w:val="0093466E"/>
    <w:rsid w:val="00934F03"/>
    <w:rsid w:val="00935952"/>
    <w:rsid w:val="009404A4"/>
    <w:rsid w:val="00940637"/>
    <w:rsid w:val="0094096A"/>
    <w:rsid w:val="009414D5"/>
    <w:rsid w:val="009421CE"/>
    <w:rsid w:val="00942B07"/>
    <w:rsid w:val="00943838"/>
    <w:rsid w:val="00944451"/>
    <w:rsid w:val="009448F3"/>
    <w:rsid w:val="00945137"/>
    <w:rsid w:val="00945B73"/>
    <w:rsid w:val="0094733F"/>
    <w:rsid w:val="00947A50"/>
    <w:rsid w:val="00950499"/>
    <w:rsid w:val="00950575"/>
    <w:rsid w:val="00950EBA"/>
    <w:rsid w:val="0095333D"/>
    <w:rsid w:val="0095347F"/>
    <w:rsid w:val="00953DCA"/>
    <w:rsid w:val="00956154"/>
    <w:rsid w:val="009565C1"/>
    <w:rsid w:val="00956B9E"/>
    <w:rsid w:val="009573E8"/>
    <w:rsid w:val="009600F5"/>
    <w:rsid w:val="0096019A"/>
    <w:rsid w:val="00960E49"/>
    <w:rsid w:val="0096144B"/>
    <w:rsid w:val="00961598"/>
    <w:rsid w:val="00961EEC"/>
    <w:rsid w:val="00962346"/>
    <w:rsid w:val="00964EAE"/>
    <w:rsid w:val="009655C2"/>
    <w:rsid w:val="00965714"/>
    <w:rsid w:val="00966607"/>
    <w:rsid w:val="00966D40"/>
    <w:rsid w:val="009676A2"/>
    <w:rsid w:val="00972741"/>
    <w:rsid w:val="00974131"/>
    <w:rsid w:val="00975496"/>
    <w:rsid w:val="009763CB"/>
    <w:rsid w:val="0097705B"/>
    <w:rsid w:val="0097790D"/>
    <w:rsid w:val="00980271"/>
    <w:rsid w:val="00980C93"/>
    <w:rsid w:val="0098214A"/>
    <w:rsid w:val="00982330"/>
    <w:rsid w:val="0098294F"/>
    <w:rsid w:val="0098361B"/>
    <w:rsid w:val="00983663"/>
    <w:rsid w:val="00983986"/>
    <w:rsid w:val="0098665A"/>
    <w:rsid w:val="009876DE"/>
    <w:rsid w:val="009911D2"/>
    <w:rsid w:val="009912CD"/>
    <w:rsid w:val="0099229D"/>
    <w:rsid w:val="00992F98"/>
    <w:rsid w:val="00993584"/>
    <w:rsid w:val="0099362F"/>
    <w:rsid w:val="009959A8"/>
    <w:rsid w:val="00995A8F"/>
    <w:rsid w:val="0099636A"/>
    <w:rsid w:val="009A027B"/>
    <w:rsid w:val="009A1FE5"/>
    <w:rsid w:val="009A32FB"/>
    <w:rsid w:val="009A37B0"/>
    <w:rsid w:val="009A3877"/>
    <w:rsid w:val="009A3DC8"/>
    <w:rsid w:val="009A3EE2"/>
    <w:rsid w:val="009A44F3"/>
    <w:rsid w:val="009A451A"/>
    <w:rsid w:val="009A7E0A"/>
    <w:rsid w:val="009B005A"/>
    <w:rsid w:val="009B0C20"/>
    <w:rsid w:val="009B13B8"/>
    <w:rsid w:val="009B1E4A"/>
    <w:rsid w:val="009B227B"/>
    <w:rsid w:val="009B3379"/>
    <w:rsid w:val="009B3706"/>
    <w:rsid w:val="009B4871"/>
    <w:rsid w:val="009B4F1B"/>
    <w:rsid w:val="009B57EA"/>
    <w:rsid w:val="009B649F"/>
    <w:rsid w:val="009B6CC5"/>
    <w:rsid w:val="009B7F7C"/>
    <w:rsid w:val="009C1851"/>
    <w:rsid w:val="009C1DC5"/>
    <w:rsid w:val="009C2793"/>
    <w:rsid w:val="009C29D4"/>
    <w:rsid w:val="009C47B6"/>
    <w:rsid w:val="009C5666"/>
    <w:rsid w:val="009C618A"/>
    <w:rsid w:val="009C655D"/>
    <w:rsid w:val="009C67EE"/>
    <w:rsid w:val="009C71EB"/>
    <w:rsid w:val="009C7667"/>
    <w:rsid w:val="009D1EF6"/>
    <w:rsid w:val="009D2150"/>
    <w:rsid w:val="009D2210"/>
    <w:rsid w:val="009D3898"/>
    <w:rsid w:val="009D4006"/>
    <w:rsid w:val="009D4F20"/>
    <w:rsid w:val="009D5C34"/>
    <w:rsid w:val="009D6D4A"/>
    <w:rsid w:val="009D7DEF"/>
    <w:rsid w:val="009E0619"/>
    <w:rsid w:val="009E0654"/>
    <w:rsid w:val="009E2AFA"/>
    <w:rsid w:val="009E32A2"/>
    <w:rsid w:val="009E4BB8"/>
    <w:rsid w:val="009E52A4"/>
    <w:rsid w:val="009E5DD3"/>
    <w:rsid w:val="009E5E1C"/>
    <w:rsid w:val="009E652A"/>
    <w:rsid w:val="009F0DA2"/>
    <w:rsid w:val="009F1174"/>
    <w:rsid w:val="009F1804"/>
    <w:rsid w:val="009F63B6"/>
    <w:rsid w:val="009F6CBD"/>
    <w:rsid w:val="00A00193"/>
    <w:rsid w:val="00A00461"/>
    <w:rsid w:val="00A01A14"/>
    <w:rsid w:val="00A01FE4"/>
    <w:rsid w:val="00A0221C"/>
    <w:rsid w:val="00A029B2"/>
    <w:rsid w:val="00A02A79"/>
    <w:rsid w:val="00A03B10"/>
    <w:rsid w:val="00A03E50"/>
    <w:rsid w:val="00A0543D"/>
    <w:rsid w:val="00A054FB"/>
    <w:rsid w:val="00A055F4"/>
    <w:rsid w:val="00A05C08"/>
    <w:rsid w:val="00A079C6"/>
    <w:rsid w:val="00A111B3"/>
    <w:rsid w:val="00A1162F"/>
    <w:rsid w:val="00A11C57"/>
    <w:rsid w:val="00A11D37"/>
    <w:rsid w:val="00A1242B"/>
    <w:rsid w:val="00A12BBB"/>
    <w:rsid w:val="00A14814"/>
    <w:rsid w:val="00A14906"/>
    <w:rsid w:val="00A14C2C"/>
    <w:rsid w:val="00A16283"/>
    <w:rsid w:val="00A16A58"/>
    <w:rsid w:val="00A1726F"/>
    <w:rsid w:val="00A201A8"/>
    <w:rsid w:val="00A210D8"/>
    <w:rsid w:val="00A21450"/>
    <w:rsid w:val="00A21E2F"/>
    <w:rsid w:val="00A2362A"/>
    <w:rsid w:val="00A23ABB"/>
    <w:rsid w:val="00A242E1"/>
    <w:rsid w:val="00A2521A"/>
    <w:rsid w:val="00A25591"/>
    <w:rsid w:val="00A273BC"/>
    <w:rsid w:val="00A273EB"/>
    <w:rsid w:val="00A27548"/>
    <w:rsid w:val="00A27C33"/>
    <w:rsid w:val="00A3063E"/>
    <w:rsid w:val="00A30794"/>
    <w:rsid w:val="00A34353"/>
    <w:rsid w:val="00A34843"/>
    <w:rsid w:val="00A359C2"/>
    <w:rsid w:val="00A360AE"/>
    <w:rsid w:val="00A36453"/>
    <w:rsid w:val="00A36652"/>
    <w:rsid w:val="00A37F63"/>
    <w:rsid w:val="00A4200D"/>
    <w:rsid w:val="00A42371"/>
    <w:rsid w:val="00A42454"/>
    <w:rsid w:val="00A427C2"/>
    <w:rsid w:val="00A42AED"/>
    <w:rsid w:val="00A42BA9"/>
    <w:rsid w:val="00A438F7"/>
    <w:rsid w:val="00A4551D"/>
    <w:rsid w:val="00A46763"/>
    <w:rsid w:val="00A4701B"/>
    <w:rsid w:val="00A47095"/>
    <w:rsid w:val="00A47D20"/>
    <w:rsid w:val="00A47E21"/>
    <w:rsid w:val="00A5010D"/>
    <w:rsid w:val="00A501A3"/>
    <w:rsid w:val="00A50628"/>
    <w:rsid w:val="00A50B30"/>
    <w:rsid w:val="00A52DE1"/>
    <w:rsid w:val="00A52EF5"/>
    <w:rsid w:val="00A54016"/>
    <w:rsid w:val="00A55370"/>
    <w:rsid w:val="00A557EF"/>
    <w:rsid w:val="00A55B21"/>
    <w:rsid w:val="00A562F0"/>
    <w:rsid w:val="00A56B64"/>
    <w:rsid w:val="00A56C9D"/>
    <w:rsid w:val="00A57699"/>
    <w:rsid w:val="00A57848"/>
    <w:rsid w:val="00A616F4"/>
    <w:rsid w:val="00A6178B"/>
    <w:rsid w:val="00A61A7A"/>
    <w:rsid w:val="00A6252B"/>
    <w:rsid w:val="00A63C50"/>
    <w:rsid w:val="00A64B85"/>
    <w:rsid w:val="00A6783D"/>
    <w:rsid w:val="00A70DC0"/>
    <w:rsid w:val="00A714B3"/>
    <w:rsid w:val="00A71985"/>
    <w:rsid w:val="00A75C15"/>
    <w:rsid w:val="00A75CCB"/>
    <w:rsid w:val="00A76C0C"/>
    <w:rsid w:val="00A80F4C"/>
    <w:rsid w:val="00A81CC1"/>
    <w:rsid w:val="00A8206B"/>
    <w:rsid w:val="00A8214C"/>
    <w:rsid w:val="00A8253A"/>
    <w:rsid w:val="00A84698"/>
    <w:rsid w:val="00A85016"/>
    <w:rsid w:val="00A851BE"/>
    <w:rsid w:val="00A85463"/>
    <w:rsid w:val="00A863C5"/>
    <w:rsid w:val="00A874E1"/>
    <w:rsid w:val="00A91D0B"/>
    <w:rsid w:val="00A92D31"/>
    <w:rsid w:val="00A945E7"/>
    <w:rsid w:val="00A959DC"/>
    <w:rsid w:val="00A95C0E"/>
    <w:rsid w:val="00A96A1B"/>
    <w:rsid w:val="00A97D5D"/>
    <w:rsid w:val="00AA0879"/>
    <w:rsid w:val="00AA0F37"/>
    <w:rsid w:val="00AA15BA"/>
    <w:rsid w:val="00AA1EF8"/>
    <w:rsid w:val="00AA25D4"/>
    <w:rsid w:val="00AA292A"/>
    <w:rsid w:val="00AA2CA0"/>
    <w:rsid w:val="00AA424A"/>
    <w:rsid w:val="00AA4493"/>
    <w:rsid w:val="00AA45BA"/>
    <w:rsid w:val="00AA5470"/>
    <w:rsid w:val="00AA6150"/>
    <w:rsid w:val="00AA62E8"/>
    <w:rsid w:val="00AA7B83"/>
    <w:rsid w:val="00AB24D0"/>
    <w:rsid w:val="00AB2F59"/>
    <w:rsid w:val="00AB3163"/>
    <w:rsid w:val="00AB32AD"/>
    <w:rsid w:val="00AB36A9"/>
    <w:rsid w:val="00AB540E"/>
    <w:rsid w:val="00AB5C21"/>
    <w:rsid w:val="00AB7096"/>
    <w:rsid w:val="00AB7740"/>
    <w:rsid w:val="00AB77A3"/>
    <w:rsid w:val="00AC010E"/>
    <w:rsid w:val="00AC022E"/>
    <w:rsid w:val="00AC0C13"/>
    <w:rsid w:val="00AC1F01"/>
    <w:rsid w:val="00AC2402"/>
    <w:rsid w:val="00AC2A62"/>
    <w:rsid w:val="00AC2BC6"/>
    <w:rsid w:val="00AC2F35"/>
    <w:rsid w:val="00AC341A"/>
    <w:rsid w:val="00AC47E4"/>
    <w:rsid w:val="00AC4FE0"/>
    <w:rsid w:val="00AC5A5D"/>
    <w:rsid w:val="00AC62CF"/>
    <w:rsid w:val="00AC6494"/>
    <w:rsid w:val="00AC7397"/>
    <w:rsid w:val="00AC795B"/>
    <w:rsid w:val="00AD0D3E"/>
    <w:rsid w:val="00AD0DD4"/>
    <w:rsid w:val="00AD0EC0"/>
    <w:rsid w:val="00AD2B01"/>
    <w:rsid w:val="00AD493D"/>
    <w:rsid w:val="00AD5C4A"/>
    <w:rsid w:val="00AD67DD"/>
    <w:rsid w:val="00AD6F4F"/>
    <w:rsid w:val="00AD782D"/>
    <w:rsid w:val="00AD7F34"/>
    <w:rsid w:val="00AE1280"/>
    <w:rsid w:val="00AE1B60"/>
    <w:rsid w:val="00AE2096"/>
    <w:rsid w:val="00AE210A"/>
    <w:rsid w:val="00AE215E"/>
    <w:rsid w:val="00AE4153"/>
    <w:rsid w:val="00AE5E31"/>
    <w:rsid w:val="00AE6A54"/>
    <w:rsid w:val="00AE75CA"/>
    <w:rsid w:val="00AE75CF"/>
    <w:rsid w:val="00AE7D08"/>
    <w:rsid w:val="00AF1691"/>
    <w:rsid w:val="00AF2312"/>
    <w:rsid w:val="00AF2572"/>
    <w:rsid w:val="00AF2672"/>
    <w:rsid w:val="00AF3021"/>
    <w:rsid w:val="00AF3536"/>
    <w:rsid w:val="00AF3A49"/>
    <w:rsid w:val="00AF449A"/>
    <w:rsid w:val="00AF5158"/>
    <w:rsid w:val="00AF5750"/>
    <w:rsid w:val="00AF5E16"/>
    <w:rsid w:val="00AF6956"/>
    <w:rsid w:val="00AF6995"/>
    <w:rsid w:val="00AF74DF"/>
    <w:rsid w:val="00AF7576"/>
    <w:rsid w:val="00B00CE9"/>
    <w:rsid w:val="00B0150A"/>
    <w:rsid w:val="00B0185E"/>
    <w:rsid w:val="00B02B86"/>
    <w:rsid w:val="00B034D1"/>
    <w:rsid w:val="00B04526"/>
    <w:rsid w:val="00B049D3"/>
    <w:rsid w:val="00B0530A"/>
    <w:rsid w:val="00B058E5"/>
    <w:rsid w:val="00B062AC"/>
    <w:rsid w:val="00B10853"/>
    <w:rsid w:val="00B10CD9"/>
    <w:rsid w:val="00B10ED0"/>
    <w:rsid w:val="00B10FBB"/>
    <w:rsid w:val="00B11563"/>
    <w:rsid w:val="00B11F54"/>
    <w:rsid w:val="00B135F2"/>
    <w:rsid w:val="00B14FC2"/>
    <w:rsid w:val="00B16230"/>
    <w:rsid w:val="00B16413"/>
    <w:rsid w:val="00B170BE"/>
    <w:rsid w:val="00B17535"/>
    <w:rsid w:val="00B1756C"/>
    <w:rsid w:val="00B20A96"/>
    <w:rsid w:val="00B21626"/>
    <w:rsid w:val="00B243FB"/>
    <w:rsid w:val="00B2452A"/>
    <w:rsid w:val="00B25B3C"/>
    <w:rsid w:val="00B26C2C"/>
    <w:rsid w:val="00B27A0D"/>
    <w:rsid w:val="00B27AA8"/>
    <w:rsid w:val="00B27DF9"/>
    <w:rsid w:val="00B30C3A"/>
    <w:rsid w:val="00B30D71"/>
    <w:rsid w:val="00B31E94"/>
    <w:rsid w:val="00B31EEA"/>
    <w:rsid w:val="00B31FE4"/>
    <w:rsid w:val="00B32C3B"/>
    <w:rsid w:val="00B34AFF"/>
    <w:rsid w:val="00B36A85"/>
    <w:rsid w:val="00B36EB2"/>
    <w:rsid w:val="00B406E8"/>
    <w:rsid w:val="00B42547"/>
    <w:rsid w:val="00B43BD2"/>
    <w:rsid w:val="00B44A8B"/>
    <w:rsid w:val="00B454FA"/>
    <w:rsid w:val="00B45F00"/>
    <w:rsid w:val="00B47077"/>
    <w:rsid w:val="00B47241"/>
    <w:rsid w:val="00B50172"/>
    <w:rsid w:val="00B5158A"/>
    <w:rsid w:val="00B51F96"/>
    <w:rsid w:val="00B53D59"/>
    <w:rsid w:val="00B542D3"/>
    <w:rsid w:val="00B54541"/>
    <w:rsid w:val="00B5464F"/>
    <w:rsid w:val="00B55032"/>
    <w:rsid w:val="00B57489"/>
    <w:rsid w:val="00B57AFB"/>
    <w:rsid w:val="00B602E3"/>
    <w:rsid w:val="00B626DA"/>
    <w:rsid w:val="00B62A71"/>
    <w:rsid w:val="00B63497"/>
    <w:rsid w:val="00B63D62"/>
    <w:rsid w:val="00B64D7A"/>
    <w:rsid w:val="00B64E3F"/>
    <w:rsid w:val="00B6517A"/>
    <w:rsid w:val="00B65AC6"/>
    <w:rsid w:val="00B6647C"/>
    <w:rsid w:val="00B66F12"/>
    <w:rsid w:val="00B67F41"/>
    <w:rsid w:val="00B700C4"/>
    <w:rsid w:val="00B7068D"/>
    <w:rsid w:val="00B70E18"/>
    <w:rsid w:val="00B70F50"/>
    <w:rsid w:val="00B72984"/>
    <w:rsid w:val="00B73408"/>
    <w:rsid w:val="00B7453A"/>
    <w:rsid w:val="00B74A71"/>
    <w:rsid w:val="00B74D35"/>
    <w:rsid w:val="00B74DC5"/>
    <w:rsid w:val="00B754EF"/>
    <w:rsid w:val="00B76784"/>
    <w:rsid w:val="00B80647"/>
    <w:rsid w:val="00B81179"/>
    <w:rsid w:val="00B81726"/>
    <w:rsid w:val="00B81B0C"/>
    <w:rsid w:val="00B82318"/>
    <w:rsid w:val="00B82800"/>
    <w:rsid w:val="00B83F28"/>
    <w:rsid w:val="00B83FEB"/>
    <w:rsid w:val="00B854F2"/>
    <w:rsid w:val="00B8573B"/>
    <w:rsid w:val="00B86231"/>
    <w:rsid w:val="00B87A6A"/>
    <w:rsid w:val="00B87D31"/>
    <w:rsid w:val="00B90A8D"/>
    <w:rsid w:val="00B90CE3"/>
    <w:rsid w:val="00B91B45"/>
    <w:rsid w:val="00B92286"/>
    <w:rsid w:val="00B9273F"/>
    <w:rsid w:val="00B92D79"/>
    <w:rsid w:val="00B95927"/>
    <w:rsid w:val="00BA004F"/>
    <w:rsid w:val="00BA03C3"/>
    <w:rsid w:val="00BA05FF"/>
    <w:rsid w:val="00BA0ABD"/>
    <w:rsid w:val="00BA0FC3"/>
    <w:rsid w:val="00BA10D2"/>
    <w:rsid w:val="00BA1248"/>
    <w:rsid w:val="00BA2DD4"/>
    <w:rsid w:val="00BA38B7"/>
    <w:rsid w:val="00BA3D1D"/>
    <w:rsid w:val="00BA430F"/>
    <w:rsid w:val="00BA4408"/>
    <w:rsid w:val="00BA4605"/>
    <w:rsid w:val="00BA4D8C"/>
    <w:rsid w:val="00BA540D"/>
    <w:rsid w:val="00BA59EB"/>
    <w:rsid w:val="00BA64B4"/>
    <w:rsid w:val="00BA7CAA"/>
    <w:rsid w:val="00BA7F89"/>
    <w:rsid w:val="00BB17B6"/>
    <w:rsid w:val="00BB26D9"/>
    <w:rsid w:val="00BB2850"/>
    <w:rsid w:val="00BB3652"/>
    <w:rsid w:val="00BB4255"/>
    <w:rsid w:val="00BB5454"/>
    <w:rsid w:val="00BB6612"/>
    <w:rsid w:val="00BB69FE"/>
    <w:rsid w:val="00BB6D0C"/>
    <w:rsid w:val="00BB72A4"/>
    <w:rsid w:val="00BB7BC7"/>
    <w:rsid w:val="00BB7C78"/>
    <w:rsid w:val="00BC00B3"/>
    <w:rsid w:val="00BC072B"/>
    <w:rsid w:val="00BC0D5A"/>
    <w:rsid w:val="00BC128D"/>
    <w:rsid w:val="00BC2DA8"/>
    <w:rsid w:val="00BC2EE1"/>
    <w:rsid w:val="00BC33E6"/>
    <w:rsid w:val="00BC3E06"/>
    <w:rsid w:val="00BC5C99"/>
    <w:rsid w:val="00BC7B43"/>
    <w:rsid w:val="00BD0100"/>
    <w:rsid w:val="00BD0883"/>
    <w:rsid w:val="00BD15E6"/>
    <w:rsid w:val="00BD4DD0"/>
    <w:rsid w:val="00BD50F5"/>
    <w:rsid w:val="00BD5DCE"/>
    <w:rsid w:val="00BD5EB1"/>
    <w:rsid w:val="00BD605F"/>
    <w:rsid w:val="00BD6A73"/>
    <w:rsid w:val="00BD6C70"/>
    <w:rsid w:val="00BD7B10"/>
    <w:rsid w:val="00BD7B3A"/>
    <w:rsid w:val="00BE05D9"/>
    <w:rsid w:val="00BE234B"/>
    <w:rsid w:val="00BE4C69"/>
    <w:rsid w:val="00BE59EA"/>
    <w:rsid w:val="00BE6AF2"/>
    <w:rsid w:val="00BE6AF7"/>
    <w:rsid w:val="00BE6F40"/>
    <w:rsid w:val="00BE7278"/>
    <w:rsid w:val="00BF046E"/>
    <w:rsid w:val="00BF08F4"/>
    <w:rsid w:val="00BF0DE7"/>
    <w:rsid w:val="00BF11A0"/>
    <w:rsid w:val="00BF2758"/>
    <w:rsid w:val="00BF3798"/>
    <w:rsid w:val="00BF3AB4"/>
    <w:rsid w:val="00BF4B40"/>
    <w:rsid w:val="00BF55F7"/>
    <w:rsid w:val="00BF5767"/>
    <w:rsid w:val="00BF5953"/>
    <w:rsid w:val="00BF63D5"/>
    <w:rsid w:val="00BF66CC"/>
    <w:rsid w:val="00BF6BE6"/>
    <w:rsid w:val="00BF7FC8"/>
    <w:rsid w:val="00C004CB"/>
    <w:rsid w:val="00C00F36"/>
    <w:rsid w:val="00C01834"/>
    <w:rsid w:val="00C02471"/>
    <w:rsid w:val="00C02D5F"/>
    <w:rsid w:val="00C033C8"/>
    <w:rsid w:val="00C0368B"/>
    <w:rsid w:val="00C040E0"/>
    <w:rsid w:val="00C04682"/>
    <w:rsid w:val="00C0478A"/>
    <w:rsid w:val="00C0534A"/>
    <w:rsid w:val="00C057BC"/>
    <w:rsid w:val="00C0614E"/>
    <w:rsid w:val="00C0695F"/>
    <w:rsid w:val="00C06AB7"/>
    <w:rsid w:val="00C06F0E"/>
    <w:rsid w:val="00C071C2"/>
    <w:rsid w:val="00C07266"/>
    <w:rsid w:val="00C117E1"/>
    <w:rsid w:val="00C1193E"/>
    <w:rsid w:val="00C11A52"/>
    <w:rsid w:val="00C11FAF"/>
    <w:rsid w:val="00C13951"/>
    <w:rsid w:val="00C13D0A"/>
    <w:rsid w:val="00C14528"/>
    <w:rsid w:val="00C14F68"/>
    <w:rsid w:val="00C15C63"/>
    <w:rsid w:val="00C15DFF"/>
    <w:rsid w:val="00C16DDA"/>
    <w:rsid w:val="00C17A83"/>
    <w:rsid w:val="00C17B1A"/>
    <w:rsid w:val="00C17ED4"/>
    <w:rsid w:val="00C204D0"/>
    <w:rsid w:val="00C20F06"/>
    <w:rsid w:val="00C21E91"/>
    <w:rsid w:val="00C22574"/>
    <w:rsid w:val="00C22D92"/>
    <w:rsid w:val="00C23669"/>
    <w:rsid w:val="00C24084"/>
    <w:rsid w:val="00C24B90"/>
    <w:rsid w:val="00C2586D"/>
    <w:rsid w:val="00C265BA"/>
    <w:rsid w:val="00C26809"/>
    <w:rsid w:val="00C269DF"/>
    <w:rsid w:val="00C27414"/>
    <w:rsid w:val="00C31271"/>
    <w:rsid w:val="00C312D9"/>
    <w:rsid w:val="00C32E0D"/>
    <w:rsid w:val="00C3377C"/>
    <w:rsid w:val="00C342F6"/>
    <w:rsid w:val="00C36CBD"/>
    <w:rsid w:val="00C37B31"/>
    <w:rsid w:val="00C403CE"/>
    <w:rsid w:val="00C412A2"/>
    <w:rsid w:val="00C41C4F"/>
    <w:rsid w:val="00C42BA4"/>
    <w:rsid w:val="00C42EBE"/>
    <w:rsid w:val="00C43B81"/>
    <w:rsid w:val="00C43BBB"/>
    <w:rsid w:val="00C444CF"/>
    <w:rsid w:val="00C4495E"/>
    <w:rsid w:val="00C44E65"/>
    <w:rsid w:val="00C45B57"/>
    <w:rsid w:val="00C46C14"/>
    <w:rsid w:val="00C508F4"/>
    <w:rsid w:val="00C53A98"/>
    <w:rsid w:val="00C55E56"/>
    <w:rsid w:val="00C56ADD"/>
    <w:rsid w:val="00C60436"/>
    <w:rsid w:val="00C619DC"/>
    <w:rsid w:val="00C61A91"/>
    <w:rsid w:val="00C6345A"/>
    <w:rsid w:val="00C64A5F"/>
    <w:rsid w:val="00C64BCB"/>
    <w:rsid w:val="00C64D79"/>
    <w:rsid w:val="00C6619F"/>
    <w:rsid w:val="00C664F4"/>
    <w:rsid w:val="00C66645"/>
    <w:rsid w:val="00C66CFF"/>
    <w:rsid w:val="00C678DB"/>
    <w:rsid w:val="00C70263"/>
    <w:rsid w:val="00C710F4"/>
    <w:rsid w:val="00C73D08"/>
    <w:rsid w:val="00C745D3"/>
    <w:rsid w:val="00C7529A"/>
    <w:rsid w:val="00C75392"/>
    <w:rsid w:val="00C756C8"/>
    <w:rsid w:val="00C766A3"/>
    <w:rsid w:val="00C7740D"/>
    <w:rsid w:val="00C80153"/>
    <w:rsid w:val="00C801DE"/>
    <w:rsid w:val="00C8035F"/>
    <w:rsid w:val="00C80655"/>
    <w:rsid w:val="00C80D5B"/>
    <w:rsid w:val="00C82226"/>
    <w:rsid w:val="00C82F35"/>
    <w:rsid w:val="00C85403"/>
    <w:rsid w:val="00C85DF4"/>
    <w:rsid w:val="00C87B91"/>
    <w:rsid w:val="00C87C7D"/>
    <w:rsid w:val="00C87D61"/>
    <w:rsid w:val="00C917AE"/>
    <w:rsid w:val="00C92636"/>
    <w:rsid w:val="00C93171"/>
    <w:rsid w:val="00C938E0"/>
    <w:rsid w:val="00C93988"/>
    <w:rsid w:val="00C93E92"/>
    <w:rsid w:val="00C94DBD"/>
    <w:rsid w:val="00C97131"/>
    <w:rsid w:val="00CA0A5B"/>
    <w:rsid w:val="00CA0A89"/>
    <w:rsid w:val="00CA2C02"/>
    <w:rsid w:val="00CA3558"/>
    <w:rsid w:val="00CA421E"/>
    <w:rsid w:val="00CA5616"/>
    <w:rsid w:val="00CA67D8"/>
    <w:rsid w:val="00CA6EE7"/>
    <w:rsid w:val="00CB2E4C"/>
    <w:rsid w:val="00CB4E2E"/>
    <w:rsid w:val="00CB5FE1"/>
    <w:rsid w:val="00CB6B6A"/>
    <w:rsid w:val="00CB784E"/>
    <w:rsid w:val="00CB7AFA"/>
    <w:rsid w:val="00CC17C4"/>
    <w:rsid w:val="00CC17CA"/>
    <w:rsid w:val="00CC27B8"/>
    <w:rsid w:val="00CC3701"/>
    <w:rsid w:val="00CC58F6"/>
    <w:rsid w:val="00CC65CB"/>
    <w:rsid w:val="00CC72B0"/>
    <w:rsid w:val="00CC7707"/>
    <w:rsid w:val="00CC7EB9"/>
    <w:rsid w:val="00CD134A"/>
    <w:rsid w:val="00CD1677"/>
    <w:rsid w:val="00CD3414"/>
    <w:rsid w:val="00CD367F"/>
    <w:rsid w:val="00CD3A9C"/>
    <w:rsid w:val="00CD489D"/>
    <w:rsid w:val="00CD5D7B"/>
    <w:rsid w:val="00CD68D0"/>
    <w:rsid w:val="00CD79DD"/>
    <w:rsid w:val="00CD7C31"/>
    <w:rsid w:val="00CE01A6"/>
    <w:rsid w:val="00CE01F5"/>
    <w:rsid w:val="00CE0B1E"/>
    <w:rsid w:val="00CE1F06"/>
    <w:rsid w:val="00CE2530"/>
    <w:rsid w:val="00CE26E7"/>
    <w:rsid w:val="00CE27FD"/>
    <w:rsid w:val="00CE2B57"/>
    <w:rsid w:val="00CE2C15"/>
    <w:rsid w:val="00CE4E4B"/>
    <w:rsid w:val="00CE5526"/>
    <w:rsid w:val="00CE5FE9"/>
    <w:rsid w:val="00CE6101"/>
    <w:rsid w:val="00CF03CE"/>
    <w:rsid w:val="00CF08EB"/>
    <w:rsid w:val="00CF2A22"/>
    <w:rsid w:val="00CF2C4D"/>
    <w:rsid w:val="00CF3171"/>
    <w:rsid w:val="00CF3973"/>
    <w:rsid w:val="00CF4442"/>
    <w:rsid w:val="00CF4997"/>
    <w:rsid w:val="00CF51E3"/>
    <w:rsid w:val="00CF5D3E"/>
    <w:rsid w:val="00CF705E"/>
    <w:rsid w:val="00CF73C6"/>
    <w:rsid w:val="00CF7D69"/>
    <w:rsid w:val="00D003B0"/>
    <w:rsid w:val="00D00997"/>
    <w:rsid w:val="00D00D46"/>
    <w:rsid w:val="00D015C5"/>
    <w:rsid w:val="00D04798"/>
    <w:rsid w:val="00D04CF2"/>
    <w:rsid w:val="00D05C6C"/>
    <w:rsid w:val="00D10B7E"/>
    <w:rsid w:val="00D13828"/>
    <w:rsid w:val="00D1434A"/>
    <w:rsid w:val="00D14396"/>
    <w:rsid w:val="00D14860"/>
    <w:rsid w:val="00D14E8F"/>
    <w:rsid w:val="00D14FFD"/>
    <w:rsid w:val="00D1527D"/>
    <w:rsid w:val="00D15887"/>
    <w:rsid w:val="00D15A5E"/>
    <w:rsid w:val="00D15D2E"/>
    <w:rsid w:val="00D16536"/>
    <w:rsid w:val="00D16D4A"/>
    <w:rsid w:val="00D17A2F"/>
    <w:rsid w:val="00D21CFE"/>
    <w:rsid w:val="00D22234"/>
    <w:rsid w:val="00D22E71"/>
    <w:rsid w:val="00D2386F"/>
    <w:rsid w:val="00D23C1C"/>
    <w:rsid w:val="00D25419"/>
    <w:rsid w:val="00D257CF"/>
    <w:rsid w:val="00D25FE1"/>
    <w:rsid w:val="00D26ECF"/>
    <w:rsid w:val="00D27A8F"/>
    <w:rsid w:val="00D27C89"/>
    <w:rsid w:val="00D307FE"/>
    <w:rsid w:val="00D3196B"/>
    <w:rsid w:val="00D31F07"/>
    <w:rsid w:val="00D31F41"/>
    <w:rsid w:val="00D33A10"/>
    <w:rsid w:val="00D3420B"/>
    <w:rsid w:val="00D3477A"/>
    <w:rsid w:val="00D35D85"/>
    <w:rsid w:val="00D370F6"/>
    <w:rsid w:val="00D37680"/>
    <w:rsid w:val="00D37B09"/>
    <w:rsid w:val="00D37D01"/>
    <w:rsid w:val="00D37D61"/>
    <w:rsid w:val="00D40611"/>
    <w:rsid w:val="00D41475"/>
    <w:rsid w:val="00D414AD"/>
    <w:rsid w:val="00D43072"/>
    <w:rsid w:val="00D4392E"/>
    <w:rsid w:val="00D44A91"/>
    <w:rsid w:val="00D44C68"/>
    <w:rsid w:val="00D45F92"/>
    <w:rsid w:val="00D46D9D"/>
    <w:rsid w:val="00D50A7C"/>
    <w:rsid w:val="00D50E0F"/>
    <w:rsid w:val="00D512C5"/>
    <w:rsid w:val="00D5130A"/>
    <w:rsid w:val="00D5144E"/>
    <w:rsid w:val="00D5260A"/>
    <w:rsid w:val="00D5308C"/>
    <w:rsid w:val="00D536BF"/>
    <w:rsid w:val="00D53C56"/>
    <w:rsid w:val="00D5422D"/>
    <w:rsid w:val="00D56695"/>
    <w:rsid w:val="00D56B2E"/>
    <w:rsid w:val="00D57159"/>
    <w:rsid w:val="00D572C8"/>
    <w:rsid w:val="00D57CFD"/>
    <w:rsid w:val="00D619E9"/>
    <w:rsid w:val="00D61D6D"/>
    <w:rsid w:val="00D6399D"/>
    <w:rsid w:val="00D63E5D"/>
    <w:rsid w:val="00D645AE"/>
    <w:rsid w:val="00D65B9C"/>
    <w:rsid w:val="00D66835"/>
    <w:rsid w:val="00D677E5"/>
    <w:rsid w:val="00D67B10"/>
    <w:rsid w:val="00D67E68"/>
    <w:rsid w:val="00D71BE1"/>
    <w:rsid w:val="00D7210B"/>
    <w:rsid w:val="00D72124"/>
    <w:rsid w:val="00D72502"/>
    <w:rsid w:val="00D72B4E"/>
    <w:rsid w:val="00D7349D"/>
    <w:rsid w:val="00D7397C"/>
    <w:rsid w:val="00D75AD2"/>
    <w:rsid w:val="00D766D1"/>
    <w:rsid w:val="00D8007C"/>
    <w:rsid w:val="00D815C7"/>
    <w:rsid w:val="00D81953"/>
    <w:rsid w:val="00D820AF"/>
    <w:rsid w:val="00D8288B"/>
    <w:rsid w:val="00D82E2E"/>
    <w:rsid w:val="00D830D5"/>
    <w:rsid w:val="00D83107"/>
    <w:rsid w:val="00D83DB6"/>
    <w:rsid w:val="00D841F3"/>
    <w:rsid w:val="00D8455D"/>
    <w:rsid w:val="00D850CF"/>
    <w:rsid w:val="00D85386"/>
    <w:rsid w:val="00D85A36"/>
    <w:rsid w:val="00D85DB1"/>
    <w:rsid w:val="00D86015"/>
    <w:rsid w:val="00D862AD"/>
    <w:rsid w:val="00D92B0A"/>
    <w:rsid w:val="00D9337D"/>
    <w:rsid w:val="00D94154"/>
    <w:rsid w:val="00D9438E"/>
    <w:rsid w:val="00D94679"/>
    <w:rsid w:val="00D94F06"/>
    <w:rsid w:val="00D94F35"/>
    <w:rsid w:val="00D9725B"/>
    <w:rsid w:val="00D97BD8"/>
    <w:rsid w:val="00DA570B"/>
    <w:rsid w:val="00DA7511"/>
    <w:rsid w:val="00DB04FE"/>
    <w:rsid w:val="00DB07C4"/>
    <w:rsid w:val="00DB08B9"/>
    <w:rsid w:val="00DB1981"/>
    <w:rsid w:val="00DB2015"/>
    <w:rsid w:val="00DB3BDC"/>
    <w:rsid w:val="00DB458C"/>
    <w:rsid w:val="00DB4C17"/>
    <w:rsid w:val="00DB63B3"/>
    <w:rsid w:val="00DB6969"/>
    <w:rsid w:val="00DB7921"/>
    <w:rsid w:val="00DC0090"/>
    <w:rsid w:val="00DC0478"/>
    <w:rsid w:val="00DC0DF8"/>
    <w:rsid w:val="00DC15DC"/>
    <w:rsid w:val="00DC294B"/>
    <w:rsid w:val="00DC2F5C"/>
    <w:rsid w:val="00DC3658"/>
    <w:rsid w:val="00DC4BFC"/>
    <w:rsid w:val="00DC5A60"/>
    <w:rsid w:val="00DC5B65"/>
    <w:rsid w:val="00DC60E0"/>
    <w:rsid w:val="00DC7EE8"/>
    <w:rsid w:val="00DD02E9"/>
    <w:rsid w:val="00DD09D2"/>
    <w:rsid w:val="00DD0C75"/>
    <w:rsid w:val="00DD0F1D"/>
    <w:rsid w:val="00DD2838"/>
    <w:rsid w:val="00DD2F87"/>
    <w:rsid w:val="00DD46B2"/>
    <w:rsid w:val="00DD46C0"/>
    <w:rsid w:val="00DD49EA"/>
    <w:rsid w:val="00DD58F2"/>
    <w:rsid w:val="00DD596C"/>
    <w:rsid w:val="00DD6037"/>
    <w:rsid w:val="00DD69AD"/>
    <w:rsid w:val="00DD7ADB"/>
    <w:rsid w:val="00DD7C3B"/>
    <w:rsid w:val="00DE03DD"/>
    <w:rsid w:val="00DE0873"/>
    <w:rsid w:val="00DE097D"/>
    <w:rsid w:val="00DE1A30"/>
    <w:rsid w:val="00DE1F66"/>
    <w:rsid w:val="00DE32FA"/>
    <w:rsid w:val="00DE3A78"/>
    <w:rsid w:val="00DE52F8"/>
    <w:rsid w:val="00DE6DF7"/>
    <w:rsid w:val="00DF04A3"/>
    <w:rsid w:val="00DF06E9"/>
    <w:rsid w:val="00DF08EF"/>
    <w:rsid w:val="00DF3D13"/>
    <w:rsid w:val="00DF599F"/>
    <w:rsid w:val="00DF67DF"/>
    <w:rsid w:val="00DF794F"/>
    <w:rsid w:val="00DF7BE3"/>
    <w:rsid w:val="00DF7EFF"/>
    <w:rsid w:val="00E00E86"/>
    <w:rsid w:val="00E012D6"/>
    <w:rsid w:val="00E014AB"/>
    <w:rsid w:val="00E01A89"/>
    <w:rsid w:val="00E0251B"/>
    <w:rsid w:val="00E02BEE"/>
    <w:rsid w:val="00E02CA0"/>
    <w:rsid w:val="00E02F26"/>
    <w:rsid w:val="00E03D4C"/>
    <w:rsid w:val="00E03E4E"/>
    <w:rsid w:val="00E04204"/>
    <w:rsid w:val="00E044B3"/>
    <w:rsid w:val="00E04887"/>
    <w:rsid w:val="00E06690"/>
    <w:rsid w:val="00E079B1"/>
    <w:rsid w:val="00E10314"/>
    <w:rsid w:val="00E11794"/>
    <w:rsid w:val="00E13E24"/>
    <w:rsid w:val="00E13EBA"/>
    <w:rsid w:val="00E15471"/>
    <w:rsid w:val="00E15C52"/>
    <w:rsid w:val="00E166A7"/>
    <w:rsid w:val="00E172D6"/>
    <w:rsid w:val="00E209EA"/>
    <w:rsid w:val="00E22A34"/>
    <w:rsid w:val="00E23148"/>
    <w:rsid w:val="00E234A1"/>
    <w:rsid w:val="00E23956"/>
    <w:rsid w:val="00E24A85"/>
    <w:rsid w:val="00E25299"/>
    <w:rsid w:val="00E25572"/>
    <w:rsid w:val="00E25C28"/>
    <w:rsid w:val="00E267F3"/>
    <w:rsid w:val="00E26B37"/>
    <w:rsid w:val="00E26FF9"/>
    <w:rsid w:val="00E31138"/>
    <w:rsid w:val="00E33C6B"/>
    <w:rsid w:val="00E3436D"/>
    <w:rsid w:val="00E34B0A"/>
    <w:rsid w:val="00E37F66"/>
    <w:rsid w:val="00E40163"/>
    <w:rsid w:val="00E40BF4"/>
    <w:rsid w:val="00E425CF"/>
    <w:rsid w:val="00E43A47"/>
    <w:rsid w:val="00E446AF"/>
    <w:rsid w:val="00E44E6E"/>
    <w:rsid w:val="00E45194"/>
    <w:rsid w:val="00E457FC"/>
    <w:rsid w:val="00E462F4"/>
    <w:rsid w:val="00E501FF"/>
    <w:rsid w:val="00E50699"/>
    <w:rsid w:val="00E53ACA"/>
    <w:rsid w:val="00E543B4"/>
    <w:rsid w:val="00E54889"/>
    <w:rsid w:val="00E55094"/>
    <w:rsid w:val="00E556FD"/>
    <w:rsid w:val="00E55728"/>
    <w:rsid w:val="00E55FDE"/>
    <w:rsid w:val="00E56169"/>
    <w:rsid w:val="00E576E4"/>
    <w:rsid w:val="00E609B8"/>
    <w:rsid w:val="00E60F32"/>
    <w:rsid w:val="00E60FAF"/>
    <w:rsid w:val="00E61F9F"/>
    <w:rsid w:val="00E6277A"/>
    <w:rsid w:val="00E62886"/>
    <w:rsid w:val="00E63245"/>
    <w:rsid w:val="00E638D4"/>
    <w:rsid w:val="00E63D1F"/>
    <w:rsid w:val="00E646AB"/>
    <w:rsid w:val="00E64768"/>
    <w:rsid w:val="00E64A57"/>
    <w:rsid w:val="00E64B8B"/>
    <w:rsid w:val="00E65817"/>
    <w:rsid w:val="00E662E5"/>
    <w:rsid w:val="00E66746"/>
    <w:rsid w:val="00E66883"/>
    <w:rsid w:val="00E668CE"/>
    <w:rsid w:val="00E677F9"/>
    <w:rsid w:val="00E70990"/>
    <w:rsid w:val="00E716C1"/>
    <w:rsid w:val="00E71B2F"/>
    <w:rsid w:val="00E71E6F"/>
    <w:rsid w:val="00E71EB9"/>
    <w:rsid w:val="00E730D8"/>
    <w:rsid w:val="00E7396B"/>
    <w:rsid w:val="00E75678"/>
    <w:rsid w:val="00E758DB"/>
    <w:rsid w:val="00E7619D"/>
    <w:rsid w:val="00E77141"/>
    <w:rsid w:val="00E77D7F"/>
    <w:rsid w:val="00E81589"/>
    <w:rsid w:val="00E81652"/>
    <w:rsid w:val="00E82DAE"/>
    <w:rsid w:val="00E830E8"/>
    <w:rsid w:val="00E83959"/>
    <w:rsid w:val="00E83C74"/>
    <w:rsid w:val="00E83CB7"/>
    <w:rsid w:val="00E83E8C"/>
    <w:rsid w:val="00E84482"/>
    <w:rsid w:val="00E8591B"/>
    <w:rsid w:val="00E85C92"/>
    <w:rsid w:val="00E86634"/>
    <w:rsid w:val="00E878EA"/>
    <w:rsid w:val="00E87C18"/>
    <w:rsid w:val="00E87C9C"/>
    <w:rsid w:val="00E903B7"/>
    <w:rsid w:val="00E91652"/>
    <w:rsid w:val="00E91C28"/>
    <w:rsid w:val="00E93289"/>
    <w:rsid w:val="00E934FD"/>
    <w:rsid w:val="00E93BEC"/>
    <w:rsid w:val="00E93F79"/>
    <w:rsid w:val="00E9415F"/>
    <w:rsid w:val="00E94C1B"/>
    <w:rsid w:val="00E94F48"/>
    <w:rsid w:val="00E95710"/>
    <w:rsid w:val="00E95C28"/>
    <w:rsid w:val="00E9624B"/>
    <w:rsid w:val="00E9640F"/>
    <w:rsid w:val="00E96738"/>
    <w:rsid w:val="00E97784"/>
    <w:rsid w:val="00EA13FA"/>
    <w:rsid w:val="00EA2AEB"/>
    <w:rsid w:val="00EA2F49"/>
    <w:rsid w:val="00EA30F7"/>
    <w:rsid w:val="00EA4581"/>
    <w:rsid w:val="00EA4DC5"/>
    <w:rsid w:val="00EA52CF"/>
    <w:rsid w:val="00EA5E0D"/>
    <w:rsid w:val="00EA63A8"/>
    <w:rsid w:val="00EA6674"/>
    <w:rsid w:val="00EA7390"/>
    <w:rsid w:val="00EA7A18"/>
    <w:rsid w:val="00EB12D8"/>
    <w:rsid w:val="00EB53CD"/>
    <w:rsid w:val="00EB551D"/>
    <w:rsid w:val="00EB5550"/>
    <w:rsid w:val="00EB59E7"/>
    <w:rsid w:val="00EB64F4"/>
    <w:rsid w:val="00EC00A7"/>
    <w:rsid w:val="00EC0604"/>
    <w:rsid w:val="00EC07E2"/>
    <w:rsid w:val="00EC1004"/>
    <w:rsid w:val="00EC1087"/>
    <w:rsid w:val="00EC1C8C"/>
    <w:rsid w:val="00EC1EAC"/>
    <w:rsid w:val="00EC2E15"/>
    <w:rsid w:val="00EC38AF"/>
    <w:rsid w:val="00EC3D6B"/>
    <w:rsid w:val="00EC5357"/>
    <w:rsid w:val="00EC6A39"/>
    <w:rsid w:val="00EC70E5"/>
    <w:rsid w:val="00EC7B7E"/>
    <w:rsid w:val="00ED025D"/>
    <w:rsid w:val="00ED0625"/>
    <w:rsid w:val="00ED121F"/>
    <w:rsid w:val="00ED2060"/>
    <w:rsid w:val="00ED259A"/>
    <w:rsid w:val="00ED48A3"/>
    <w:rsid w:val="00ED5059"/>
    <w:rsid w:val="00ED55DD"/>
    <w:rsid w:val="00ED5B1B"/>
    <w:rsid w:val="00ED7AC6"/>
    <w:rsid w:val="00EE00B1"/>
    <w:rsid w:val="00EE1309"/>
    <w:rsid w:val="00EE1FC5"/>
    <w:rsid w:val="00EE212F"/>
    <w:rsid w:val="00EE2BA7"/>
    <w:rsid w:val="00EE38F7"/>
    <w:rsid w:val="00EE4683"/>
    <w:rsid w:val="00EE4964"/>
    <w:rsid w:val="00EE4D89"/>
    <w:rsid w:val="00EE68CB"/>
    <w:rsid w:val="00EE7362"/>
    <w:rsid w:val="00EE74E1"/>
    <w:rsid w:val="00EE77A0"/>
    <w:rsid w:val="00EE78D1"/>
    <w:rsid w:val="00EE7AF7"/>
    <w:rsid w:val="00EF019B"/>
    <w:rsid w:val="00EF1CA8"/>
    <w:rsid w:val="00EF1E22"/>
    <w:rsid w:val="00EF4EB9"/>
    <w:rsid w:val="00EF79E7"/>
    <w:rsid w:val="00F01310"/>
    <w:rsid w:val="00F0162A"/>
    <w:rsid w:val="00F01FC3"/>
    <w:rsid w:val="00F028B3"/>
    <w:rsid w:val="00F02A44"/>
    <w:rsid w:val="00F02E08"/>
    <w:rsid w:val="00F02F81"/>
    <w:rsid w:val="00F033F6"/>
    <w:rsid w:val="00F0376E"/>
    <w:rsid w:val="00F03D92"/>
    <w:rsid w:val="00F04748"/>
    <w:rsid w:val="00F07071"/>
    <w:rsid w:val="00F0744E"/>
    <w:rsid w:val="00F074A9"/>
    <w:rsid w:val="00F0753A"/>
    <w:rsid w:val="00F10025"/>
    <w:rsid w:val="00F10A7A"/>
    <w:rsid w:val="00F138F5"/>
    <w:rsid w:val="00F14043"/>
    <w:rsid w:val="00F15A99"/>
    <w:rsid w:val="00F16F15"/>
    <w:rsid w:val="00F1702A"/>
    <w:rsid w:val="00F172D3"/>
    <w:rsid w:val="00F17A09"/>
    <w:rsid w:val="00F2050F"/>
    <w:rsid w:val="00F20559"/>
    <w:rsid w:val="00F22DD8"/>
    <w:rsid w:val="00F230D5"/>
    <w:rsid w:val="00F237E5"/>
    <w:rsid w:val="00F25BAE"/>
    <w:rsid w:val="00F27435"/>
    <w:rsid w:val="00F275DE"/>
    <w:rsid w:val="00F276A1"/>
    <w:rsid w:val="00F27EC6"/>
    <w:rsid w:val="00F27F97"/>
    <w:rsid w:val="00F31AE4"/>
    <w:rsid w:val="00F31FE2"/>
    <w:rsid w:val="00F322FF"/>
    <w:rsid w:val="00F32B81"/>
    <w:rsid w:val="00F33D4A"/>
    <w:rsid w:val="00F34335"/>
    <w:rsid w:val="00F355F7"/>
    <w:rsid w:val="00F35D61"/>
    <w:rsid w:val="00F36AC2"/>
    <w:rsid w:val="00F37736"/>
    <w:rsid w:val="00F43D9D"/>
    <w:rsid w:val="00F448D7"/>
    <w:rsid w:val="00F45492"/>
    <w:rsid w:val="00F467AB"/>
    <w:rsid w:val="00F46F81"/>
    <w:rsid w:val="00F47B6D"/>
    <w:rsid w:val="00F5011E"/>
    <w:rsid w:val="00F53581"/>
    <w:rsid w:val="00F541B4"/>
    <w:rsid w:val="00F54841"/>
    <w:rsid w:val="00F5519B"/>
    <w:rsid w:val="00F55428"/>
    <w:rsid w:val="00F55ABD"/>
    <w:rsid w:val="00F56367"/>
    <w:rsid w:val="00F565C2"/>
    <w:rsid w:val="00F56B2D"/>
    <w:rsid w:val="00F60D19"/>
    <w:rsid w:val="00F60D90"/>
    <w:rsid w:val="00F6122F"/>
    <w:rsid w:val="00F618D8"/>
    <w:rsid w:val="00F61914"/>
    <w:rsid w:val="00F63A0F"/>
    <w:rsid w:val="00F64F98"/>
    <w:rsid w:val="00F65A9A"/>
    <w:rsid w:val="00F65BB8"/>
    <w:rsid w:val="00F65C5E"/>
    <w:rsid w:val="00F66CAC"/>
    <w:rsid w:val="00F670FB"/>
    <w:rsid w:val="00F70226"/>
    <w:rsid w:val="00F71221"/>
    <w:rsid w:val="00F730B1"/>
    <w:rsid w:val="00F74243"/>
    <w:rsid w:val="00F74D42"/>
    <w:rsid w:val="00F753A1"/>
    <w:rsid w:val="00F75502"/>
    <w:rsid w:val="00F757F4"/>
    <w:rsid w:val="00F76700"/>
    <w:rsid w:val="00F77F9B"/>
    <w:rsid w:val="00F8294D"/>
    <w:rsid w:val="00F82E6F"/>
    <w:rsid w:val="00F84309"/>
    <w:rsid w:val="00F844CC"/>
    <w:rsid w:val="00F8565C"/>
    <w:rsid w:val="00F85FC8"/>
    <w:rsid w:val="00F86167"/>
    <w:rsid w:val="00F86CCE"/>
    <w:rsid w:val="00F9019B"/>
    <w:rsid w:val="00F90BEB"/>
    <w:rsid w:val="00F90C83"/>
    <w:rsid w:val="00F9172C"/>
    <w:rsid w:val="00F91FE3"/>
    <w:rsid w:val="00F92210"/>
    <w:rsid w:val="00F926EB"/>
    <w:rsid w:val="00F92944"/>
    <w:rsid w:val="00F93139"/>
    <w:rsid w:val="00F935DD"/>
    <w:rsid w:val="00F93843"/>
    <w:rsid w:val="00F93E0A"/>
    <w:rsid w:val="00F943B2"/>
    <w:rsid w:val="00F94484"/>
    <w:rsid w:val="00F95E91"/>
    <w:rsid w:val="00F95F76"/>
    <w:rsid w:val="00F96DD6"/>
    <w:rsid w:val="00F9702C"/>
    <w:rsid w:val="00F972AD"/>
    <w:rsid w:val="00FA0008"/>
    <w:rsid w:val="00FA09E8"/>
    <w:rsid w:val="00FA1505"/>
    <w:rsid w:val="00FA1552"/>
    <w:rsid w:val="00FA15EA"/>
    <w:rsid w:val="00FA168A"/>
    <w:rsid w:val="00FA2C36"/>
    <w:rsid w:val="00FA2DC5"/>
    <w:rsid w:val="00FA2E8B"/>
    <w:rsid w:val="00FA369C"/>
    <w:rsid w:val="00FA3851"/>
    <w:rsid w:val="00FA3925"/>
    <w:rsid w:val="00FA3CEF"/>
    <w:rsid w:val="00FA42AA"/>
    <w:rsid w:val="00FA457C"/>
    <w:rsid w:val="00FA60FC"/>
    <w:rsid w:val="00FA67DE"/>
    <w:rsid w:val="00FA7AD6"/>
    <w:rsid w:val="00FB0440"/>
    <w:rsid w:val="00FB0CAA"/>
    <w:rsid w:val="00FB11F6"/>
    <w:rsid w:val="00FB1E15"/>
    <w:rsid w:val="00FB2A12"/>
    <w:rsid w:val="00FB2BD0"/>
    <w:rsid w:val="00FB3E47"/>
    <w:rsid w:val="00FB43D6"/>
    <w:rsid w:val="00FB4555"/>
    <w:rsid w:val="00FB481E"/>
    <w:rsid w:val="00FB48C4"/>
    <w:rsid w:val="00FB53D9"/>
    <w:rsid w:val="00FB5D97"/>
    <w:rsid w:val="00FB6BDF"/>
    <w:rsid w:val="00FB7EB1"/>
    <w:rsid w:val="00FC02F7"/>
    <w:rsid w:val="00FC0884"/>
    <w:rsid w:val="00FC29A3"/>
    <w:rsid w:val="00FC4349"/>
    <w:rsid w:val="00FC4E80"/>
    <w:rsid w:val="00FC4F6C"/>
    <w:rsid w:val="00FC63BD"/>
    <w:rsid w:val="00FC6F55"/>
    <w:rsid w:val="00FC7BDF"/>
    <w:rsid w:val="00FD05D0"/>
    <w:rsid w:val="00FD0B64"/>
    <w:rsid w:val="00FD2D43"/>
    <w:rsid w:val="00FD4581"/>
    <w:rsid w:val="00FD51D3"/>
    <w:rsid w:val="00FD5B56"/>
    <w:rsid w:val="00FD69CB"/>
    <w:rsid w:val="00FD73AE"/>
    <w:rsid w:val="00FD7667"/>
    <w:rsid w:val="00FE1852"/>
    <w:rsid w:val="00FE1D50"/>
    <w:rsid w:val="00FE1E2F"/>
    <w:rsid w:val="00FE2420"/>
    <w:rsid w:val="00FE3CF8"/>
    <w:rsid w:val="00FE44A8"/>
    <w:rsid w:val="00FE6519"/>
    <w:rsid w:val="00FE7BAC"/>
    <w:rsid w:val="00FF0317"/>
    <w:rsid w:val="00FF1635"/>
    <w:rsid w:val="00FF2548"/>
    <w:rsid w:val="00FF372A"/>
    <w:rsid w:val="00FF495B"/>
    <w:rsid w:val="00FF54EB"/>
    <w:rsid w:val="00FF55CA"/>
    <w:rsid w:val="00FF62FE"/>
    <w:rsid w:val="00FF6651"/>
    <w:rsid w:val="00FF6AD0"/>
    <w:rsid w:val="00FF7C0E"/>
    <w:rsid w:val="514C2D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iPriority="99" w:name="Body Text Indent 2"/>
    <w:lsdException w:qFormat="1" w:uiPriority="99" w:name="Body Text Indent 3"/>
    <w:lsdException w:unhideWhenUsed="0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AngsanaUPC"/>
      <w:sz w:val="32"/>
      <w:szCs w:val="32"/>
      <w:lang w:val="en-US" w:eastAsia="en-US" w:bidi="th-TH"/>
    </w:rPr>
  </w:style>
  <w:style w:type="paragraph" w:styleId="2">
    <w:name w:val="heading 1"/>
    <w:basedOn w:val="1"/>
    <w:next w:val="1"/>
    <w:link w:val="27"/>
    <w:qFormat/>
    <w:uiPriority w:val="0"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3">
    <w:name w:val="heading 2"/>
    <w:basedOn w:val="1"/>
    <w:next w:val="1"/>
    <w:link w:val="28"/>
    <w:qFormat/>
    <w:uiPriority w:val="9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9"/>
    <w:qFormat/>
    <w:uiPriority w:val="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4"/>
    <w:basedOn w:val="1"/>
    <w:next w:val="1"/>
    <w:link w:val="30"/>
    <w:qFormat/>
    <w:uiPriority w:val="0"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6">
    <w:name w:val="heading 6"/>
    <w:basedOn w:val="1"/>
    <w:next w:val="1"/>
    <w:link w:val="31"/>
    <w:qFormat/>
    <w:uiPriority w:val="0"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7">
    <w:name w:val="heading 8"/>
    <w:basedOn w:val="1"/>
    <w:next w:val="1"/>
    <w:link w:val="41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5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5"/>
    <w:semiHidden/>
    <w:qFormat/>
    <w:uiPriority w:val="0"/>
    <w:rPr>
      <w:rFonts w:ascii="Tahoma" w:hAnsi="Tahoma" w:cs="Tahoma"/>
      <w:sz w:val="16"/>
      <w:szCs w:val="16"/>
    </w:rPr>
  </w:style>
  <w:style w:type="paragraph" w:styleId="11">
    <w:name w:val="Block Text"/>
    <w:basedOn w:val="1"/>
    <w:uiPriority w:val="99"/>
    <w:pPr>
      <w:overflowPunct/>
      <w:adjustRightInd/>
      <w:spacing w:before="240"/>
      <w:ind w:left="547" w:right="749" w:firstLine="1440"/>
      <w:jc w:val="both"/>
      <w:textAlignment w:val="auto"/>
    </w:pPr>
    <w:rPr>
      <w:rFonts w:cs="Angsana New"/>
      <w:sz w:val="28"/>
      <w:szCs w:val="28"/>
    </w:rPr>
  </w:style>
  <w:style w:type="paragraph" w:styleId="12">
    <w:name w:val="Body Text 2"/>
    <w:basedOn w:val="1"/>
    <w:link w:val="36"/>
    <w:qFormat/>
    <w:uiPriority w:val="0"/>
    <w:pPr>
      <w:spacing w:after="120" w:line="480" w:lineRule="auto"/>
    </w:pPr>
    <w:rPr>
      <w:rFonts w:hAnsi="Tms Rmn" w:cs="Angsana New"/>
      <w:sz w:val="24"/>
      <w:szCs w:val="24"/>
    </w:rPr>
  </w:style>
  <w:style w:type="paragraph" w:styleId="13">
    <w:name w:val="Body Text Indent"/>
    <w:basedOn w:val="1"/>
    <w:link w:val="33"/>
    <w:qFormat/>
    <w:uiPriority w:val="0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paragraph" w:styleId="14">
    <w:name w:val="Body Text Indent 2"/>
    <w:basedOn w:val="1"/>
    <w:link w:val="40"/>
    <w:semiHidden/>
    <w:unhideWhenUsed/>
    <w:qFormat/>
    <w:uiPriority w:val="99"/>
    <w:pPr>
      <w:spacing w:after="120" w:line="480" w:lineRule="auto"/>
      <w:ind w:left="283"/>
    </w:pPr>
    <w:rPr>
      <w:rFonts w:cs="Angsana New"/>
      <w:szCs w:val="40"/>
    </w:rPr>
  </w:style>
  <w:style w:type="paragraph" w:styleId="15">
    <w:name w:val="Body Text Indent 3"/>
    <w:basedOn w:val="1"/>
    <w:link w:val="48"/>
    <w:semiHidden/>
    <w:unhideWhenUsed/>
    <w:qFormat/>
    <w:uiPriority w:val="99"/>
    <w:pPr>
      <w:spacing w:after="120"/>
      <w:ind w:left="360"/>
    </w:pPr>
    <w:rPr>
      <w:rFonts w:cs="Angsana New"/>
      <w:sz w:val="16"/>
      <w:szCs w:val="20"/>
    </w:rPr>
  </w:style>
  <w:style w:type="paragraph" w:styleId="16">
    <w:name w:val="caption"/>
    <w:basedOn w:val="1"/>
    <w:next w:val="1"/>
    <w:qFormat/>
    <w:uiPriority w:val="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character" w:styleId="17">
    <w:name w:val="annotation reference"/>
    <w:basedOn w:val="8"/>
    <w:semiHidden/>
    <w:unhideWhenUsed/>
    <w:qFormat/>
    <w:uiPriority w:val="99"/>
    <w:rPr>
      <w:sz w:val="16"/>
      <w:szCs w:val="16"/>
    </w:rPr>
  </w:style>
  <w:style w:type="paragraph" w:styleId="18">
    <w:name w:val="annotation text"/>
    <w:basedOn w:val="1"/>
    <w:link w:val="46"/>
    <w:semiHidden/>
    <w:unhideWhenUsed/>
    <w:qFormat/>
    <w:uiPriority w:val="99"/>
    <w:rPr>
      <w:rFonts w:cs="Angsana New"/>
      <w:sz w:val="20"/>
      <w:szCs w:val="25"/>
    </w:rPr>
  </w:style>
  <w:style w:type="paragraph" w:styleId="19">
    <w:name w:val="annotation subject"/>
    <w:basedOn w:val="18"/>
    <w:next w:val="18"/>
    <w:link w:val="47"/>
    <w:semiHidden/>
    <w:unhideWhenUsed/>
    <w:qFormat/>
    <w:uiPriority w:val="99"/>
    <w:rPr>
      <w:b/>
      <w:bCs/>
    </w:rPr>
  </w:style>
  <w:style w:type="paragraph" w:styleId="20">
    <w:name w:val="Document Map"/>
    <w:basedOn w:val="1"/>
    <w:link w:val="38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1">
    <w:name w:val="footer"/>
    <w:basedOn w:val="1"/>
    <w:link w:val="32"/>
    <w:qFormat/>
    <w:uiPriority w:val="99"/>
    <w:pPr>
      <w:tabs>
        <w:tab w:val="center" w:pos="4153"/>
        <w:tab w:val="right" w:pos="8306"/>
      </w:tabs>
    </w:pPr>
  </w:style>
  <w:style w:type="paragraph" w:styleId="22">
    <w:name w:val="header"/>
    <w:basedOn w:val="1"/>
    <w:link w:val="34"/>
    <w:qFormat/>
    <w:uiPriority w:val="99"/>
    <w:pPr>
      <w:tabs>
        <w:tab w:val="center" w:pos="4320"/>
        <w:tab w:val="right" w:pos="8640"/>
      </w:tabs>
    </w:pPr>
  </w:style>
  <w:style w:type="paragraph" w:styleId="2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 w:eastAsiaTheme="minorEastAsia"/>
      <w:sz w:val="24"/>
      <w:szCs w:val="24"/>
    </w:rPr>
  </w:style>
  <w:style w:type="character" w:styleId="24">
    <w:name w:val="page number"/>
    <w:basedOn w:val="8"/>
    <w:qFormat/>
    <w:uiPriority w:val="0"/>
  </w:style>
  <w:style w:type="paragraph" w:styleId="25">
    <w:name w:val="Plain Text"/>
    <w:basedOn w:val="1"/>
    <w:link w:val="44"/>
    <w:qFormat/>
    <w:uiPriority w:val="0"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table" w:styleId="26">
    <w:name w:val="Table Grid"/>
    <w:basedOn w:val="9"/>
    <w:qFormat/>
    <w:uiPriority w:val="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MS Mincho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Heading 1 Char"/>
    <w:basedOn w:val="8"/>
    <w:link w:val="2"/>
    <w:qFormat/>
    <w:uiPriority w:val="0"/>
    <w:rPr>
      <w:rFonts w:ascii="Angsana New" w:hAnsi="Angsana New" w:eastAsia="Times New Roman" w:cs="Angsana New"/>
      <w:sz w:val="32"/>
      <w:szCs w:val="32"/>
      <w:u w:val="single"/>
    </w:rPr>
  </w:style>
  <w:style w:type="character" w:customStyle="1" w:styleId="28">
    <w:name w:val="Heading 2 Char"/>
    <w:basedOn w:val="8"/>
    <w:link w:val="3"/>
    <w:qFormat/>
    <w:uiPriority w:val="99"/>
    <w:rPr>
      <w:rFonts w:ascii="Arial" w:hAnsi="Arial" w:eastAsia="Times New Roman" w:cs="AngsanaUPC"/>
      <w:b/>
      <w:bCs/>
      <w:i/>
      <w:iCs/>
      <w:sz w:val="28"/>
    </w:rPr>
  </w:style>
  <w:style w:type="character" w:customStyle="1" w:styleId="29">
    <w:name w:val="Heading 3 Char"/>
    <w:basedOn w:val="8"/>
    <w:link w:val="4"/>
    <w:qFormat/>
    <w:uiPriority w:val="0"/>
    <w:rPr>
      <w:rFonts w:ascii="Arial" w:hAnsi="Arial" w:eastAsia="Times New Roman" w:cs="AngsanaUPC"/>
      <w:b/>
      <w:bCs/>
      <w:sz w:val="26"/>
      <w:szCs w:val="26"/>
    </w:rPr>
  </w:style>
  <w:style w:type="character" w:customStyle="1" w:styleId="30">
    <w:name w:val="Heading 4 Char"/>
    <w:basedOn w:val="8"/>
    <w:link w:val="5"/>
    <w:qFormat/>
    <w:uiPriority w:val="0"/>
    <w:rPr>
      <w:rFonts w:ascii="Angsana New" w:hAnsi="Angsana New" w:eastAsia="Times New Roman" w:cs="Angsana New"/>
      <w:sz w:val="28"/>
    </w:rPr>
  </w:style>
  <w:style w:type="character" w:customStyle="1" w:styleId="31">
    <w:name w:val="Heading 6 Char"/>
    <w:basedOn w:val="8"/>
    <w:link w:val="6"/>
    <w:qFormat/>
    <w:uiPriority w:val="0"/>
    <w:rPr>
      <w:rFonts w:ascii="Angsana New" w:hAnsi="Angsana New" w:eastAsia="Times New Roman" w:cs="AngsanaUPC"/>
      <w:sz w:val="24"/>
      <w:szCs w:val="24"/>
      <w:u w:val="single"/>
    </w:rPr>
  </w:style>
  <w:style w:type="character" w:customStyle="1" w:styleId="32">
    <w:name w:val="Footer Char"/>
    <w:basedOn w:val="8"/>
    <w:link w:val="21"/>
    <w:qFormat/>
    <w:uiPriority w:val="99"/>
    <w:rPr>
      <w:rFonts w:ascii="Times New Roman" w:hAnsi="Times New Roman" w:eastAsia="Times New Roman" w:cs="AngsanaUPC"/>
      <w:sz w:val="32"/>
      <w:szCs w:val="32"/>
    </w:rPr>
  </w:style>
  <w:style w:type="character" w:customStyle="1" w:styleId="33">
    <w:name w:val="Body Text Indent Char"/>
    <w:basedOn w:val="8"/>
    <w:link w:val="13"/>
    <w:qFormat/>
    <w:uiPriority w:val="0"/>
    <w:rPr>
      <w:rFonts w:ascii="Angsana New" w:hAnsi="Angsana New" w:eastAsia="Times New Roman" w:cs="AngsanaUPC"/>
      <w:sz w:val="32"/>
      <w:szCs w:val="32"/>
    </w:rPr>
  </w:style>
  <w:style w:type="character" w:customStyle="1" w:styleId="34">
    <w:name w:val="Header Char"/>
    <w:basedOn w:val="8"/>
    <w:link w:val="22"/>
    <w:qFormat/>
    <w:uiPriority w:val="99"/>
    <w:rPr>
      <w:rFonts w:ascii="Times New Roman" w:hAnsi="Times New Roman" w:eastAsia="Times New Roman" w:cs="AngsanaUPC"/>
      <w:sz w:val="32"/>
      <w:szCs w:val="32"/>
    </w:rPr>
  </w:style>
  <w:style w:type="character" w:customStyle="1" w:styleId="35">
    <w:name w:val="Balloon Text Char"/>
    <w:basedOn w:val="8"/>
    <w:link w:val="10"/>
    <w:semiHidden/>
    <w:qFormat/>
    <w:uiPriority w:val="0"/>
    <w:rPr>
      <w:rFonts w:ascii="Tahoma" w:hAnsi="Tahoma" w:eastAsia="Times New Roman" w:cs="Tahoma"/>
      <w:sz w:val="16"/>
      <w:szCs w:val="16"/>
    </w:rPr>
  </w:style>
  <w:style w:type="character" w:customStyle="1" w:styleId="36">
    <w:name w:val="Body Text 2 Char"/>
    <w:basedOn w:val="8"/>
    <w:link w:val="12"/>
    <w:qFormat/>
    <w:uiPriority w:val="0"/>
    <w:rPr>
      <w:rFonts w:ascii="Times New Roman" w:hAnsi="Tms Rmn" w:eastAsia="Times New Roman" w:cs="Angsana New"/>
      <w:sz w:val="24"/>
      <w:szCs w:val="24"/>
    </w:rPr>
  </w:style>
  <w:style w:type="paragraph" w:customStyle="1" w:styleId="37">
    <w:name w:val="Char"/>
    <w:basedOn w:val="1"/>
    <w:qFormat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38">
    <w:name w:val="Document Map Char"/>
    <w:basedOn w:val="8"/>
    <w:link w:val="20"/>
    <w:semiHidden/>
    <w:qFormat/>
    <w:uiPriority w:val="0"/>
    <w:rPr>
      <w:rFonts w:ascii="Tahoma" w:hAnsi="Tahoma" w:eastAsia="Times New Roman" w:cs="Tahoma"/>
      <w:sz w:val="20"/>
      <w:szCs w:val="20"/>
      <w:shd w:val="clear" w:color="auto" w:fill="000080"/>
    </w:rPr>
  </w:style>
  <w:style w:type="paragraph" w:customStyle="1" w:styleId="39">
    <w:name w:val="เนื้อเรื่อง"/>
    <w:basedOn w:val="1"/>
    <w:qFormat/>
    <w:uiPriority w:val="0"/>
    <w:pPr>
      <w:widowControl w:val="0"/>
      <w:ind w:right="386"/>
    </w:pPr>
    <w:rPr>
      <w:rFonts w:hAnsi="CordiaUPC"/>
      <w:sz w:val="28"/>
      <w:szCs w:val="28"/>
    </w:rPr>
  </w:style>
  <w:style w:type="character" w:customStyle="1" w:styleId="40">
    <w:name w:val="Body Text Indent 2 Char"/>
    <w:basedOn w:val="8"/>
    <w:link w:val="14"/>
    <w:semiHidden/>
    <w:qFormat/>
    <w:uiPriority w:val="99"/>
    <w:rPr>
      <w:rFonts w:ascii="Times New Roman" w:hAnsi="Times New Roman" w:eastAsia="Times New Roman" w:cs="Angsana New"/>
      <w:sz w:val="32"/>
      <w:szCs w:val="40"/>
    </w:rPr>
  </w:style>
  <w:style w:type="character" w:customStyle="1" w:styleId="41">
    <w:name w:val="Heading 8 Char"/>
    <w:basedOn w:val="8"/>
    <w:link w:val="7"/>
    <w:semiHidden/>
    <w:qFormat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5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2">
    <w:name w:val="List Paragraph"/>
    <w:basedOn w:val="1"/>
    <w:link w:val="54"/>
    <w:qFormat/>
    <w:uiPriority w:val="34"/>
    <w:pPr>
      <w:ind w:left="720"/>
      <w:contextualSpacing/>
    </w:pPr>
    <w:rPr>
      <w:rFonts w:cs="Angsana New"/>
      <w:szCs w:val="40"/>
    </w:rPr>
  </w:style>
  <w:style w:type="paragraph" w:customStyle="1" w:styleId="43">
    <w:name w:val="Char1"/>
    <w:basedOn w:val="1"/>
    <w:qFormat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44">
    <w:name w:val="Plain Text Char"/>
    <w:basedOn w:val="8"/>
    <w:link w:val="25"/>
    <w:qFormat/>
    <w:uiPriority w:val="0"/>
    <w:rPr>
      <w:rFonts w:ascii="Times New Roman" w:hAnsi="Times New Roman" w:eastAsia="Times New Roman" w:cs="Angsana New"/>
      <w:sz w:val="28"/>
      <w:lang w:val="th-TH" w:eastAsia="th-TH"/>
    </w:rPr>
  </w:style>
  <w:style w:type="paragraph" w:customStyle="1" w:styleId="45">
    <w:name w:val="??"/>
    <w:basedOn w:val="1"/>
    <w:qFormat/>
    <w:uiPriority w:val="0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46">
    <w:name w:val="Comment Text Char"/>
    <w:basedOn w:val="8"/>
    <w:link w:val="18"/>
    <w:semiHidden/>
    <w:qFormat/>
    <w:uiPriority w:val="99"/>
    <w:rPr>
      <w:rFonts w:ascii="Times New Roman" w:hAnsi="Times New Roman" w:eastAsia="Times New Roman" w:cs="Angsana New"/>
      <w:sz w:val="20"/>
      <w:szCs w:val="25"/>
    </w:rPr>
  </w:style>
  <w:style w:type="character" w:customStyle="1" w:styleId="47">
    <w:name w:val="Comment Subject Char"/>
    <w:basedOn w:val="46"/>
    <w:link w:val="19"/>
    <w:semiHidden/>
    <w:qFormat/>
    <w:uiPriority w:val="99"/>
    <w:rPr>
      <w:rFonts w:ascii="Times New Roman" w:hAnsi="Times New Roman" w:eastAsia="Times New Roman" w:cs="Angsana New"/>
      <w:b/>
      <w:bCs/>
      <w:sz w:val="20"/>
      <w:szCs w:val="25"/>
    </w:rPr>
  </w:style>
  <w:style w:type="character" w:customStyle="1" w:styleId="48">
    <w:name w:val="Body Text Indent 3 Char"/>
    <w:basedOn w:val="8"/>
    <w:link w:val="15"/>
    <w:semiHidden/>
    <w:qFormat/>
    <w:uiPriority w:val="99"/>
    <w:rPr>
      <w:rFonts w:ascii="Times New Roman" w:hAnsi="Times New Roman" w:eastAsia="Times New Roman" w:cs="Angsana New"/>
      <w:sz w:val="16"/>
      <w:szCs w:val="20"/>
    </w:rPr>
  </w:style>
  <w:style w:type="table" w:customStyle="1" w:styleId="49">
    <w:name w:val="Table Grid2"/>
    <w:basedOn w:val="9"/>
    <w:qFormat/>
    <w:uiPriority w:val="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hAnsi="Tms Rmn" w:eastAsia="Times New Roman" w:cs="Angsana New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">
    <w:name w:val="Table Grid4"/>
    <w:basedOn w:val="9"/>
    <w:uiPriority w:val="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hAnsi="Tms Rmn" w:eastAsia="Times New Roman" w:cs="Angsana New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Table Grid5"/>
    <w:basedOn w:val="9"/>
    <w:qFormat/>
    <w:uiPriority w:val="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hAnsi="Tms Rmn" w:eastAsia="Times New Roman" w:cs="Angsana New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">
    <w:name w:val="Table Grid6"/>
    <w:basedOn w:val="9"/>
    <w:qFormat/>
    <w:uiPriority w:val="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hAnsi="Tms Rmn" w:eastAsia="Times New Roman" w:cs="Angsana New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">
    <w:name w:val="Table Grid1"/>
    <w:basedOn w:val="9"/>
    <w:qFormat/>
    <w:uiPriority w:val="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Angsana New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">
    <w:name w:val="List Paragraph Char"/>
    <w:basedOn w:val="8"/>
    <w:link w:val="42"/>
    <w:uiPriority w:val="34"/>
    <w:rPr>
      <w:rFonts w:ascii="Times New Roman" w:hAnsi="Times New Roman" w:eastAsia="Times New Roman" w:cs="Angsana New"/>
      <w:sz w:val="32"/>
      <w:szCs w:val="40"/>
    </w:rPr>
  </w:style>
  <w:style w:type="table" w:customStyle="1" w:styleId="55">
    <w:name w:val="Table Grid7"/>
    <w:basedOn w:val="9"/>
    <w:qFormat/>
    <w:uiPriority w:val="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Angsana New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2892D-3B63-4618-9FF5-698777D908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Ernst &amp; Young</Company>
  <Pages>11</Pages>
  <Words>2347</Words>
  <Characters>13379</Characters>
  <Lines>111</Lines>
  <Paragraphs>31</Paragraphs>
  <TotalTime>148</TotalTime>
  <ScaleCrop>false</ScaleCrop>
  <LinksUpToDate>false</LinksUpToDate>
  <CharactersWithSpaces>15695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2022-10-21T06:56:00Z</dcterms:created>
  <dc:creator>Ernst &amp; Young</dc:creator>
  <cp:lastModifiedBy>Malinee.Th</cp:lastModifiedBy>
  <cp:lastPrinted>2022-11-09T03:41:00Z</cp:lastPrinted>
  <dcterms:modified xsi:type="dcterms:W3CDTF">2022-11-11T05:51:33Z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F50F7795398749ED9935556EE0F63294</vt:lpwstr>
  </property>
</Properties>
</file>