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0" w:lineRule="exact"/>
        <w:rPr>
          <w:rFonts w:ascii="Arial" w:hAnsi="Arial" w:cs="Arial"/>
          <w:b/>
          <w:bCs/>
          <w:caps/>
          <w:sz w:val="22"/>
          <w:szCs w:val="22"/>
        </w:rPr>
      </w:pPr>
      <w:bookmarkStart w:id="1" w:name="_GoBack"/>
      <w:bookmarkEnd w:id="1"/>
      <w:r>
        <w:rPr>
          <w:rFonts w:ascii="Arial" w:hAnsi="Arial" w:cs="Arial"/>
          <w:b/>
          <w:bCs/>
          <w:sz w:val="22"/>
          <w:szCs w:val="22"/>
        </w:rPr>
        <w:t>Glory Forever Public Company Limited and its subsidiary</w:t>
      </w:r>
    </w:p>
    <w:p>
      <w:pPr>
        <w:spacing w:line="380" w:lineRule="exact"/>
        <w:rPr>
          <w:rFonts w:ascii="Arial" w:hAnsi="Arial" w:cs="Arial"/>
          <w:b/>
          <w:bCs/>
          <w:sz w:val="22"/>
          <w:szCs w:val="22"/>
        </w:rPr>
      </w:pPr>
      <w:r>
        <w:rPr>
          <w:rFonts w:ascii="Arial" w:hAnsi="Arial" w:cs="Arial"/>
          <w:b/>
          <w:bCs/>
          <w:sz w:val="22"/>
          <w:szCs w:val="22"/>
        </w:rPr>
        <w:t>Notes to consolidated interim financial statements</w:t>
      </w:r>
    </w:p>
    <w:p>
      <w:pPr>
        <w:tabs>
          <w:tab w:val="left" w:pos="360"/>
        </w:tabs>
        <w:spacing w:line="380" w:lineRule="exact"/>
        <w:ind w:left="907" w:hanging="907"/>
        <w:rPr>
          <w:rFonts w:ascii="Arial" w:hAnsi="Arial" w:cs="Arial"/>
          <w:b/>
          <w:bCs/>
          <w:i/>
          <w:iCs/>
          <w:sz w:val="22"/>
          <w:szCs w:val="22"/>
        </w:rPr>
      </w:pPr>
      <w:r>
        <w:rPr>
          <w:rFonts w:ascii="Arial" w:hAnsi="Arial" w:cs="Arial"/>
          <w:b/>
          <w:bCs/>
          <w:sz w:val="22"/>
          <w:szCs w:val="22"/>
        </w:rPr>
        <w:t>For the three-month and nine-month periods ended 30 September 2022</w:t>
      </w:r>
    </w:p>
    <w:p>
      <w:pPr>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Pr>
          <w:rFonts w:ascii="Arial" w:hAnsi="Arial" w:cs="Arial"/>
          <w:b/>
          <w:bCs/>
          <w:sz w:val="22"/>
          <w:szCs w:val="22"/>
        </w:rPr>
        <w:tab/>
      </w:r>
      <w:r>
        <w:rPr>
          <w:rFonts w:ascii="Arial" w:hAnsi="Arial" w:cs="Arial"/>
          <w:b/>
          <w:bCs/>
          <w:sz w:val="22"/>
          <w:szCs w:val="22"/>
        </w:rPr>
        <w:t>General information</w:t>
      </w:r>
    </w:p>
    <w:p>
      <w:pPr>
        <w:spacing w:before="120" w:after="120" w:line="380" w:lineRule="exact"/>
        <w:ind w:left="547" w:hanging="547"/>
        <w:jc w:val="thaiDistribute"/>
        <w:rPr>
          <w:rFonts w:ascii="Arial" w:hAnsi="Arial" w:cs="Arial"/>
          <w:sz w:val="22"/>
          <w:szCs w:val="22"/>
        </w:rPr>
      </w:pPr>
      <w:r>
        <w:rPr>
          <w:rFonts w:ascii="Arial" w:hAnsi="Arial" w:cs="Arial"/>
          <w:b/>
          <w:bCs/>
          <w:sz w:val="22"/>
          <w:szCs w:val="22"/>
        </w:rPr>
        <w:t>1.1</w:t>
      </w:r>
      <w:r>
        <w:rPr>
          <w:rFonts w:ascii="Arial" w:hAnsi="Arial" w:cs="Arial"/>
          <w:b/>
          <w:bCs/>
          <w:sz w:val="22"/>
          <w:szCs w:val="22"/>
        </w:rPr>
        <w:tab/>
      </w:r>
      <w:r>
        <w:rPr>
          <w:rFonts w:ascii="Arial" w:hAnsi="Arial" w:cs="Arial"/>
          <w:b/>
          <w:bCs/>
          <w:sz w:val="22"/>
          <w:szCs w:val="22"/>
        </w:rPr>
        <w:t>Basis for the preparation of interim financial statements</w:t>
      </w:r>
    </w:p>
    <w:p>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Pr>
          <w:rFonts w:ascii="Arial" w:hAnsi="Arial" w:cs="Arial"/>
          <w:sz w:val="22"/>
          <w:szCs w:val="22"/>
        </w:rPr>
        <w:t>.</w:t>
      </w:r>
    </w:p>
    <w:p>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w:t>
      </w:r>
      <w:r>
        <w:rPr>
          <w:rFonts w:ascii="Arial" w:hAnsi="Arial" w:cs="Arial"/>
          <w:sz w:val="22"/>
          <w:szCs w:val="28"/>
        </w:rPr>
        <w:t xml:space="preserve"> interim</w:t>
      </w:r>
      <w:r>
        <w:rPr>
          <w:rFonts w:ascii="Arial" w:hAnsi="Arial" w:cs="Arial"/>
          <w:sz w:val="22"/>
          <w:szCs w:val="22"/>
        </w:rPr>
        <w:t xml:space="preserve"> financial statements.</w:t>
      </w:r>
    </w:p>
    <w:p>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1.2</w:t>
      </w:r>
      <w:r>
        <w:rPr>
          <w:rFonts w:ascii="Arial" w:hAnsi="Arial" w:cs="Arial"/>
          <w:b/>
          <w:bCs/>
          <w:color w:val="000000"/>
          <w:sz w:val="22"/>
          <w:szCs w:val="22"/>
        </w:rPr>
        <w:tab/>
      </w:r>
      <w:r>
        <w:rPr>
          <w:rFonts w:ascii="Arial" w:hAnsi="Arial" w:cs="Arial"/>
          <w:b/>
          <w:bCs/>
          <w:color w:val="000000"/>
          <w:sz w:val="22"/>
          <w:szCs w:val="22"/>
        </w:rPr>
        <w:t>Basis of consolidation</w:t>
      </w:r>
    </w:p>
    <w:p>
      <w:pPr>
        <w:spacing w:before="120" w:after="120" w:line="380" w:lineRule="exact"/>
        <w:ind w:left="547"/>
        <w:jc w:val="thaiDistribute"/>
        <w:rPr>
          <w:rFonts w:ascii="Angsana New" w:hAnsi="Angsana New" w:cs="Angsana New"/>
          <w:i/>
          <w:iCs/>
          <w:color w:val="FF0000"/>
          <w:sz w:val="28"/>
          <w:szCs w:val="28"/>
        </w:rPr>
      </w:pPr>
      <w:r>
        <w:rPr>
          <w:rFonts w:ascii="Arial" w:hAnsi="Arial"/>
          <w:sz w:val="22"/>
          <w:szCs w:val="22"/>
        </w:rPr>
        <w:t xml:space="preserve">During the nine-month period ended 30 September 2022, there were changes in the composition of the Group as discussed in Note 5 to the consolidated interim financial statements. Therefore, these consolidated interim financial statements for the current period include </w:t>
      </w:r>
      <w:r>
        <w:rPr>
          <w:rFonts w:ascii="Arial" w:hAnsi="Arial"/>
          <w:spacing w:val="-4"/>
          <w:sz w:val="22"/>
          <w:szCs w:val="22"/>
        </w:rPr>
        <w:t>the financial statements of Glory Forever Public Company Limited (“the Company”) and its subsidiary (“the subsidiary”) (collectively as “the Group”).</w:t>
      </w:r>
    </w:p>
    <w:p>
      <w:pPr>
        <w:spacing w:before="120" w:after="120" w:line="380" w:lineRule="exact"/>
        <w:ind w:left="907" w:hanging="360"/>
        <w:jc w:val="thaiDistribute"/>
        <w:rPr>
          <w:rFonts w:ascii="Arial" w:hAnsi="Arial" w:cs="Arial"/>
          <w:sz w:val="22"/>
          <w:szCs w:val="22"/>
        </w:rPr>
      </w:pPr>
      <w:r>
        <w:rPr>
          <w:rFonts w:ascii="Arial" w:hAnsi="Arial"/>
          <w:sz w:val="22"/>
          <w:szCs w:val="22"/>
        </w:rPr>
        <w:t>a)</w:t>
      </w:r>
      <w:r>
        <w:rPr>
          <w:rFonts w:ascii="Arial" w:hAnsi="Arial"/>
          <w:sz w:val="22"/>
          <w:szCs w:val="22"/>
        </w:rPr>
        <w:tab/>
      </w:r>
      <w:r>
        <w:rPr>
          <w:rFonts w:ascii="Arial" w:hAnsi="Arial"/>
          <w:sz w:val="22"/>
          <w:szCs w:val="22"/>
        </w:rPr>
        <w:t xml:space="preserve">The Company </w:t>
      </w:r>
      <w:r>
        <w:rPr>
          <w:rFonts w:ascii="Arial" w:hAnsi="Arial" w:cs="Arial"/>
          <w:sz w:val="22"/>
          <w:szCs w:val="22"/>
        </w:rPr>
        <w:t>is deemed to have control over an investee or subsidiary if it has rights, or is exposed, to variable returns from its involvement with the investee, and it has the ability to direct the activities that affect the amount of its returns.</w:t>
      </w:r>
    </w:p>
    <w:p>
      <w:pPr>
        <w:spacing w:before="120" w:after="120" w:line="380" w:lineRule="exact"/>
        <w:ind w:left="900" w:hanging="353"/>
        <w:jc w:val="thaiDistribute"/>
        <w:rPr>
          <w:rFonts w:ascii="Arial" w:hAnsi="Arial" w:cs="Arial"/>
          <w:sz w:val="22"/>
          <w:szCs w:val="22"/>
        </w:rPr>
      </w:pPr>
      <w:r>
        <w:rPr>
          <w:rFonts w:ascii="Arial" w:hAnsi="Arial"/>
          <w:sz w:val="22"/>
          <w:szCs w:val="22"/>
        </w:rPr>
        <w:t>b)</w:t>
      </w:r>
      <w:r>
        <w:rPr>
          <w:rFonts w:ascii="Arial" w:hAnsi="Arial"/>
          <w:sz w:val="22"/>
          <w:szCs w:val="22"/>
        </w:rPr>
        <w:tab/>
      </w:r>
      <w:r>
        <w:rPr>
          <w:rFonts w:ascii="Arial" w:hAnsi="Arial"/>
          <w:sz w:val="22"/>
          <w:szCs w:val="22"/>
        </w:rPr>
        <w:t xml:space="preserve">Subsidiary is </w:t>
      </w:r>
      <w:r>
        <w:rPr>
          <w:rFonts w:ascii="Arial" w:hAnsi="Arial" w:cs="Arial"/>
          <w:sz w:val="22"/>
          <w:szCs w:val="22"/>
        </w:rPr>
        <w:t>fully consolidated, being the date on which the Company obtains control, and continue to be consolidated until the date when such control ceases.</w:t>
      </w:r>
    </w:p>
    <w:p>
      <w:pPr>
        <w:spacing w:before="120" w:after="120" w:line="380" w:lineRule="exact"/>
        <w:ind w:left="900" w:hanging="353"/>
        <w:jc w:val="thaiDistribute"/>
        <w:rPr>
          <w:rFonts w:ascii="Arial" w:hAnsi="Arial" w:cs="Arial"/>
          <w:sz w:val="22"/>
          <w:szCs w:val="22"/>
        </w:rPr>
      </w:pPr>
      <w:r>
        <w:rPr>
          <w:rFonts w:ascii="Arial" w:hAnsi="Arial" w:cs="Arial"/>
          <w:sz w:val="22"/>
          <w:szCs w:val="22"/>
        </w:rPr>
        <w:t>c)</w:t>
      </w:r>
      <w:r>
        <w:rPr>
          <w:rFonts w:ascii="Arial" w:hAnsi="Arial" w:cs="Arial"/>
          <w:sz w:val="22"/>
          <w:szCs w:val="22"/>
        </w:rPr>
        <w:tab/>
      </w:r>
      <w:r>
        <w:rPr>
          <w:rFonts w:ascii="Arial" w:hAnsi="Arial" w:cs="Arial"/>
          <w:sz w:val="22"/>
          <w:szCs w:val="22"/>
        </w:rPr>
        <w:t>The financial statements of the subsidiary are prepared using the same significant accounting policies as the Company.</w:t>
      </w:r>
    </w:p>
    <w:p>
      <w:pPr>
        <w:spacing w:before="120" w:after="120" w:line="380" w:lineRule="exact"/>
        <w:ind w:left="900" w:hanging="353"/>
        <w:jc w:val="thaiDistribute"/>
        <w:rPr>
          <w:rFonts w:ascii="Arial" w:hAnsi="Arial" w:cs="Arial"/>
          <w:sz w:val="22"/>
          <w:szCs w:val="22"/>
        </w:rPr>
      </w:pPr>
      <w:r>
        <w:rPr>
          <w:rFonts w:ascii="Arial" w:hAnsi="Arial" w:cs="Arial"/>
          <w:sz w:val="22"/>
          <w:szCs w:val="22"/>
        </w:rPr>
        <w:t>d)</w:t>
      </w:r>
      <w:r>
        <w:rPr>
          <w:rFonts w:ascii="Arial" w:hAnsi="Arial" w:cs="Arial"/>
          <w:sz w:val="22"/>
          <w:szCs w:val="22"/>
        </w:rPr>
        <w:tab/>
      </w:r>
      <w:r>
        <w:rPr>
          <w:rFonts w:ascii="Arial" w:hAnsi="Arial" w:cs="Arial"/>
          <w:sz w:val="22"/>
          <w:szCs w:val="22"/>
        </w:rPr>
        <w:t xml:space="preserve">Material balances and transactions between the Group have been eliminated from the consolidated financial statements. </w:t>
      </w:r>
    </w:p>
    <w:p>
      <w:pPr>
        <w:overflowPunct/>
        <w:autoSpaceDE/>
        <w:autoSpaceDN/>
        <w:adjustRightInd/>
        <w:spacing w:after="260" w:line="380" w:lineRule="exact"/>
        <w:textAlignment w:val="auto"/>
        <w:rPr>
          <w:rFonts w:ascii="Arial" w:hAnsi="Arial" w:cstheme="minorBidi"/>
          <w:b/>
          <w:bCs/>
          <w:color w:val="000000" w:themeColor="text1"/>
          <w:sz w:val="22"/>
          <w:szCs w:val="22"/>
          <w:cs/>
          <w14:textFill>
            <w14:solidFill>
              <w14:schemeClr w14:val="tx1"/>
            </w14:solidFill>
          </w14:textFill>
        </w:rPr>
      </w:pPr>
      <w:r>
        <w:rPr>
          <w:rFonts w:ascii="Arial" w:hAnsi="Arial" w:cstheme="minorBidi"/>
          <w:b/>
          <w:bCs/>
          <w:color w:val="000000" w:themeColor="text1"/>
          <w:sz w:val="22"/>
          <w:szCs w:val="22"/>
          <w:cs/>
          <w14:textFill>
            <w14:solidFill>
              <w14:schemeClr w14:val="tx1"/>
            </w14:solidFill>
          </w14:textFill>
        </w:rPr>
        <w:br w:type="page"/>
      </w:r>
    </w:p>
    <w:p>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color w:val="000000" w:themeColor="text1"/>
          <w:sz w:val="22"/>
          <w:szCs w:val="22"/>
          <w14:textFill>
            <w14:solidFill>
              <w14:schemeClr w14:val="tx1"/>
            </w14:solidFill>
          </w14:textFill>
        </w:rPr>
      </w:pPr>
      <w:r>
        <w:rPr>
          <w:rFonts w:ascii="Arial" w:hAnsi="Arial" w:cs="Arial"/>
          <w:b/>
          <w:bCs/>
          <w:color w:val="000000" w:themeColor="text1"/>
          <w:sz w:val="22"/>
          <w:szCs w:val="22"/>
          <w14:textFill>
            <w14:solidFill>
              <w14:schemeClr w14:val="tx1"/>
            </w14:solidFill>
          </w14:textFill>
        </w:rPr>
        <w:t>1.3</w:t>
      </w:r>
      <w:r>
        <w:rPr>
          <w:rFonts w:ascii="Arial" w:hAnsi="Arial" w:cs="Arial"/>
          <w:b/>
          <w:bCs/>
          <w:color w:val="000000" w:themeColor="text1"/>
          <w:sz w:val="22"/>
          <w:szCs w:val="22"/>
          <w14:textFill>
            <w14:solidFill>
              <w14:schemeClr w14:val="tx1"/>
            </w14:solidFill>
          </w14:textFill>
        </w:rPr>
        <w:tab/>
      </w:r>
      <w:r>
        <w:rPr>
          <w:rFonts w:ascii="Arial" w:hAnsi="Arial" w:cs="Arial"/>
          <w:b/>
          <w:bCs/>
          <w:color w:val="000000" w:themeColor="text1"/>
          <w:sz w:val="22"/>
          <w:szCs w:val="22"/>
          <w14:textFill>
            <w14:solidFill>
              <w14:schemeClr w14:val="tx1"/>
            </w14:solidFill>
          </w14:textFill>
        </w:rPr>
        <w:t>Significant accounting policies</w:t>
      </w:r>
    </w:p>
    <w:p>
      <w:pPr>
        <w:tabs>
          <w:tab w:val="left" w:pos="1200"/>
          <w:tab w:val="left" w:pos="1800"/>
          <w:tab w:val="left" w:pos="2400"/>
          <w:tab w:val="left" w:pos="3000"/>
        </w:tabs>
        <w:spacing w:before="120" w:after="120" w:line="380" w:lineRule="exact"/>
        <w:ind w:left="547" w:hanging="547"/>
        <w:jc w:val="thaiDistribute"/>
        <w:rPr>
          <w:rFonts w:ascii="Arial" w:hAnsi="Arial" w:cs="Arial"/>
          <w:spacing w:val="-2"/>
          <w:sz w:val="22"/>
          <w:szCs w:val="22"/>
        </w:rPr>
      </w:pPr>
      <w:r>
        <w:rPr>
          <w:rFonts w:ascii="Arial" w:hAnsi="Arial" w:cs="Arial"/>
          <w:sz w:val="22"/>
          <w:szCs w:val="22"/>
        </w:rPr>
        <w:tab/>
      </w:r>
      <w:r>
        <w:rPr>
          <w:rFonts w:ascii="Arial" w:hAnsi="Arial" w:cs="Arial"/>
          <w:sz w:val="22"/>
          <w:szCs w:val="22"/>
        </w:rPr>
        <w:t xml:space="preserve">The revised financial reporting standards which are effective for fiscal years beginning on or </w:t>
      </w:r>
      <w:r>
        <w:rPr>
          <w:rFonts w:ascii="Arial" w:hAnsi="Arial" w:cs="Arial"/>
          <w:spacing w:val="-2"/>
          <w:sz w:val="22"/>
          <w:szCs w:val="22"/>
        </w:rPr>
        <w:t>after 1 January 2022 does not have any significant impact on the Group’s financial statements.</w:t>
      </w:r>
    </w:p>
    <w:p>
      <w:pPr>
        <w:tabs>
          <w:tab w:val="left" w:pos="1200"/>
          <w:tab w:val="left" w:pos="1800"/>
          <w:tab w:val="left" w:pos="2400"/>
          <w:tab w:val="left" w:pos="3000"/>
        </w:tabs>
        <w:spacing w:before="120" w:after="120" w:line="380" w:lineRule="exact"/>
        <w:ind w:left="547" w:hanging="547"/>
        <w:jc w:val="thaiDistribute"/>
        <w:rPr>
          <w:rFonts w:ascii="Arial" w:hAnsi="Arial" w:cs="Browallia New"/>
          <w:sz w:val="22"/>
          <w:szCs w:val="28"/>
        </w:rPr>
      </w:pPr>
      <w:r>
        <w:rPr>
          <w:rFonts w:ascii="Arial" w:hAnsi="Arial" w:cs="Arial"/>
          <w:sz w:val="22"/>
          <w:szCs w:val="22"/>
        </w:rPr>
        <w:tab/>
      </w:r>
      <w:r>
        <w:rPr>
          <w:rFonts w:ascii="Arial" w:hAnsi="Arial" w:cs="Arial"/>
          <w:sz w:val="22"/>
          <w:szCs w:val="22"/>
        </w:rPr>
        <w:t xml:space="preserve">The interim financial statements are prepared by using the same accounting policies and methods of computation as were used for the financial statements for the year ended </w:t>
      </w:r>
      <w:r>
        <w:rPr>
          <w:rFonts w:ascii="Arial" w:hAnsi="Arial" w:cs="Arial"/>
          <w:sz w:val="22"/>
          <w:szCs w:val="22"/>
        </w:rPr>
        <w:br w:type="textWrapping"/>
      </w:r>
      <w:r>
        <w:rPr>
          <w:rFonts w:ascii="Arial" w:hAnsi="Arial" w:cs="Arial"/>
          <w:sz w:val="22"/>
          <w:szCs w:val="22"/>
        </w:rPr>
        <w:t xml:space="preserve">31 December 2021, </w:t>
      </w:r>
      <w:r>
        <w:rPr>
          <w:rFonts w:ascii="Arial" w:hAnsi="Arial" w:cs="Browallia New"/>
          <w:sz w:val="22"/>
          <w:szCs w:val="28"/>
        </w:rPr>
        <w:t>including additional accounting policies as follows:</w:t>
      </w:r>
    </w:p>
    <w:p>
      <w:pPr>
        <w:tabs>
          <w:tab w:val="left" w:pos="1200"/>
          <w:tab w:val="left" w:pos="1800"/>
          <w:tab w:val="left" w:pos="2400"/>
          <w:tab w:val="left" w:pos="3000"/>
        </w:tabs>
        <w:spacing w:before="120" w:after="120" w:line="380" w:lineRule="exact"/>
        <w:ind w:left="547" w:hanging="547"/>
        <w:jc w:val="thaiDistribute"/>
        <w:rPr>
          <w:rFonts w:ascii="Arial" w:hAnsi="Arial" w:cs="Browallia New"/>
          <w:b/>
          <w:bCs/>
          <w:sz w:val="22"/>
          <w:szCs w:val="28"/>
        </w:rPr>
      </w:pPr>
      <w:r>
        <w:rPr>
          <w:rFonts w:ascii="Arial" w:hAnsi="Arial" w:cs="Browallia New"/>
          <w:b/>
          <w:bCs/>
          <w:sz w:val="22"/>
          <w:szCs w:val="28"/>
        </w:rPr>
        <w:t>1.3.1</w:t>
      </w:r>
      <w:r>
        <w:rPr>
          <w:rFonts w:ascii="Arial" w:hAnsi="Arial" w:cs="Browallia New"/>
          <w:b/>
          <w:bCs/>
          <w:sz w:val="22"/>
          <w:szCs w:val="28"/>
        </w:rPr>
        <w:tab/>
      </w:r>
      <w:r>
        <w:rPr>
          <w:rFonts w:ascii="Arial" w:hAnsi="Arial" w:cs="Browallia New"/>
          <w:b/>
          <w:bCs/>
          <w:sz w:val="22"/>
          <w:szCs w:val="28"/>
        </w:rPr>
        <w:t>Investments in subsidiary and associates</w:t>
      </w:r>
    </w:p>
    <w:p>
      <w:pPr>
        <w:tabs>
          <w:tab w:val="left" w:pos="1200"/>
          <w:tab w:val="left" w:pos="1800"/>
          <w:tab w:val="left" w:pos="2400"/>
          <w:tab w:val="left" w:pos="3000"/>
        </w:tabs>
        <w:spacing w:before="120" w:after="120" w:line="380" w:lineRule="exact"/>
        <w:ind w:left="547" w:hanging="547"/>
        <w:jc w:val="thaiDistribute"/>
        <w:rPr>
          <w:rFonts w:ascii="Arial" w:hAnsi="Arial" w:cs="Browallia New"/>
          <w:sz w:val="22"/>
          <w:szCs w:val="28"/>
        </w:rPr>
      </w:pPr>
      <w:r>
        <w:rPr>
          <w:rFonts w:ascii="Arial" w:hAnsi="Arial" w:cs="Browallia New"/>
          <w:b/>
          <w:bCs/>
          <w:sz w:val="22"/>
          <w:szCs w:val="28"/>
        </w:rPr>
        <w:tab/>
      </w:r>
      <w:r>
        <w:rPr>
          <w:rFonts w:ascii="Arial" w:hAnsi="Arial" w:cs="Browallia New"/>
          <w:sz w:val="22"/>
          <w:szCs w:val="28"/>
        </w:rPr>
        <w:t>Investments in associates are accounted for in the consolidated financial statements using the equity method.</w:t>
      </w:r>
    </w:p>
    <w:p>
      <w:pPr>
        <w:tabs>
          <w:tab w:val="left" w:pos="1200"/>
          <w:tab w:val="left" w:pos="1800"/>
          <w:tab w:val="left" w:pos="2400"/>
          <w:tab w:val="left" w:pos="3000"/>
        </w:tabs>
        <w:spacing w:before="120" w:after="120" w:line="380" w:lineRule="exact"/>
        <w:ind w:left="547" w:hanging="547"/>
        <w:jc w:val="thaiDistribute"/>
        <w:rPr>
          <w:rFonts w:ascii="Arial" w:hAnsi="Arial" w:cs="Browallia New"/>
          <w:sz w:val="22"/>
          <w:szCs w:val="28"/>
        </w:rPr>
      </w:pPr>
      <w:r>
        <w:rPr>
          <w:rFonts w:ascii="Arial" w:hAnsi="Arial" w:cs="Browallia New"/>
          <w:b/>
          <w:bCs/>
          <w:sz w:val="22"/>
          <w:szCs w:val="28"/>
        </w:rPr>
        <w:tab/>
      </w:r>
      <w:r>
        <w:rPr>
          <w:rFonts w:ascii="Arial" w:hAnsi="Arial" w:cs="Browallia New"/>
          <w:sz w:val="22"/>
          <w:szCs w:val="28"/>
        </w:rPr>
        <w:t>Investments in subsidiary and associates are accounted for in the separate financial statements using the cost method.</w:t>
      </w:r>
    </w:p>
    <w:p>
      <w:pPr>
        <w:tabs>
          <w:tab w:val="left" w:pos="1200"/>
          <w:tab w:val="left" w:pos="1800"/>
          <w:tab w:val="left" w:pos="2400"/>
          <w:tab w:val="left" w:pos="3000"/>
        </w:tabs>
        <w:spacing w:before="120" w:after="120" w:line="380" w:lineRule="exact"/>
        <w:ind w:left="547" w:hanging="547"/>
        <w:jc w:val="thaiDistribute"/>
        <w:rPr>
          <w:rFonts w:ascii="Arial" w:hAnsi="Arial" w:cs="Browallia New"/>
          <w:b/>
          <w:bCs/>
          <w:sz w:val="22"/>
          <w:szCs w:val="28"/>
        </w:rPr>
      </w:pPr>
      <w:r>
        <w:rPr>
          <w:rFonts w:ascii="Arial" w:hAnsi="Arial" w:cs="Browallia New"/>
          <w:b/>
          <w:bCs/>
          <w:sz w:val="22"/>
          <w:szCs w:val="28"/>
        </w:rPr>
        <w:t>1.3.2</w:t>
      </w:r>
      <w:r>
        <w:rPr>
          <w:rFonts w:ascii="Arial" w:hAnsi="Arial" w:cs="Browallia New"/>
          <w:b/>
          <w:bCs/>
          <w:sz w:val="22"/>
          <w:szCs w:val="28"/>
        </w:rPr>
        <w:tab/>
      </w:r>
      <w:r>
        <w:rPr>
          <w:rFonts w:ascii="Arial" w:hAnsi="Arial" w:cs="Browallia New"/>
          <w:b/>
          <w:bCs/>
          <w:sz w:val="22"/>
          <w:szCs w:val="28"/>
        </w:rPr>
        <w:t>Business combination</w:t>
      </w:r>
    </w:p>
    <w:p>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Pr>
          <w:rFonts w:ascii="Arial" w:hAnsi="Arial" w:cs="Arial"/>
          <w:sz w:val="22"/>
          <w:szCs w:val="22"/>
        </w:rPr>
        <w:t xml:space="preserve">Business combinations are accounted for using the acquisition method. The cost of an acquisition is measured as the aggregate of the consideration transferred, which is measured at the acquisition date fair </w:t>
      </w:r>
      <w:r>
        <w:rPr>
          <w:rFonts w:ascii="Arial" w:hAnsi="Arial" w:cs="Arial"/>
          <w:color w:val="0D0D0D" w:themeColor="text1" w:themeTint="F2"/>
          <w:sz w:val="22"/>
          <w:szCs w:val="22"/>
          <w14:textFill>
            <w14:solidFill>
              <w14:schemeClr w14:val="tx1">
                <w14:lumMod w14:val="95000"/>
                <w14:lumOff w14:val="5000"/>
              </w14:schemeClr>
            </w14:solidFill>
          </w14:textFill>
        </w:rPr>
        <w:t>value</w:t>
      </w:r>
      <w:r>
        <w:rPr>
          <w:rFonts w:ascii="Arial" w:hAnsi="Arial" w:cstheme="minorBidi"/>
          <w:color w:val="0D0D0D" w:themeColor="text1" w:themeTint="F2"/>
          <w:sz w:val="22"/>
          <w:szCs w:val="22"/>
          <w14:textFill>
            <w14:solidFill>
              <w14:schemeClr w14:val="tx1">
                <w14:lumMod w14:val="95000"/>
                <w14:lumOff w14:val="5000"/>
              </w14:schemeClr>
            </w14:solidFill>
          </w14:textFill>
        </w:rPr>
        <w:t xml:space="preserve">, </w:t>
      </w:r>
      <w:r>
        <w:rPr>
          <w:rFonts w:ascii="Arial" w:hAnsi="Arial" w:cs="Arial"/>
          <w:color w:val="0D0D0D" w:themeColor="text1" w:themeTint="F2"/>
          <w:sz w:val="22"/>
          <w:szCs w:val="22"/>
          <w14:textFill>
            <w14:solidFill>
              <w14:schemeClr w14:val="tx1">
                <w14:lumMod w14:val="95000"/>
                <w14:lumOff w14:val="5000"/>
              </w14:schemeClr>
            </w14:solidFill>
          </w14:textFill>
        </w:rPr>
        <w:t>th</w:t>
      </w:r>
      <w:r>
        <w:rPr>
          <w:rFonts w:ascii="Arial" w:hAnsi="Arial" w:cs="Arial"/>
          <w:sz w:val="22"/>
          <w:szCs w:val="22"/>
        </w:rPr>
        <w:t>e amount of any non-controlling interests in the acquiree and the acquisition date fair value of the Group’s previously held equity interest in the acquiree, in a business combination achieved in stages. </w:t>
      </w:r>
    </w:p>
    <w:p>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Pr>
          <w:rFonts w:ascii="Arial" w:hAnsi="Arial" w:cs="Arial"/>
          <w:sz w:val="22"/>
          <w:szCs w:val="22"/>
        </w:rPr>
        <w:t>For each business combination, the Group elects whether to measure the non-controlling interests in the acquiree at fair value or at the proportionate share of the acquiree’s identifiable net assets. Acquisition-related costs are expensed as incurred and included in administrative expenses.</w:t>
      </w:r>
    </w:p>
    <w:p>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Pr>
          <w:rFonts w:ascii="Arial" w:hAnsi="Arial" w:cs="Arial"/>
          <w:sz w:val="22"/>
          <w:szCs w:val="22"/>
        </w:rPr>
        <w:t>The Group measures the identifiable assets acquired and the liabilities assumed at acquisition date fair value, and classifies and designates them in accordance with the contractual terms, economic circumstances, and pertinent conditions as at the acquisition date.</w:t>
      </w:r>
    </w:p>
    <w:p>
      <w:pPr>
        <w:overflowPunct/>
        <w:autoSpaceDE/>
        <w:autoSpaceDN/>
        <w:adjustRightInd/>
        <w:spacing w:before="120" w:after="120" w:line="380" w:lineRule="exact"/>
        <w:ind w:left="547"/>
        <w:jc w:val="thaiDistribute"/>
        <w:textAlignment w:val="auto"/>
        <w:rPr>
          <w:rFonts w:ascii="Arial" w:hAnsi="Arial" w:cs="Arial"/>
          <w:sz w:val="22"/>
          <w:szCs w:val="22"/>
        </w:rPr>
      </w:pPr>
      <w:r>
        <w:rPr>
          <w:rFonts w:ascii="Arial" w:hAnsi="Arial" w:cs="Arial"/>
          <w:sz w:val="22"/>
          <w:szCs w:val="22"/>
        </w:rPr>
        <w:t>Goodwill is initially recorded at cost, which equals the excess of cost of the business combination over the fair value of the net assets acquired. If the fair value of the net assets acquired exceeds the cost of the business combination, the excess is immediately recognised as a gain in profit or loss.</w:t>
      </w:r>
    </w:p>
    <w:p>
      <w:pPr>
        <w:overflowPunct/>
        <w:autoSpaceDE/>
        <w:autoSpaceDN/>
        <w:adjustRightInd/>
        <w:spacing w:before="120" w:after="120" w:line="370" w:lineRule="exact"/>
        <w:ind w:left="547"/>
        <w:jc w:val="thaiDistribute"/>
        <w:textAlignment w:val="auto"/>
        <w:rPr>
          <w:rFonts w:ascii="Arial" w:hAnsi="Arial" w:cs="Arial"/>
          <w:sz w:val="22"/>
          <w:szCs w:val="22"/>
        </w:rPr>
      </w:pPr>
      <w:r>
        <w:rPr>
          <w:rFonts w:ascii="Arial" w:hAnsi="Arial" w:cs="Arial"/>
          <w:b/>
          <w:bCs/>
          <w:sz w:val="22"/>
          <w:szCs w:val="22"/>
        </w:rPr>
        <w:br w:type="page"/>
      </w:r>
    </w:p>
    <w:p>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w:t>
      </w:r>
      <w:r>
        <w:rPr>
          <w:rFonts w:ascii="Arial" w:hAnsi="Arial" w:cs="Arial"/>
          <w:b/>
          <w:bCs/>
          <w:sz w:val="22"/>
          <w:szCs w:val="22"/>
        </w:rPr>
        <w:tab/>
      </w:r>
      <w:r>
        <w:rPr>
          <w:rFonts w:ascii="Arial" w:hAnsi="Arial" w:cs="Arial"/>
          <w:b/>
          <w:bCs/>
          <w:sz w:val="22"/>
          <w:szCs w:val="22"/>
        </w:rPr>
        <w:t>Related party transactions</w:t>
      </w:r>
    </w:p>
    <w:p>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During the periods, the Group had significant business transactions with related parties. Such transactions arose in the ordinary course of business and were concluded on commercial terms and bases agreed upon between the Group and those related parties. There were no significant changes in the transfer pricing policy of transactions with related parties during the current period.</w:t>
      </w:r>
    </w:p>
    <w:p>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Summaries business transactions with related parties as follows.</w:t>
      </w:r>
    </w:p>
    <w:tbl>
      <w:tblPr>
        <w:tblStyle w:val="8"/>
        <w:tblW w:w="9095" w:type="dxa"/>
        <w:tblInd w:w="450" w:type="dxa"/>
        <w:tblLayout w:type="fixed"/>
        <w:tblCellMar>
          <w:top w:w="0" w:type="dxa"/>
          <w:left w:w="108" w:type="dxa"/>
          <w:bottom w:w="0" w:type="dxa"/>
          <w:right w:w="108" w:type="dxa"/>
        </w:tblCellMar>
      </w:tblPr>
      <w:tblGrid>
        <w:gridCol w:w="4320"/>
        <w:gridCol w:w="1890"/>
        <w:gridCol w:w="1440"/>
        <w:gridCol w:w="1445"/>
      </w:tblGrid>
      <w:tr>
        <w:tblPrEx>
          <w:tblCellMar>
            <w:top w:w="0" w:type="dxa"/>
            <w:left w:w="108" w:type="dxa"/>
            <w:bottom w:w="0" w:type="dxa"/>
            <w:right w:w="108" w:type="dxa"/>
          </w:tblCellMar>
        </w:tblPrEx>
        <w:trPr>
          <w:trHeight w:val="80" w:hRule="atLeast"/>
          <w:tblHeader/>
        </w:trPr>
        <w:tc>
          <w:tcPr>
            <w:tcW w:w="4320" w:type="dxa"/>
            <w:vAlign w:val="bottom"/>
          </w:tcPr>
          <w:p>
            <w:pPr>
              <w:spacing w:line="380" w:lineRule="exact"/>
              <w:jc w:val="center"/>
              <w:rPr>
                <w:rFonts w:ascii="Arial" w:hAnsi="Arial" w:cs="Arial"/>
                <w:spacing w:val="-4"/>
                <w:sz w:val="18"/>
                <w:szCs w:val="18"/>
              </w:rPr>
            </w:pPr>
          </w:p>
        </w:tc>
        <w:tc>
          <w:tcPr>
            <w:tcW w:w="4775" w:type="dxa"/>
            <w:gridSpan w:val="3"/>
            <w:vAlign w:val="bottom"/>
          </w:tcPr>
          <w:p>
            <w:pPr>
              <w:tabs>
                <w:tab w:val="decimal" w:pos="493"/>
              </w:tabs>
              <w:spacing w:line="380" w:lineRule="exact"/>
              <w:jc w:val="right"/>
              <w:rPr>
                <w:rFonts w:ascii="Arial" w:hAnsi="Arial" w:cs="Arial"/>
                <w:sz w:val="18"/>
                <w:szCs w:val="18"/>
              </w:rPr>
            </w:pPr>
            <w:r>
              <w:rPr>
                <w:rFonts w:ascii="Arial" w:hAnsi="Arial" w:cs="Arial"/>
                <w:sz w:val="18"/>
                <w:szCs w:val="18"/>
              </w:rPr>
              <w:t>(Unit: Thousand Baht)</w:t>
            </w:r>
          </w:p>
        </w:tc>
      </w:tr>
      <w:tr>
        <w:tblPrEx>
          <w:tblCellMar>
            <w:top w:w="0" w:type="dxa"/>
            <w:left w:w="108" w:type="dxa"/>
            <w:bottom w:w="0" w:type="dxa"/>
            <w:right w:w="108" w:type="dxa"/>
          </w:tblCellMar>
        </w:tblPrEx>
        <w:trPr>
          <w:trHeight w:val="80" w:hRule="atLeast"/>
          <w:tblHeader/>
        </w:trPr>
        <w:tc>
          <w:tcPr>
            <w:tcW w:w="4320" w:type="dxa"/>
            <w:vAlign w:val="bottom"/>
          </w:tcPr>
          <w:p>
            <w:pPr>
              <w:spacing w:line="380" w:lineRule="exact"/>
              <w:jc w:val="center"/>
              <w:rPr>
                <w:rFonts w:ascii="Arial" w:hAnsi="Arial" w:cs="Arial"/>
                <w:spacing w:val="-4"/>
                <w:sz w:val="18"/>
                <w:szCs w:val="18"/>
              </w:rPr>
            </w:pPr>
          </w:p>
        </w:tc>
        <w:tc>
          <w:tcPr>
            <w:tcW w:w="4775" w:type="dxa"/>
            <w:gridSpan w:val="3"/>
            <w:vAlign w:val="bottom"/>
          </w:tcPr>
          <w:p>
            <w:pPr>
              <w:pBdr>
                <w:bottom w:val="single" w:color="auto" w:sz="4" w:space="1"/>
              </w:pBdr>
              <w:tabs>
                <w:tab w:val="decimal" w:pos="493"/>
              </w:tabs>
              <w:spacing w:line="380" w:lineRule="exact"/>
              <w:jc w:val="center"/>
              <w:rPr>
                <w:rFonts w:ascii="Arial" w:hAnsi="Arial" w:cs="Arial"/>
                <w:sz w:val="18"/>
                <w:szCs w:val="18"/>
                <w:cs/>
              </w:rPr>
            </w:pPr>
            <w:r>
              <w:rPr>
                <w:rFonts w:ascii="Arial" w:hAnsi="Arial" w:cs="Arial"/>
                <w:sz w:val="18"/>
                <w:szCs w:val="18"/>
              </w:rPr>
              <w:t>For the three-month periods ended 30 September</w:t>
            </w:r>
          </w:p>
        </w:tc>
      </w:tr>
      <w:tr>
        <w:tblPrEx>
          <w:tblCellMar>
            <w:top w:w="0" w:type="dxa"/>
            <w:left w:w="108" w:type="dxa"/>
            <w:bottom w:w="0" w:type="dxa"/>
            <w:right w:w="108" w:type="dxa"/>
          </w:tblCellMar>
        </w:tblPrEx>
        <w:trPr>
          <w:tblHeader/>
        </w:trPr>
        <w:tc>
          <w:tcPr>
            <w:tcW w:w="4320" w:type="dxa"/>
            <w:vAlign w:val="bottom"/>
          </w:tcPr>
          <w:p>
            <w:pPr>
              <w:spacing w:line="380" w:lineRule="exact"/>
              <w:jc w:val="center"/>
              <w:rPr>
                <w:rFonts w:ascii="Arial" w:hAnsi="Arial" w:cs="Arial"/>
                <w:spacing w:val="-4"/>
                <w:sz w:val="18"/>
                <w:szCs w:val="18"/>
              </w:rPr>
            </w:pPr>
          </w:p>
        </w:tc>
        <w:tc>
          <w:tcPr>
            <w:tcW w:w="1890" w:type="dxa"/>
            <w:vAlign w:val="bottom"/>
          </w:tcPr>
          <w:p>
            <w:pPr>
              <w:pStyle w:val="6"/>
              <w:pBdr>
                <w:bottom w:val="single" w:color="auto" w:sz="4" w:space="1"/>
              </w:pBdr>
              <w:spacing w:line="380" w:lineRule="exact"/>
              <w:jc w:val="center"/>
              <w:rPr>
                <w:rFonts w:ascii="Arial" w:hAnsi="Arial" w:cs="Arial"/>
                <w:b w:val="0"/>
                <w:bCs w:val="0"/>
                <w:i/>
                <w:iCs/>
                <w:sz w:val="18"/>
                <w:szCs w:val="18"/>
                <w:u w:val="none"/>
              </w:rPr>
            </w:pPr>
            <w:r>
              <w:rPr>
                <w:rFonts w:ascii="Arial" w:hAnsi="Arial" w:cs="Arial"/>
                <w:b w:val="0"/>
                <w:bCs w:val="0"/>
                <w:sz w:val="18"/>
                <w:szCs w:val="18"/>
                <w:u w:val="none"/>
              </w:rPr>
              <w:t>Consolidated                 financial statements</w:t>
            </w:r>
          </w:p>
        </w:tc>
        <w:tc>
          <w:tcPr>
            <w:tcW w:w="2885" w:type="dxa"/>
            <w:gridSpan w:val="2"/>
            <w:vAlign w:val="bottom"/>
          </w:tcPr>
          <w:p>
            <w:pPr>
              <w:pStyle w:val="6"/>
              <w:pBdr>
                <w:bottom w:val="single" w:color="auto" w:sz="4" w:space="1"/>
              </w:pBdr>
              <w:spacing w:line="380" w:lineRule="exact"/>
              <w:jc w:val="center"/>
              <w:rPr>
                <w:rFonts w:ascii="Arial" w:hAnsi="Arial" w:cs="Arial"/>
                <w:b w:val="0"/>
                <w:bCs w:val="0"/>
                <w:i/>
                <w:iCs/>
                <w:sz w:val="18"/>
                <w:szCs w:val="18"/>
                <w:u w:val="none"/>
              </w:rPr>
            </w:pPr>
            <w:r>
              <w:rPr>
                <w:rFonts w:ascii="Arial" w:hAnsi="Arial" w:cs="Arial"/>
                <w:b w:val="0"/>
                <w:bCs w:val="0"/>
                <w:sz w:val="18"/>
                <w:szCs w:val="18"/>
                <w:u w:val="none"/>
              </w:rPr>
              <w:t>Separate                          financial statements</w:t>
            </w:r>
          </w:p>
        </w:tc>
      </w:tr>
      <w:tr>
        <w:tblPrEx>
          <w:tblCellMar>
            <w:top w:w="0" w:type="dxa"/>
            <w:left w:w="108" w:type="dxa"/>
            <w:bottom w:w="0" w:type="dxa"/>
            <w:right w:w="108" w:type="dxa"/>
          </w:tblCellMar>
        </w:tblPrEx>
        <w:trPr>
          <w:tblHeader/>
        </w:trPr>
        <w:tc>
          <w:tcPr>
            <w:tcW w:w="4320" w:type="dxa"/>
            <w:vAlign w:val="bottom"/>
          </w:tcPr>
          <w:p>
            <w:pPr>
              <w:spacing w:line="380" w:lineRule="exact"/>
              <w:jc w:val="center"/>
              <w:rPr>
                <w:rFonts w:ascii="Arial" w:hAnsi="Arial" w:cs="Arial"/>
                <w:spacing w:val="-4"/>
                <w:sz w:val="18"/>
                <w:szCs w:val="18"/>
              </w:rPr>
            </w:pPr>
          </w:p>
        </w:tc>
        <w:tc>
          <w:tcPr>
            <w:tcW w:w="1890" w:type="dxa"/>
            <w:vAlign w:val="bottom"/>
          </w:tcPr>
          <w:p>
            <w:pPr>
              <w:spacing w:line="380" w:lineRule="exact"/>
              <w:jc w:val="center"/>
              <w:rPr>
                <w:rFonts w:ascii="Arial" w:hAnsi="Arial" w:cs="Arial"/>
                <w:spacing w:val="-4"/>
                <w:sz w:val="18"/>
                <w:szCs w:val="18"/>
                <w:u w:val="single"/>
              </w:rPr>
            </w:pPr>
            <w:r>
              <w:rPr>
                <w:rFonts w:ascii="Arial" w:hAnsi="Arial" w:cs="Arial"/>
                <w:spacing w:val="-4"/>
                <w:sz w:val="18"/>
                <w:szCs w:val="18"/>
                <w:u w:val="single"/>
              </w:rPr>
              <w:t>2022</w:t>
            </w:r>
          </w:p>
        </w:tc>
        <w:tc>
          <w:tcPr>
            <w:tcW w:w="1440" w:type="dxa"/>
            <w:vAlign w:val="bottom"/>
          </w:tcPr>
          <w:p>
            <w:pPr>
              <w:spacing w:line="380" w:lineRule="exact"/>
              <w:jc w:val="center"/>
              <w:rPr>
                <w:rFonts w:ascii="Arial" w:hAnsi="Arial" w:cs="Arial"/>
                <w:spacing w:val="-4"/>
                <w:sz w:val="18"/>
                <w:szCs w:val="18"/>
                <w:u w:val="single"/>
              </w:rPr>
            </w:pPr>
            <w:r>
              <w:rPr>
                <w:rFonts w:ascii="Arial" w:hAnsi="Arial" w:cs="Arial"/>
                <w:spacing w:val="-4"/>
                <w:sz w:val="18"/>
                <w:szCs w:val="18"/>
                <w:u w:val="single"/>
              </w:rPr>
              <w:t>2022</w:t>
            </w:r>
          </w:p>
        </w:tc>
        <w:tc>
          <w:tcPr>
            <w:tcW w:w="1445" w:type="dxa"/>
            <w:vAlign w:val="bottom"/>
          </w:tcPr>
          <w:p>
            <w:pPr>
              <w:spacing w:line="380" w:lineRule="exact"/>
              <w:jc w:val="center"/>
              <w:rPr>
                <w:rFonts w:ascii="Arial" w:hAnsi="Arial" w:cs="Arial"/>
                <w:spacing w:val="-4"/>
                <w:sz w:val="18"/>
                <w:szCs w:val="18"/>
                <w:u w:val="single"/>
              </w:rPr>
            </w:pPr>
            <w:r>
              <w:rPr>
                <w:rFonts w:ascii="Arial" w:hAnsi="Arial" w:cs="Arial"/>
                <w:spacing w:val="-4"/>
                <w:sz w:val="18"/>
                <w:szCs w:val="18"/>
                <w:u w:val="single"/>
              </w:rPr>
              <w:t>2021</w:t>
            </w:r>
          </w:p>
        </w:tc>
      </w:tr>
      <w:tr>
        <w:tblPrEx>
          <w:tblCellMar>
            <w:top w:w="0" w:type="dxa"/>
            <w:left w:w="108" w:type="dxa"/>
            <w:bottom w:w="0" w:type="dxa"/>
            <w:right w:w="108" w:type="dxa"/>
          </w:tblCellMar>
        </w:tblPrEx>
        <w:tc>
          <w:tcPr>
            <w:tcW w:w="4320" w:type="dxa"/>
          </w:tcPr>
          <w:p>
            <w:pPr>
              <w:spacing w:line="380" w:lineRule="exact"/>
              <w:ind w:left="173" w:hanging="173"/>
              <w:rPr>
                <w:rFonts w:ascii="Arial" w:hAnsi="Arial" w:cs="Arial"/>
                <w:sz w:val="18"/>
                <w:szCs w:val="18"/>
                <w:u w:val="single"/>
              </w:rPr>
            </w:pPr>
            <w:r>
              <w:rPr>
                <w:rFonts w:ascii="Arial" w:hAnsi="Arial" w:cs="Arial"/>
                <w:sz w:val="18"/>
                <w:szCs w:val="18"/>
                <w:u w:val="single"/>
              </w:rPr>
              <w:t>Transactions with parent company</w:t>
            </w:r>
          </w:p>
        </w:tc>
        <w:tc>
          <w:tcPr>
            <w:tcW w:w="1890" w:type="dxa"/>
            <w:vAlign w:val="bottom"/>
          </w:tcPr>
          <w:p>
            <w:pPr>
              <w:tabs>
                <w:tab w:val="decimal" w:pos="881"/>
              </w:tabs>
              <w:spacing w:line="380" w:lineRule="exact"/>
              <w:rPr>
                <w:rFonts w:ascii="Arial" w:hAnsi="Arial" w:cs="Arial"/>
                <w:spacing w:val="-4"/>
                <w:sz w:val="18"/>
                <w:szCs w:val="18"/>
                <w:u w:val="single"/>
              </w:rPr>
            </w:pPr>
          </w:p>
        </w:tc>
        <w:tc>
          <w:tcPr>
            <w:tcW w:w="1440" w:type="dxa"/>
            <w:vAlign w:val="bottom"/>
          </w:tcPr>
          <w:p>
            <w:pPr>
              <w:spacing w:line="380" w:lineRule="exact"/>
              <w:jc w:val="center"/>
              <w:rPr>
                <w:rFonts w:ascii="Arial" w:hAnsi="Arial" w:cs="Arial"/>
                <w:spacing w:val="-4"/>
                <w:sz w:val="18"/>
                <w:szCs w:val="18"/>
                <w:u w:val="single"/>
              </w:rPr>
            </w:pPr>
          </w:p>
        </w:tc>
        <w:tc>
          <w:tcPr>
            <w:tcW w:w="1445" w:type="dxa"/>
            <w:vAlign w:val="bottom"/>
          </w:tcPr>
          <w:p>
            <w:pPr>
              <w:spacing w:line="380" w:lineRule="exact"/>
              <w:jc w:val="center"/>
              <w:rPr>
                <w:rFonts w:ascii="Arial" w:hAnsi="Arial" w:cs="Arial"/>
                <w:spacing w:val="-4"/>
                <w:sz w:val="18"/>
                <w:szCs w:val="18"/>
                <w:u w:val="single"/>
              </w:rPr>
            </w:pPr>
          </w:p>
        </w:tc>
      </w:tr>
      <w:tr>
        <w:tblPrEx>
          <w:tblCellMar>
            <w:top w:w="0" w:type="dxa"/>
            <w:left w:w="108" w:type="dxa"/>
            <w:bottom w:w="0" w:type="dxa"/>
            <w:right w:w="108" w:type="dxa"/>
          </w:tblCellMar>
        </w:tblPrEx>
        <w:tc>
          <w:tcPr>
            <w:tcW w:w="4320" w:type="dxa"/>
          </w:tcPr>
          <w:p>
            <w:pPr>
              <w:spacing w:line="380" w:lineRule="exact"/>
              <w:ind w:left="173" w:hanging="173"/>
              <w:rPr>
                <w:rFonts w:ascii="Arial" w:hAnsi="Arial" w:cs="Arial"/>
                <w:sz w:val="18"/>
                <w:szCs w:val="18"/>
                <w:cs/>
              </w:rPr>
            </w:pPr>
            <w:r>
              <w:rPr>
                <w:rFonts w:ascii="Arial" w:hAnsi="Arial" w:cs="Arial"/>
                <w:sz w:val="18"/>
                <w:szCs w:val="18"/>
              </w:rPr>
              <w:t>Rental and services income</w:t>
            </w:r>
          </w:p>
        </w:tc>
        <w:tc>
          <w:tcPr>
            <w:tcW w:w="1890" w:type="dxa"/>
          </w:tcPr>
          <w:p>
            <w:pPr>
              <w:tabs>
                <w:tab w:val="decimal" w:pos="1157"/>
              </w:tabs>
              <w:spacing w:line="380" w:lineRule="exact"/>
              <w:rPr>
                <w:rFonts w:ascii="Arial" w:hAnsi="Arial" w:cs="Arial"/>
                <w:spacing w:val="-4"/>
                <w:sz w:val="18"/>
                <w:szCs w:val="18"/>
              </w:rPr>
            </w:pPr>
            <w:r>
              <w:rPr>
                <w:rFonts w:ascii="Arial" w:hAnsi="Arial" w:cs="Arial"/>
                <w:spacing w:val="-5"/>
                <w:sz w:val="18"/>
                <w:szCs w:val="18"/>
              </w:rPr>
              <w:t>97</w:t>
            </w:r>
          </w:p>
        </w:tc>
        <w:tc>
          <w:tcPr>
            <w:tcW w:w="1440" w:type="dxa"/>
          </w:tcPr>
          <w:p>
            <w:pPr>
              <w:tabs>
                <w:tab w:val="decimal" w:pos="966"/>
              </w:tabs>
              <w:spacing w:line="380" w:lineRule="exact"/>
              <w:rPr>
                <w:rFonts w:ascii="Arial" w:hAnsi="Arial" w:cs="Arial"/>
                <w:spacing w:val="-4"/>
                <w:sz w:val="18"/>
                <w:szCs w:val="18"/>
              </w:rPr>
            </w:pPr>
            <w:r>
              <w:rPr>
                <w:rFonts w:ascii="Arial" w:hAnsi="Arial" w:cs="Arial"/>
                <w:spacing w:val="-5"/>
                <w:sz w:val="18"/>
                <w:szCs w:val="18"/>
              </w:rPr>
              <w:t>97</w:t>
            </w:r>
          </w:p>
        </w:tc>
        <w:tc>
          <w:tcPr>
            <w:tcW w:w="1445"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97</w:t>
            </w:r>
          </w:p>
        </w:tc>
      </w:tr>
      <w:tr>
        <w:tblPrEx>
          <w:tblCellMar>
            <w:top w:w="0" w:type="dxa"/>
            <w:left w:w="108" w:type="dxa"/>
            <w:bottom w:w="0" w:type="dxa"/>
            <w:right w:w="108" w:type="dxa"/>
          </w:tblCellMar>
        </w:tblPrEx>
        <w:tc>
          <w:tcPr>
            <w:tcW w:w="4320" w:type="dxa"/>
          </w:tcPr>
          <w:p>
            <w:pPr>
              <w:spacing w:line="380" w:lineRule="exact"/>
              <w:ind w:left="173" w:hanging="173"/>
              <w:rPr>
                <w:rFonts w:ascii="Arial" w:hAnsi="Arial" w:cs="Arial"/>
                <w:sz w:val="18"/>
                <w:szCs w:val="18"/>
              </w:rPr>
            </w:pPr>
            <w:r>
              <w:rPr>
                <w:rFonts w:ascii="Arial" w:hAnsi="Arial" w:cs="Arial"/>
                <w:sz w:val="18"/>
                <w:szCs w:val="18"/>
              </w:rPr>
              <w:t>Advisory income</w:t>
            </w:r>
            <w:r>
              <w:rPr>
                <w:rFonts w:ascii="Arial" w:hAnsi="Arial" w:cs="Arial"/>
                <w:sz w:val="18"/>
                <w:szCs w:val="18"/>
                <w:vertAlign w:val="superscript"/>
              </w:rPr>
              <w:t>*</w:t>
            </w:r>
          </w:p>
        </w:tc>
        <w:tc>
          <w:tcPr>
            <w:tcW w:w="1890" w:type="dxa"/>
          </w:tcPr>
          <w:p>
            <w:pPr>
              <w:tabs>
                <w:tab w:val="decimal" w:pos="1157"/>
              </w:tabs>
              <w:spacing w:line="380" w:lineRule="exact"/>
              <w:rPr>
                <w:rFonts w:ascii="Arial" w:hAnsi="Arial" w:cs="Arial"/>
                <w:spacing w:val="-4"/>
                <w:sz w:val="18"/>
                <w:szCs w:val="18"/>
              </w:rPr>
            </w:pPr>
            <w:r>
              <w:rPr>
                <w:rFonts w:ascii="Arial" w:hAnsi="Arial" w:cs="Arial"/>
                <w:spacing w:val="-5"/>
                <w:sz w:val="18"/>
                <w:szCs w:val="18"/>
              </w:rPr>
              <w:t>77</w:t>
            </w:r>
          </w:p>
        </w:tc>
        <w:tc>
          <w:tcPr>
            <w:tcW w:w="1440" w:type="dxa"/>
          </w:tcPr>
          <w:p>
            <w:pPr>
              <w:tabs>
                <w:tab w:val="decimal" w:pos="966"/>
              </w:tabs>
              <w:spacing w:line="380" w:lineRule="exact"/>
              <w:rPr>
                <w:rFonts w:ascii="Arial" w:hAnsi="Arial" w:cs="Arial"/>
                <w:spacing w:val="-4"/>
                <w:sz w:val="18"/>
                <w:szCs w:val="18"/>
              </w:rPr>
            </w:pPr>
            <w:r>
              <w:rPr>
                <w:rFonts w:ascii="Arial" w:hAnsi="Arial" w:cs="Arial"/>
                <w:spacing w:val="-5"/>
                <w:sz w:val="18"/>
                <w:szCs w:val="18"/>
              </w:rPr>
              <w:t>77</w:t>
            </w:r>
          </w:p>
        </w:tc>
        <w:tc>
          <w:tcPr>
            <w:tcW w:w="1445"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w:t>
            </w:r>
          </w:p>
        </w:tc>
      </w:tr>
      <w:tr>
        <w:tblPrEx>
          <w:tblCellMar>
            <w:top w:w="0" w:type="dxa"/>
            <w:left w:w="108" w:type="dxa"/>
            <w:bottom w:w="0" w:type="dxa"/>
            <w:right w:w="108" w:type="dxa"/>
          </w:tblCellMar>
        </w:tblPrEx>
        <w:trPr>
          <w:trHeight w:val="261" w:hRule="atLeast"/>
        </w:trPr>
        <w:tc>
          <w:tcPr>
            <w:tcW w:w="4320" w:type="dxa"/>
          </w:tcPr>
          <w:p>
            <w:pPr>
              <w:spacing w:line="380" w:lineRule="exact"/>
              <w:ind w:left="173" w:hanging="173"/>
              <w:rPr>
                <w:rFonts w:ascii="Arial" w:hAnsi="Arial" w:cs="Arial"/>
                <w:sz w:val="18"/>
                <w:szCs w:val="18"/>
              </w:rPr>
            </w:pPr>
            <w:r>
              <w:rPr>
                <w:rFonts w:ascii="Arial" w:hAnsi="Arial" w:cs="Arial"/>
                <w:sz w:val="18"/>
                <w:szCs w:val="18"/>
                <w:u w:val="single"/>
              </w:rPr>
              <w:t>Transactions with related company</w:t>
            </w:r>
          </w:p>
        </w:tc>
        <w:tc>
          <w:tcPr>
            <w:tcW w:w="1890" w:type="dxa"/>
          </w:tcPr>
          <w:p>
            <w:pPr>
              <w:tabs>
                <w:tab w:val="decimal" w:pos="1157"/>
              </w:tabs>
              <w:spacing w:line="380" w:lineRule="exact"/>
              <w:rPr>
                <w:rFonts w:ascii="Arial" w:hAnsi="Arial" w:cs="Arial"/>
                <w:spacing w:val="-4"/>
                <w:sz w:val="18"/>
                <w:szCs w:val="18"/>
              </w:rPr>
            </w:pPr>
          </w:p>
        </w:tc>
        <w:tc>
          <w:tcPr>
            <w:tcW w:w="1440" w:type="dxa"/>
          </w:tcPr>
          <w:p>
            <w:pPr>
              <w:tabs>
                <w:tab w:val="decimal" w:pos="966"/>
              </w:tabs>
              <w:spacing w:line="380" w:lineRule="exact"/>
              <w:rPr>
                <w:rFonts w:ascii="Arial" w:hAnsi="Arial" w:cs="Arial"/>
                <w:spacing w:val="-4"/>
                <w:sz w:val="18"/>
                <w:szCs w:val="18"/>
              </w:rPr>
            </w:pPr>
          </w:p>
        </w:tc>
        <w:tc>
          <w:tcPr>
            <w:tcW w:w="1445" w:type="dxa"/>
          </w:tcPr>
          <w:p>
            <w:pPr>
              <w:tabs>
                <w:tab w:val="decimal" w:pos="966"/>
              </w:tabs>
              <w:spacing w:line="380" w:lineRule="exact"/>
              <w:rPr>
                <w:rFonts w:ascii="Arial" w:hAnsi="Arial" w:cs="Arial"/>
                <w:spacing w:val="-5"/>
                <w:sz w:val="18"/>
                <w:szCs w:val="18"/>
              </w:rPr>
            </w:pPr>
          </w:p>
        </w:tc>
      </w:tr>
      <w:tr>
        <w:tblPrEx>
          <w:tblCellMar>
            <w:top w:w="0" w:type="dxa"/>
            <w:left w:w="108" w:type="dxa"/>
            <w:bottom w:w="0" w:type="dxa"/>
            <w:right w:w="108" w:type="dxa"/>
          </w:tblCellMar>
        </w:tblPrEx>
        <w:trPr>
          <w:trHeight w:val="261" w:hRule="atLeast"/>
        </w:trPr>
        <w:tc>
          <w:tcPr>
            <w:tcW w:w="4320" w:type="dxa"/>
          </w:tcPr>
          <w:p>
            <w:pPr>
              <w:spacing w:line="380" w:lineRule="exact"/>
              <w:ind w:left="173" w:hanging="173"/>
              <w:rPr>
                <w:rFonts w:ascii="Arial" w:hAnsi="Arial" w:cs="Browallia New"/>
                <w:sz w:val="18"/>
                <w:szCs w:val="22"/>
              </w:rPr>
            </w:pPr>
            <w:r>
              <w:rPr>
                <w:rFonts w:ascii="Arial" w:hAnsi="Arial" w:cs="Browallia New"/>
                <w:sz w:val="18"/>
                <w:szCs w:val="22"/>
              </w:rPr>
              <w:t>Rental and services income</w:t>
            </w:r>
          </w:p>
        </w:tc>
        <w:tc>
          <w:tcPr>
            <w:tcW w:w="1890" w:type="dxa"/>
          </w:tcPr>
          <w:p>
            <w:pPr>
              <w:tabs>
                <w:tab w:val="decimal" w:pos="1157"/>
              </w:tabs>
              <w:spacing w:line="380" w:lineRule="exact"/>
              <w:rPr>
                <w:rFonts w:ascii="Arial" w:hAnsi="Arial" w:cs="Arial"/>
                <w:spacing w:val="-4"/>
                <w:sz w:val="18"/>
                <w:szCs w:val="18"/>
              </w:rPr>
            </w:pPr>
            <w:r>
              <w:rPr>
                <w:rFonts w:ascii="Arial" w:hAnsi="Arial" w:cs="Arial"/>
                <w:spacing w:val="-5"/>
                <w:sz w:val="18"/>
                <w:szCs w:val="18"/>
              </w:rPr>
              <w:t>65</w:t>
            </w:r>
          </w:p>
        </w:tc>
        <w:tc>
          <w:tcPr>
            <w:tcW w:w="1440" w:type="dxa"/>
          </w:tcPr>
          <w:p>
            <w:pPr>
              <w:tabs>
                <w:tab w:val="decimal" w:pos="966"/>
              </w:tabs>
              <w:spacing w:line="380" w:lineRule="exact"/>
              <w:rPr>
                <w:rFonts w:ascii="Arial" w:hAnsi="Arial" w:cs="Arial"/>
                <w:spacing w:val="-4"/>
                <w:sz w:val="18"/>
                <w:szCs w:val="18"/>
              </w:rPr>
            </w:pPr>
            <w:r>
              <w:rPr>
                <w:rFonts w:ascii="Arial" w:hAnsi="Arial" w:cs="Arial"/>
                <w:spacing w:val="-5"/>
                <w:sz w:val="18"/>
                <w:szCs w:val="18"/>
              </w:rPr>
              <w:t>65</w:t>
            </w:r>
          </w:p>
        </w:tc>
        <w:tc>
          <w:tcPr>
            <w:tcW w:w="1445"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65</w:t>
            </w:r>
          </w:p>
        </w:tc>
      </w:tr>
      <w:tr>
        <w:tblPrEx>
          <w:tblCellMar>
            <w:top w:w="0" w:type="dxa"/>
            <w:left w:w="108" w:type="dxa"/>
            <w:bottom w:w="0" w:type="dxa"/>
            <w:right w:w="108" w:type="dxa"/>
          </w:tblCellMar>
        </w:tblPrEx>
        <w:trPr>
          <w:trHeight w:val="261" w:hRule="atLeast"/>
        </w:trPr>
        <w:tc>
          <w:tcPr>
            <w:tcW w:w="4320" w:type="dxa"/>
          </w:tcPr>
          <w:p>
            <w:pPr>
              <w:spacing w:line="380" w:lineRule="exact"/>
              <w:ind w:left="173" w:hanging="173"/>
              <w:rPr>
                <w:rFonts w:ascii="Arial" w:hAnsi="Arial" w:cs="Browallia New"/>
                <w:sz w:val="18"/>
                <w:szCs w:val="22"/>
              </w:rPr>
            </w:pPr>
            <w:r>
              <w:rPr>
                <w:rFonts w:ascii="Arial" w:hAnsi="Arial" w:cs="Arial"/>
                <w:sz w:val="18"/>
                <w:szCs w:val="18"/>
              </w:rPr>
              <w:t>Advisory income</w:t>
            </w:r>
            <w:r>
              <w:rPr>
                <w:rFonts w:ascii="Arial" w:hAnsi="Arial" w:cs="Arial"/>
                <w:sz w:val="18"/>
                <w:szCs w:val="18"/>
                <w:vertAlign w:val="superscript"/>
              </w:rPr>
              <w:t>*</w:t>
            </w:r>
          </w:p>
        </w:tc>
        <w:tc>
          <w:tcPr>
            <w:tcW w:w="1890" w:type="dxa"/>
          </w:tcPr>
          <w:p>
            <w:pPr>
              <w:tabs>
                <w:tab w:val="decimal" w:pos="1157"/>
              </w:tabs>
              <w:spacing w:line="380" w:lineRule="exact"/>
              <w:rPr>
                <w:rFonts w:ascii="Arial" w:hAnsi="Arial" w:cs="Arial"/>
                <w:spacing w:val="-4"/>
                <w:sz w:val="18"/>
                <w:szCs w:val="18"/>
              </w:rPr>
            </w:pPr>
            <w:r>
              <w:rPr>
                <w:rFonts w:ascii="Arial" w:hAnsi="Arial" w:cs="Arial"/>
                <w:spacing w:val="-5"/>
                <w:sz w:val="18"/>
                <w:szCs w:val="18"/>
              </w:rPr>
              <w:t>178</w:t>
            </w:r>
          </w:p>
        </w:tc>
        <w:tc>
          <w:tcPr>
            <w:tcW w:w="1440" w:type="dxa"/>
          </w:tcPr>
          <w:p>
            <w:pPr>
              <w:tabs>
                <w:tab w:val="decimal" w:pos="966"/>
              </w:tabs>
              <w:spacing w:line="380" w:lineRule="exact"/>
              <w:rPr>
                <w:rFonts w:ascii="Arial" w:hAnsi="Arial" w:cs="Arial"/>
                <w:spacing w:val="-4"/>
                <w:sz w:val="18"/>
                <w:szCs w:val="18"/>
              </w:rPr>
            </w:pPr>
            <w:r>
              <w:rPr>
                <w:rFonts w:ascii="Arial" w:hAnsi="Arial" w:cs="Arial"/>
                <w:spacing w:val="-5"/>
                <w:sz w:val="18"/>
                <w:szCs w:val="18"/>
              </w:rPr>
              <w:t>178</w:t>
            </w:r>
          </w:p>
        </w:tc>
        <w:tc>
          <w:tcPr>
            <w:tcW w:w="1445"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w:t>
            </w:r>
          </w:p>
        </w:tc>
      </w:tr>
    </w:tbl>
    <w:p>
      <w:pPr>
        <w:overflowPunct/>
        <w:autoSpaceDE/>
        <w:autoSpaceDN/>
        <w:adjustRightInd/>
        <w:spacing w:line="380" w:lineRule="exact"/>
        <w:textAlignment w:val="auto"/>
        <w:rPr>
          <w:rFonts w:ascii="Arial" w:hAnsi="Arial" w:cs="Arial"/>
          <w:sz w:val="22"/>
          <w:szCs w:val="22"/>
        </w:rPr>
      </w:pPr>
    </w:p>
    <w:tbl>
      <w:tblPr>
        <w:tblStyle w:val="8"/>
        <w:tblW w:w="9090" w:type="dxa"/>
        <w:tblInd w:w="450" w:type="dxa"/>
        <w:tblLayout w:type="fixed"/>
        <w:tblCellMar>
          <w:top w:w="0" w:type="dxa"/>
          <w:left w:w="108" w:type="dxa"/>
          <w:bottom w:w="0" w:type="dxa"/>
          <w:right w:w="108" w:type="dxa"/>
        </w:tblCellMar>
      </w:tblPr>
      <w:tblGrid>
        <w:gridCol w:w="4320"/>
        <w:gridCol w:w="1890"/>
        <w:gridCol w:w="1440"/>
        <w:gridCol w:w="1440"/>
      </w:tblGrid>
      <w:tr>
        <w:trPr>
          <w:trHeight w:val="80" w:hRule="atLeast"/>
          <w:tblHeader/>
        </w:trPr>
        <w:tc>
          <w:tcPr>
            <w:tcW w:w="4320" w:type="dxa"/>
            <w:vAlign w:val="bottom"/>
          </w:tcPr>
          <w:p>
            <w:pPr>
              <w:spacing w:line="380" w:lineRule="exact"/>
              <w:jc w:val="center"/>
              <w:rPr>
                <w:rFonts w:ascii="Arial" w:hAnsi="Arial" w:cs="Arial"/>
                <w:spacing w:val="-4"/>
                <w:sz w:val="18"/>
                <w:szCs w:val="18"/>
              </w:rPr>
            </w:pPr>
          </w:p>
        </w:tc>
        <w:tc>
          <w:tcPr>
            <w:tcW w:w="4770" w:type="dxa"/>
            <w:gridSpan w:val="3"/>
            <w:vAlign w:val="bottom"/>
          </w:tcPr>
          <w:p>
            <w:pPr>
              <w:tabs>
                <w:tab w:val="decimal" w:pos="493"/>
              </w:tabs>
              <w:spacing w:line="380" w:lineRule="exact"/>
              <w:jc w:val="right"/>
              <w:rPr>
                <w:rFonts w:ascii="Arial" w:hAnsi="Arial" w:cs="Arial"/>
                <w:sz w:val="18"/>
                <w:szCs w:val="18"/>
              </w:rPr>
            </w:pPr>
            <w:r>
              <w:rPr>
                <w:rFonts w:ascii="Arial" w:hAnsi="Arial" w:cs="Arial"/>
                <w:sz w:val="18"/>
                <w:szCs w:val="18"/>
              </w:rPr>
              <w:t>(Unit: Thousand Baht)</w:t>
            </w:r>
          </w:p>
        </w:tc>
      </w:tr>
      <w:tr>
        <w:tblPrEx>
          <w:tblCellMar>
            <w:top w:w="0" w:type="dxa"/>
            <w:left w:w="108" w:type="dxa"/>
            <w:bottom w:w="0" w:type="dxa"/>
            <w:right w:w="108" w:type="dxa"/>
          </w:tblCellMar>
        </w:tblPrEx>
        <w:trPr>
          <w:trHeight w:val="80" w:hRule="atLeast"/>
          <w:tblHeader/>
        </w:trPr>
        <w:tc>
          <w:tcPr>
            <w:tcW w:w="4320" w:type="dxa"/>
            <w:vAlign w:val="bottom"/>
          </w:tcPr>
          <w:p>
            <w:pPr>
              <w:spacing w:line="380" w:lineRule="exact"/>
              <w:jc w:val="center"/>
              <w:rPr>
                <w:rFonts w:ascii="Arial" w:hAnsi="Arial" w:cs="Arial"/>
                <w:spacing w:val="-4"/>
                <w:sz w:val="18"/>
                <w:szCs w:val="18"/>
              </w:rPr>
            </w:pPr>
          </w:p>
        </w:tc>
        <w:tc>
          <w:tcPr>
            <w:tcW w:w="4770" w:type="dxa"/>
            <w:gridSpan w:val="3"/>
            <w:vAlign w:val="bottom"/>
          </w:tcPr>
          <w:p>
            <w:pPr>
              <w:pBdr>
                <w:bottom w:val="single" w:color="auto" w:sz="4" w:space="1"/>
              </w:pBdr>
              <w:tabs>
                <w:tab w:val="decimal" w:pos="493"/>
              </w:tabs>
              <w:spacing w:line="380" w:lineRule="exact"/>
              <w:jc w:val="center"/>
              <w:rPr>
                <w:rFonts w:ascii="Arial" w:hAnsi="Arial" w:cs="Arial"/>
                <w:sz w:val="18"/>
                <w:szCs w:val="18"/>
                <w:cs/>
              </w:rPr>
            </w:pPr>
            <w:r>
              <w:rPr>
                <w:rFonts w:ascii="Arial" w:hAnsi="Arial" w:cs="Arial"/>
                <w:sz w:val="18"/>
                <w:szCs w:val="18"/>
              </w:rPr>
              <w:t>For the nine-month periods ended 30 September</w:t>
            </w:r>
          </w:p>
        </w:tc>
      </w:tr>
      <w:tr>
        <w:tblPrEx>
          <w:tblCellMar>
            <w:top w:w="0" w:type="dxa"/>
            <w:left w:w="108" w:type="dxa"/>
            <w:bottom w:w="0" w:type="dxa"/>
            <w:right w:w="108" w:type="dxa"/>
          </w:tblCellMar>
        </w:tblPrEx>
        <w:trPr>
          <w:tblHeader/>
        </w:trPr>
        <w:tc>
          <w:tcPr>
            <w:tcW w:w="4320" w:type="dxa"/>
            <w:vAlign w:val="bottom"/>
          </w:tcPr>
          <w:p>
            <w:pPr>
              <w:spacing w:line="380" w:lineRule="exact"/>
              <w:jc w:val="center"/>
              <w:rPr>
                <w:rFonts w:ascii="Arial" w:hAnsi="Arial" w:cs="Arial"/>
                <w:spacing w:val="-4"/>
                <w:sz w:val="18"/>
                <w:szCs w:val="18"/>
              </w:rPr>
            </w:pPr>
          </w:p>
        </w:tc>
        <w:tc>
          <w:tcPr>
            <w:tcW w:w="1890" w:type="dxa"/>
            <w:vAlign w:val="bottom"/>
          </w:tcPr>
          <w:p>
            <w:pPr>
              <w:pStyle w:val="6"/>
              <w:pBdr>
                <w:bottom w:val="single" w:color="auto" w:sz="4" w:space="1"/>
              </w:pBdr>
              <w:spacing w:line="380" w:lineRule="exact"/>
              <w:jc w:val="center"/>
              <w:rPr>
                <w:rFonts w:ascii="Arial" w:hAnsi="Arial" w:cs="Arial"/>
                <w:b w:val="0"/>
                <w:bCs w:val="0"/>
                <w:i/>
                <w:iCs/>
                <w:sz w:val="18"/>
                <w:szCs w:val="18"/>
                <w:u w:val="none"/>
              </w:rPr>
            </w:pPr>
            <w:r>
              <w:rPr>
                <w:rFonts w:ascii="Arial" w:hAnsi="Arial" w:cs="Arial"/>
                <w:b w:val="0"/>
                <w:bCs w:val="0"/>
                <w:sz w:val="18"/>
                <w:szCs w:val="18"/>
                <w:u w:val="none"/>
              </w:rPr>
              <w:t>Consolidated                 financial statements</w:t>
            </w:r>
          </w:p>
        </w:tc>
        <w:tc>
          <w:tcPr>
            <w:tcW w:w="2880" w:type="dxa"/>
            <w:gridSpan w:val="2"/>
            <w:vAlign w:val="bottom"/>
          </w:tcPr>
          <w:p>
            <w:pPr>
              <w:pStyle w:val="6"/>
              <w:pBdr>
                <w:bottom w:val="single" w:color="auto" w:sz="4" w:space="1"/>
              </w:pBdr>
              <w:spacing w:line="380" w:lineRule="exact"/>
              <w:jc w:val="center"/>
              <w:rPr>
                <w:rFonts w:ascii="Arial" w:hAnsi="Arial" w:cs="Arial"/>
                <w:b w:val="0"/>
                <w:bCs w:val="0"/>
                <w:i/>
                <w:iCs/>
                <w:sz w:val="18"/>
                <w:szCs w:val="18"/>
                <w:u w:val="none"/>
              </w:rPr>
            </w:pPr>
            <w:r>
              <w:rPr>
                <w:rFonts w:ascii="Arial" w:hAnsi="Arial" w:cs="Arial"/>
                <w:b w:val="0"/>
                <w:bCs w:val="0"/>
                <w:sz w:val="18"/>
                <w:szCs w:val="18"/>
                <w:u w:val="none"/>
              </w:rPr>
              <w:t>Separate                          financial statements</w:t>
            </w:r>
          </w:p>
        </w:tc>
      </w:tr>
      <w:tr>
        <w:tblPrEx>
          <w:tblCellMar>
            <w:top w:w="0" w:type="dxa"/>
            <w:left w:w="108" w:type="dxa"/>
            <w:bottom w:w="0" w:type="dxa"/>
            <w:right w:w="108" w:type="dxa"/>
          </w:tblCellMar>
        </w:tblPrEx>
        <w:trPr>
          <w:tblHeader/>
        </w:trPr>
        <w:tc>
          <w:tcPr>
            <w:tcW w:w="4320" w:type="dxa"/>
            <w:vAlign w:val="bottom"/>
          </w:tcPr>
          <w:p>
            <w:pPr>
              <w:spacing w:line="380" w:lineRule="exact"/>
              <w:jc w:val="center"/>
              <w:rPr>
                <w:rFonts w:ascii="Arial" w:hAnsi="Arial" w:cs="Arial"/>
                <w:spacing w:val="-4"/>
                <w:sz w:val="18"/>
                <w:szCs w:val="18"/>
              </w:rPr>
            </w:pPr>
          </w:p>
        </w:tc>
        <w:tc>
          <w:tcPr>
            <w:tcW w:w="1890" w:type="dxa"/>
            <w:vAlign w:val="bottom"/>
          </w:tcPr>
          <w:p>
            <w:pPr>
              <w:spacing w:line="380" w:lineRule="exact"/>
              <w:jc w:val="center"/>
              <w:rPr>
                <w:rFonts w:ascii="Arial" w:hAnsi="Arial" w:cs="Arial"/>
                <w:spacing w:val="-4"/>
                <w:sz w:val="18"/>
                <w:szCs w:val="18"/>
                <w:u w:val="single"/>
              </w:rPr>
            </w:pPr>
            <w:r>
              <w:rPr>
                <w:rFonts w:ascii="Arial" w:hAnsi="Arial" w:cs="Arial"/>
                <w:spacing w:val="-4"/>
                <w:sz w:val="18"/>
                <w:szCs w:val="18"/>
                <w:u w:val="single"/>
              </w:rPr>
              <w:t>2022</w:t>
            </w:r>
          </w:p>
        </w:tc>
        <w:tc>
          <w:tcPr>
            <w:tcW w:w="1440" w:type="dxa"/>
            <w:vAlign w:val="bottom"/>
          </w:tcPr>
          <w:p>
            <w:pPr>
              <w:spacing w:line="380" w:lineRule="exact"/>
              <w:jc w:val="center"/>
              <w:rPr>
                <w:rFonts w:ascii="Arial" w:hAnsi="Arial" w:cs="Arial"/>
                <w:spacing w:val="-4"/>
                <w:sz w:val="18"/>
                <w:szCs w:val="18"/>
                <w:u w:val="single"/>
              </w:rPr>
            </w:pPr>
            <w:r>
              <w:rPr>
                <w:rFonts w:ascii="Arial" w:hAnsi="Arial" w:cs="Arial"/>
                <w:spacing w:val="-4"/>
                <w:sz w:val="18"/>
                <w:szCs w:val="18"/>
                <w:u w:val="single"/>
              </w:rPr>
              <w:t>2022</w:t>
            </w:r>
          </w:p>
        </w:tc>
        <w:tc>
          <w:tcPr>
            <w:tcW w:w="1440" w:type="dxa"/>
            <w:vAlign w:val="bottom"/>
          </w:tcPr>
          <w:p>
            <w:pPr>
              <w:spacing w:line="380" w:lineRule="exact"/>
              <w:jc w:val="center"/>
              <w:rPr>
                <w:rFonts w:ascii="Arial" w:hAnsi="Arial" w:cs="Arial"/>
                <w:spacing w:val="-4"/>
                <w:sz w:val="18"/>
                <w:szCs w:val="18"/>
                <w:u w:val="single"/>
              </w:rPr>
            </w:pPr>
            <w:r>
              <w:rPr>
                <w:rFonts w:ascii="Arial" w:hAnsi="Arial" w:cs="Arial"/>
                <w:spacing w:val="-4"/>
                <w:sz w:val="18"/>
                <w:szCs w:val="18"/>
                <w:u w:val="single"/>
              </w:rPr>
              <w:t>2021</w:t>
            </w:r>
          </w:p>
        </w:tc>
      </w:tr>
      <w:tr>
        <w:tblPrEx>
          <w:tblCellMar>
            <w:top w:w="0" w:type="dxa"/>
            <w:left w:w="108" w:type="dxa"/>
            <w:bottom w:w="0" w:type="dxa"/>
            <w:right w:w="108" w:type="dxa"/>
          </w:tblCellMar>
        </w:tblPrEx>
        <w:tc>
          <w:tcPr>
            <w:tcW w:w="4320" w:type="dxa"/>
          </w:tcPr>
          <w:p>
            <w:pPr>
              <w:spacing w:line="380" w:lineRule="exact"/>
              <w:ind w:left="173" w:hanging="173"/>
              <w:rPr>
                <w:rFonts w:ascii="Arial" w:hAnsi="Arial" w:cs="Arial"/>
                <w:sz w:val="18"/>
                <w:szCs w:val="18"/>
                <w:u w:val="single"/>
              </w:rPr>
            </w:pPr>
            <w:r>
              <w:rPr>
                <w:rFonts w:ascii="Arial" w:hAnsi="Arial" w:cs="Arial"/>
                <w:sz w:val="18"/>
                <w:szCs w:val="18"/>
                <w:u w:val="single"/>
              </w:rPr>
              <w:t>Transactions with parent company</w:t>
            </w:r>
          </w:p>
        </w:tc>
        <w:tc>
          <w:tcPr>
            <w:tcW w:w="1890" w:type="dxa"/>
            <w:vAlign w:val="bottom"/>
          </w:tcPr>
          <w:p>
            <w:pPr>
              <w:tabs>
                <w:tab w:val="decimal" w:pos="1157"/>
              </w:tabs>
              <w:spacing w:line="380" w:lineRule="exact"/>
              <w:rPr>
                <w:rFonts w:ascii="Arial" w:hAnsi="Arial" w:cs="Arial"/>
                <w:spacing w:val="-5"/>
                <w:sz w:val="18"/>
                <w:szCs w:val="18"/>
              </w:rPr>
            </w:pPr>
          </w:p>
        </w:tc>
        <w:tc>
          <w:tcPr>
            <w:tcW w:w="1440" w:type="dxa"/>
            <w:vAlign w:val="bottom"/>
          </w:tcPr>
          <w:p>
            <w:pPr>
              <w:spacing w:line="380" w:lineRule="exact"/>
              <w:jc w:val="center"/>
              <w:rPr>
                <w:rFonts w:ascii="Arial" w:hAnsi="Arial" w:cs="Arial"/>
                <w:spacing w:val="-4"/>
                <w:sz w:val="18"/>
                <w:szCs w:val="18"/>
                <w:u w:val="single"/>
              </w:rPr>
            </w:pPr>
          </w:p>
        </w:tc>
        <w:tc>
          <w:tcPr>
            <w:tcW w:w="1440" w:type="dxa"/>
            <w:vAlign w:val="bottom"/>
          </w:tcPr>
          <w:p>
            <w:pPr>
              <w:tabs>
                <w:tab w:val="decimal" w:pos="966"/>
              </w:tabs>
              <w:spacing w:line="380" w:lineRule="exact"/>
              <w:rPr>
                <w:rFonts w:ascii="Arial" w:hAnsi="Arial" w:cs="Arial"/>
                <w:spacing w:val="-5"/>
                <w:sz w:val="18"/>
                <w:szCs w:val="18"/>
              </w:rPr>
            </w:pPr>
          </w:p>
        </w:tc>
      </w:tr>
      <w:tr>
        <w:tblPrEx>
          <w:tblCellMar>
            <w:top w:w="0" w:type="dxa"/>
            <w:left w:w="108" w:type="dxa"/>
            <w:bottom w:w="0" w:type="dxa"/>
            <w:right w:w="108" w:type="dxa"/>
          </w:tblCellMar>
        </w:tblPrEx>
        <w:tc>
          <w:tcPr>
            <w:tcW w:w="4320" w:type="dxa"/>
          </w:tcPr>
          <w:p>
            <w:pPr>
              <w:spacing w:line="380" w:lineRule="exact"/>
              <w:ind w:left="173" w:hanging="173"/>
              <w:rPr>
                <w:rFonts w:ascii="Arial" w:hAnsi="Arial" w:cs="Arial"/>
                <w:sz w:val="18"/>
                <w:szCs w:val="18"/>
                <w:cs/>
              </w:rPr>
            </w:pPr>
            <w:r>
              <w:rPr>
                <w:rFonts w:ascii="Arial" w:hAnsi="Arial" w:cs="Arial"/>
                <w:sz w:val="18"/>
                <w:szCs w:val="18"/>
              </w:rPr>
              <w:t>Rental and services income</w:t>
            </w:r>
          </w:p>
        </w:tc>
        <w:tc>
          <w:tcPr>
            <w:tcW w:w="1890" w:type="dxa"/>
          </w:tcPr>
          <w:p>
            <w:pPr>
              <w:tabs>
                <w:tab w:val="decimal" w:pos="1157"/>
              </w:tabs>
              <w:spacing w:line="380" w:lineRule="exact"/>
              <w:rPr>
                <w:rFonts w:ascii="Arial" w:hAnsi="Arial" w:cs="Arial"/>
                <w:spacing w:val="-5"/>
                <w:sz w:val="18"/>
                <w:szCs w:val="18"/>
              </w:rPr>
            </w:pPr>
            <w:r>
              <w:rPr>
                <w:rFonts w:ascii="Arial" w:hAnsi="Arial" w:cs="Arial"/>
                <w:spacing w:val="-5"/>
                <w:sz w:val="18"/>
                <w:szCs w:val="18"/>
              </w:rPr>
              <w:t>289</w:t>
            </w:r>
          </w:p>
        </w:tc>
        <w:tc>
          <w:tcPr>
            <w:tcW w:w="1440"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289</w:t>
            </w:r>
          </w:p>
        </w:tc>
        <w:tc>
          <w:tcPr>
            <w:tcW w:w="1440"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289</w:t>
            </w:r>
          </w:p>
        </w:tc>
      </w:tr>
      <w:tr>
        <w:tblPrEx>
          <w:tblCellMar>
            <w:top w:w="0" w:type="dxa"/>
            <w:left w:w="108" w:type="dxa"/>
            <w:bottom w:w="0" w:type="dxa"/>
            <w:right w:w="108" w:type="dxa"/>
          </w:tblCellMar>
        </w:tblPrEx>
        <w:tc>
          <w:tcPr>
            <w:tcW w:w="4320" w:type="dxa"/>
          </w:tcPr>
          <w:p>
            <w:pPr>
              <w:spacing w:line="380" w:lineRule="exact"/>
              <w:ind w:left="173" w:hanging="173"/>
              <w:rPr>
                <w:rFonts w:ascii="Arial" w:hAnsi="Arial" w:cs="Arial"/>
                <w:sz w:val="18"/>
                <w:szCs w:val="18"/>
              </w:rPr>
            </w:pPr>
            <w:r>
              <w:rPr>
                <w:rFonts w:ascii="Arial" w:hAnsi="Arial" w:cs="Arial"/>
                <w:sz w:val="18"/>
                <w:szCs w:val="18"/>
              </w:rPr>
              <w:t>Advisory income</w:t>
            </w:r>
            <w:r>
              <w:rPr>
                <w:rFonts w:ascii="Arial" w:hAnsi="Arial" w:cs="Arial"/>
                <w:sz w:val="18"/>
                <w:szCs w:val="18"/>
                <w:vertAlign w:val="superscript"/>
              </w:rPr>
              <w:t>*</w:t>
            </w:r>
          </w:p>
        </w:tc>
        <w:tc>
          <w:tcPr>
            <w:tcW w:w="1890" w:type="dxa"/>
          </w:tcPr>
          <w:p>
            <w:pPr>
              <w:tabs>
                <w:tab w:val="decimal" w:pos="1157"/>
              </w:tabs>
              <w:spacing w:line="380" w:lineRule="exact"/>
              <w:rPr>
                <w:rFonts w:ascii="Arial" w:hAnsi="Arial" w:cs="Arial"/>
                <w:spacing w:val="-5"/>
                <w:sz w:val="18"/>
                <w:szCs w:val="18"/>
              </w:rPr>
            </w:pPr>
            <w:r>
              <w:rPr>
                <w:rFonts w:ascii="Arial" w:hAnsi="Arial" w:cs="Arial"/>
                <w:spacing w:val="-5"/>
                <w:sz w:val="18"/>
                <w:szCs w:val="18"/>
              </w:rPr>
              <w:t>77</w:t>
            </w:r>
          </w:p>
        </w:tc>
        <w:tc>
          <w:tcPr>
            <w:tcW w:w="1440"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77</w:t>
            </w:r>
          </w:p>
        </w:tc>
        <w:tc>
          <w:tcPr>
            <w:tcW w:w="1440"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w:t>
            </w:r>
          </w:p>
        </w:tc>
      </w:tr>
      <w:tr>
        <w:tblPrEx>
          <w:tblCellMar>
            <w:top w:w="0" w:type="dxa"/>
            <w:left w:w="108" w:type="dxa"/>
            <w:bottom w:w="0" w:type="dxa"/>
            <w:right w:w="108" w:type="dxa"/>
          </w:tblCellMar>
        </w:tblPrEx>
        <w:trPr>
          <w:trHeight w:val="261" w:hRule="atLeast"/>
        </w:trPr>
        <w:tc>
          <w:tcPr>
            <w:tcW w:w="4320" w:type="dxa"/>
          </w:tcPr>
          <w:p>
            <w:pPr>
              <w:spacing w:line="380" w:lineRule="exact"/>
              <w:ind w:left="173" w:hanging="173"/>
              <w:rPr>
                <w:rFonts w:ascii="Arial" w:hAnsi="Arial" w:cs="Arial"/>
                <w:sz w:val="18"/>
                <w:szCs w:val="18"/>
              </w:rPr>
            </w:pPr>
            <w:r>
              <w:rPr>
                <w:rFonts w:ascii="Arial" w:hAnsi="Arial" w:cs="Arial"/>
                <w:sz w:val="18"/>
                <w:szCs w:val="18"/>
                <w:u w:val="single"/>
              </w:rPr>
              <w:t>Transactions with related company</w:t>
            </w:r>
          </w:p>
        </w:tc>
        <w:tc>
          <w:tcPr>
            <w:tcW w:w="1890" w:type="dxa"/>
          </w:tcPr>
          <w:p>
            <w:pPr>
              <w:tabs>
                <w:tab w:val="decimal" w:pos="1157"/>
              </w:tabs>
              <w:spacing w:line="380" w:lineRule="exact"/>
              <w:rPr>
                <w:rFonts w:ascii="Arial" w:hAnsi="Arial" w:cs="Arial"/>
                <w:spacing w:val="-5"/>
                <w:sz w:val="18"/>
                <w:szCs w:val="18"/>
              </w:rPr>
            </w:pPr>
          </w:p>
        </w:tc>
        <w:tc>
          <w:tcPr>
            <w:tcW w:w="1440" w:type="dxa"/>
          </w:tcPr>
          <w:p>
            <w:pPr>
              <w:tabs>
                <w:tab w:val="decimal" w:pos="966"/>
              </w:tabs>
              <w:spacing w:line="380" w:lineRule="exact"/>
              <w:rPr>
                <w:rFonts w:ascii="Arial" w:hAnsi="Arial" w:cs="Arial"/>
                <w:spacing w:val="-5"/>
                <w:sz w:val="18"/>
                <w:szCs w:val="18"/>
              </w:rPr>
            </w:pPr>
          </w:p>
        </w:tc>
        <w:tc>
          <w:tcPr>
            <w:tcW w:w="1440" w:type="dxa"/>
          </w:tcPr>
          <w:p>
            <w:pPr>
              <w:tabs>
                <w:tab w:val="decimal" w:pos="966"/>
              </w:tabs>
              <w:spacing w:line="380" w:lineRule="exact"/>
              <w:rPr>
                <w:rFonts w:ascii="Arial" w:hAnsi="Arial" w:cs="Arial"/>
                <w:spacing w:val="-5"/>
                <w:sz w:val="18"/>
                <w:szCs w:val="18"/>
              </w:rPr>
            </w:pPr>
          </w:p>
        </w:tc>
      </w:tr>
      <w:tr>
        <w:tblPrEx>
          <w:tblCellMar>
            <w:top w:w="0" w:type="dxa"/>
            <w:left w:w="108" w:type="dxa"/>
            <w:bottom w:w="0" w:type="dxa"/>
            <w:right w:w="108" w:type="dxa"/>
          </w:tblCellMar>
        </w:tblPrEx>
        <w:trPr>
          <w:trHeight w:val="261" w:hRule="atLeast"/>
        </w:trPr>
        <w:tc>
          <w:tcPr>
            <w:tcW w:w="4320" w:type="dxa"/>
          </w:tcPr>
          <w:p>
            <w:pPr>
              <w:spacing w:line="380" w:lineRule="exact"/>
              <w:ind w:left="173" w:hanging="173"/>
              <w:rPr>
                <w:rFonts w:ascii="Arial" w:hAnsi="Arial" w:cs="Browallia New"/>
                <w:sz w:val="18"/>
                <w:szCs w:val="22"/>
              </w:rPr>
            </w:pPr>
            <w:r>
              <w:rPr>
                <w:rFonts w:ascii="Arial" w:hAnsi="Arial" w:cs="Browallia New"/>
                <w:sz w:val="18"/>
                <w:szCs w:val="22"/>
              </w:rPr>
              <w:t>Rental and services income</w:t>
            </w:r>
          </w:p>
        </w:tc>
        <w:tc>
          <w:tcPr>
            <w:tcW w:w="1890" w:type="dxa"/>
          </w:tcPr>
          <w:p>
            <w:pPr>
              <w:tabs>
                <w:tab w:val="decimal" w:pos="1157"/>
              </w:tabs>
              <w:spacing w:line="380" w:lineRule="exact"/>
              <w:rPr>
                <w:rFonts w:ascii="Arial" w:hAnsi="Arial" w:cs="Arial"/>
                <w:spacing w:val="-5"/>
                <w:sz w:val="18"/>
                <w:szCs w:val="18"/>
              </w:rPr>
            </w:pPr>
            <w:r>
              <w:rPr>
                <w:rFonts w:ascii="Arial" w:hAnsi="Arial" w:cs="Arial"/>
                <w:spacing w:val="-5"/>
                <w:sz w:val="18"/>
                <w:szCs w:val="18"/>
              </w:rPr>
              <w:t>194</w:t>
            </w:r>
          </w:p>
        </w:tc>
        <w:tc>
          <w:tcPr>
            <w:tcW w:w="1440"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194</w:t>
            </w:r>
          </w:p>
        </w:tc>
        <w:tc>
          <w:tcPr>
            <w:tcW w:w="1440"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194</w:t>
            </w:r>
          </w:p>
        </w:tc>
      </w:tr>
      <w:tr>
        <w:tblPrEx>
          <w:tblCellMar>
            <w:top w:w="0" w:type="dxa"/>
            <w:left w:w="108" w:type="dxa"/>
            <w:bottom w:w="0" w:type="dxa"/>
            <w:right w:w="108" w:type="dxa"/>
          </w:tblCellMar>
        </w:tblPrEx>
        <w:trPr>
          <w:trHeight w:val="261" w:hRule="atLeast"/>
        </w:trPr>
        <w:tc>
          <w:tcPr>
            <w:tcW w:w="4320" w:type="dxa"/>
          </w:tcPr>
          <w:p>
            <w:pPr>
              <w:spacing w:line="380" w:lineRule="exact"/>
              <w:ind w:left="173" w:hanging="173"/>
              <w:rPr>
                <w:rFonts w:ascii="Arial" w:hAnsi="Arial" w:cs="Browallia New"/>
                <w:sz w:val="18"/>
                <w:szCs w:val="22"/>
              </w:rPr>
            </w:pPr>
            <w:r>
              <w:rPr>
                <w:rFonts w:ascii="Arial" w:hAnsi="Arial" w:cs="Arial"/>
                <w:sz w:val="18"/>
                <w:szCs w:val="18"/>
              </w:rPr>
              <w:t>Advisory income</w:t>
            </w:r>
            <w:r>
              <w:rPr>
                <w:rFonts w:ascii="Arial" w:hAnsi="Arial" w:cs="Arial"/>
                <w:sz w:val="18"/>
                <w:szCs w:val="18"/>
                <w:vertAlign w:val="superscript"/>
              </w:rPr>
              <w:t>*</w:t>
            </w:r>
          </w:p>
        </w:tc>
        <w:tc>
          <w:tcPr>
            <w:tcW w:w="1890" w:type="dxa"/>
          </w:tcPr>
          <w:p>
            <w:pPr>
              <w:tabs>
                <w:tab w:val="decimal" w:pos="1157"/>
              </w:tabs>
              <w:spacing w:line="380" w:lineRule="exact"/>
              <w:rPr>
                <w:rFonts w:ascii="Arial" w:hAnsi="Arial" w:cs="Arial"/>
                <w:spacing w:val="-5"/>
                <w:sz w:val="18"/>
                <w:szCs w:val="18"/>
              </w:rPr>
            </w:pPr>
            <w:r>
              <w:rPr>
                <w:rFonts w:ascii="Arial" w:hAnsi="Arial" w:cs="Arial"/>
                <w:spacing w:val="-5"/>
                <w:sz w:val="18"/>
                <w:szCs w:val="18"/>
              </w:rPr>
              <w:t>178</w:t>
            </w:r>
          </w:p>
        </w:tc>
        <w:tc>
          <w:tcPr>
            <w:tcW w:w="1440"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178</w:t>
            </w:r>
          </w:p>
        </w:tc>
        <w:tc>
          <w:tcPr>
            <w:tcW w:w="1440" w:type="dxa"/>
          </w:tcPr>
          <w:p>
            <w:pPr>
              <w:tabs>
                <w:tab w:val="decimal" w:pos="966"/>
              </w:tabs>
              <w:spacing w:line="380" w:lineRule="exact"/>
              <w:rPr>
                <w:rFonts w:ascii="Arial" w:hAnsi="Arial" w:cs="Arial"/>
                <w:spacing w:val="-5"/>
                <w:sz w:val="18"/>
                <w:szCs w:val="18"/>
              </w:rPr>
            </w:pPr>
            <w:r>
              <w:rPr>
                <w:rFonts w:ascii="Arial" w:hAnsi="Arial" w:cs="Arial"/>
                <w:spacing w:val="-5"/>
                <w:sz w:val="18"/>
                <w:szCs w:val="18"/>
              </w:rPr>
              <w:t>-</w:t>
            </w:r>
          </w:p>
        </w:tc>
      </w:tr>
      <w:tr>
        <w:tblPrEx>
          <w:tblCellMar>
            <w:top w:w="0" w:type="dxa"/>
            <w:left w:w="108" w:type="dxa"/>
            <w:bottom w:w="0" w:type="dxa"/>
            <w:right w:w="108" w:type="dxa"/>
          </w:tblCellMar>
        </w:tblPrEx>
        <w:trPr>
          <w:trHeight w:val="261" w:hRule="atLeast"/>
        </w:trPr>
        <w:tc>
          <w:tcPr>
            <w:tcW w:w="4320" w:type="dxa"/>
          </w:tcPr>
          <w:p>
            <w:pPr>
              <w:spacing w:before="240" w:line="380" w:lineRule="exact"/>
              <w:ind w:left="173" w:hanging="173"/>
              <w:rPr>
                <w:rFonts w:ascii="Arial" w:hAnsi="Arial" w:cs="Arial"/>
                <w:sz w:val="18"/>
                <w:szCs w:val="18"/>
                <w:vertAlign w:val="superscript"/>
              </w:rPr>
            </w:pPr>
            <w:r>
              <w:rPr>
                <w:rFonts w:ascii="Arial" w:hAnsi="Arial" w:cs="Arial"/>
                <w:sz w:val="18"/>
                <w:szCs w:val="18"/>
                <w:vertAlign w:val="superscript"/>
              </w:rPr>
              <w:t xml:space="preserve">* </w:t>
            </w:r>
            <w:r>
              <w:rPr>
                <w:rFonts w:ascii="Arial" w:hAnsi="Arial" w:cs="Arial"/>
                <w:sz w:val="18"/>
                <w:szCs w:val="18"/>
              </w:rPr>
              <w:t>Contract price</w:t>
            </w:r>
          </w:p>
        </w:tc>
        <w:tc>
          <w:tcPr>
            <w:tcW w:w="1890" w:type="dxa"/>
          </w:tcPr>
          <w:p>
            <w:pPr>
              <w:tabs>
                <w:tab w:val="decimal" w:pos="1157"/>
              </w:tabs>
              <w:spacing w:line="380" w:lineRule="exact"/>
              <w:rPr>
                <w:rFonts w:ascii="Arial" w:hAnsi="Arial" w:cs="Arial"/>
                <w:spacing w:val="-5"/>
                <w:sz w:val="18"/>
                <w:szCs w:val="18"/>
              </w:rPr>
            </w:pPr>
          </w:p>
        </w:tc>
        <w:tc>
          <w:tcPr>
            <w:tcW w:w="1440" w:type="dxa"/>
          </w:tcPr>
          <w:p>
            <w:pPr>
              <w:tabs>
                <w:tab w:val="decimal" w:pos="966"/>
              </w:tabs>
              <w:spacing w:line="380" w:lineRule="exact"/>
              <w:rPr>
                <w:rFonts w:ascii="Arial" w:hAnsi="Arial" w:cs="Arial"/>
                <w:spacing w:val="-5"/>
                <w:sz w:val="18"/>
                <w:szCs w:val="18"/>
              </w:rPr>
            </w:pPr>
          </w:p>
        </w:tc>
        <w:tc>
          <w:tcPr>
            <w:tcW w:w="1440" w:type="dxa"/>
          </w:tcPr>
          <w:p>
            <w:pPr>
              <w:tabs>
                <w:tab w:val="decimal" w:pos="966"/>
              </w:tabs>
              <w:spacing w:line="380" w:lineRule="exact"/>
              <w:rPr>
                <w:rFonts w:ascii="Arial" w:hAnsi="Arial" w:cs="Arial"/>
                <w:spacing w:val="-5"/>
                <w:sz w:val="18"/>
                <w:szCs w:val="18"/>
              </w:rPr>
            </w:pPr>
          </w:p>
        </w:tc>
      </w:tr>
    </w:tbl>
    <w:p>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pPr>
        <w:overflowPunct/>
        <w:autoSpaceDE/>
        <w:autoSpaceDN/>
        <w:adjustRightInd/>
        <w:spacing w:before="120" w:after="120" w:line="380" w:lineRule="exact"/>
        <w:ind w:left="547"/>
        <w:textAlignment w:val="auto"/>
        <w:rPr>
          <w:rFonts w:ascii="Arial" w:hAnsi="Arial" w:cs="Arial"/>
          <w:spacing w:val="2"/>
          <w:sz w:val="20"/>
          <w:szCs w:val="20"/>
          <w:u w:val="single"/>
        </w:rPr>
      </w:pPr>
      <w:r>
        <w:rPr>
          <w:rFonts w:ascii="Arial" w:hAnsi="Arial" w:cs="Arial"/>
          <w:spacing w:val="2"/>
          <w:sz w:val="20"/>
          <w:szCs w:val="20"/>
          <w:u w:val="single"/>
        </w:rPr>
        <w:t xml:space="preserve">Directors and </w:t>
      </w:r>
      <w:r>
        <w:rPr>
          <w:rFonts w:ascii="Arial" w:hAnsi="Arial"/>
          <w:sz w:val="20"/>
          <w:szCs w:val="20"/>
          <w:u w:val="single"/>
        </w:rPr>
        <w:t>management’s</w:t>
      </w:r>
      <w:r>
        <w:rPr>
          <w:rFonts w:ascii="Arial" w:hAnsi="Arial" w:cs="Arial"/>
          <w:spacing w:val="2"/>
          <w:sz w:val="20"/>
          <w:szCs w:val="20"/>
          <w:u w:val="single"/>
        </w:rPr>
        <w:t xml:space="preserve"> benefits</w:t>
      </w:r>
    </w:p>
    <w:p>
      <w:pPr>
        <w:tabs>
          <w:tab w:val="left" w:pos="900"/>
          <w:tab w:val="left" w:pos="1440"/>
        </w:tabs>
        <w:spacing w:before="120" w:after="120" w:line="380" w:lineRule="exact"/>
        <w:ind w:left="547" w:right="-43"/>
        <w:jc w:val="thaiDistribute"/>
        <w:rPr>
          <w:rFonts w:ascii="Arial" w:hAnsi="Arial" w:cs="Arial"/>
          <w:sz w:val="20"/>
          <w:szCs w:val="20"/>
        </w:rPr>
      </w:pPr>
      <w:r>
        <w:rPr>
          <w:rFonts w:ascii="Arial" w:hAnsi="Arial" w:cs="Arial"/>
          <w:sz w:val="20"/>
          <w:szCs w:val="20"/>
        </w:rPr>
        <w:t xml:space="preserve">During the periods, the Group </w:t>
      </w:r>
      <w:r>
        <w:rPr>
          <w:rFonts w:ascii="Arial" w:hAnsi="Arial" w:cs="Arial"/>
          <w:spacing w:val="-4"/>
          <w:sz w:val="20"/>
          <w:szCs w:val="20"/>
        </w:rPr>
        <w:t>had employee benefit expenses payable to their directors and management</w:t>
      </w:r>
      <w:r>
        <w:rPr>
          <w:rFonts w:ascii="Arial" w:hAnsi="Arial" w:cs="Arial"/>
          <w:sz w:val="20"/>
          <w:szCs w:val="20"/>
        </w:rPr>
        <w:t xml:space="preserve"> as below.</w:t>
      </w:r>
    </w:p>
    <w:tbl>
      <w:tblPr>
        <w:tblStyle w:val="8"/>
        <w:tblW w:w="9072" w:type="dxa"/>
        <w:tblInd w:w="468" w:type="dxa"/>
        <w:tblLayout w:type="fixed"/>
        <w:tblCellMar>
          <w:top w:w="0" w:type="dxa"/>
          <w:left w:w="108" w:type="dxa"/>
          <w:bottom w:w="0" w:type="dxa"/>
          <w:right w:w="108" w:type="dxa"/>
        </w:tblCellMar>
      </w:tblPr>
      <w:tblGrid>
        <w:gridCol w:w="3492"/>
        <w:gridCol w:w="2520"/>
        <w:gridCol w:w="543"/>
        <w:gridCol w:w="987"/>
        <w:gridCol w:w="1530"/>
      </w:tblGrid>
      <w:tr>
        <w:tblPrEx>
          <w:tblCellMar>
            <w:top w:w="0" w:type="dxa"/>
            <w:left w:w="108" w:type="dxa"/>
            <w:bottom w:w="0" w:type="dxa"/>
            <w:right w:w="108" w:type="dxa"/>
          </w:tblCellMar>
        </w:tblPrEx>
        <w:tc>
          <w:tcPr>
            <w:tcW w:w="9072" w:type="dxa"/>
            <w:gridSpan w:val="5"/>
          </w:tcPr>
          <w:p>
            <w:pPr>
              <w:tabs>
                <w:tab w:val="left" w:pos="600"/>
                <w:tab w:val="left" w:pos="900"/>
                <w:tab w:val="center" w:pos="4320"/>
                <w:tab w:val="right" w:pos="7280"/>
                <w:tab w:val="right" w:pos="8540"/>
                <w:tab w:val="right" w:pos="8640"/>
              </w:tabs>
              <w:spacing w:line="380" w:lineRule="exact"/>
              <w:ind w:right="-45"/>
              <w:jc w:val="right"/>
              <w:rPr>
                <w:rFonts w:ascii="Arial" w:hAnsi="Arial" w:cs="Arial"/>
                <w:sz w:val="20"/>
                <w:szCs w:val="20"/>
              </w:rPr>
            </w:pPr>
            <w:r>
              <w:rPr>
                <w:rFonts w:ascii="Arial" w:hAnsi="Arial" w:cs="Arial"/>
                <w:sz w:val="20"/>
                <w:szCs w:val="20"/>
              </w:rPr>
              <w:t>(Unit: Thousand Baht)</w:t>
            </w:r>
          </w:p>
        </w:tc>
      </w:tr>
      <w:tr>
        <w:tblPrEx>
          <w:tblCellMar>
            <w:top w:w="0" w:type="dxa"/>
            <w:left w:w="108" w:type="dxa"/>
            <w:bottom w:w="0" w:type="dxa"/>
            <w:right w:w="108" w:type="dxa"/>
          </w:tblCellMar>
        </w:tblPrEx>
        <w:tc>
          <w:tcPr>
            <w:tcW w:w="3492" w:type="dxa"/>
          </w:tcPr>
          <w:p>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5580" w:type="dxa"/>
            <w:gridSpan w:val="4"/>
            <w:vAlign w:val="bottom"/>
          </w:tcPr>
          <w:p>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For the three-month periods ended 30 September</w:t>
            </w:r>
          </w:p>
        </w:tc>
      </w:tr>
      <w:tr>
        <w:tblPrEx>
          <w:tblCellMar>
            <w:top w:w="0" w:type="dxa"/>
            <w:left w:w="108" w:type="dxa"/>
            <w:bottom w:w="0" w:type="dxa"/>
            <w:right w:w="108" w:type="dxa"/>
          </w:tblCellMar>
        </w:tblPrEx>
        <w:tc>
          <w:tcPr>
            <w:tcW w:w="3492" w:type="dxa"/>
          </w:tcPr>
          <w:p>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2520" w:type="dxa"/>
            <w:vAlign w:val="bottom"/>
          </w:tcPr>
          <w:p>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Consolidated                 financial statements</w:t>
            </w:r>
          </w:p>
        </w:tc>
        <w:tc>
          <w:tcPr>
            <w:tcW w:w="3060" w:type="dxa"/>
            <w:gridSpan w:val="3"/>
            <w:vAlign w:val="bottom"/>
          </w:tcPr>
          <w:p>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Separate                          financial statements</w:t>
            </w:r>
          </w:p>
        </w:tc>
      </w:tr>
      <w:tr>
        <w:tblPrEx>
          <w:tblCellMar>
            <w:top w:w="0" w:type="dxa"/>
            <w:left w:w="108" w:type="dxa"/>
            <w:bottom w:w="0" w:type="dxa"/>
            <w:right w:w="108" w:type="dxa"/>
          </w:tblCellMar>
        </w:tblPrEx>
        <w:tc>
          <w:tcPr>
            <w:tcW w:w="3492" w:type="dxa"/>
          </w:tcPr>
          <w:p>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2520" w:type="dxa"/>
            <w:vAlign w:val="bottom"/>
          </w:tcPr>
          <w:p>
            <w:pPr>
              <w:spacing w:line="380" w:lineRule="exact"/>
              <w:ind w:left="-29" w:right="-29"/>
              <w:jc w:val="center"/>
              <w:rPr>
                <w:rFonts w:ascii="Arial" w:hAnsi="Arial" w:cs="Arial"/>
                <w:sz w:val="20"/>
                <w:szCs w:val="20"/>
                <w:u w:val="single"/>
              </w:rPr>
            </w:pPr>
            <w:r>
              <w:rPr>
                <w:rFonts w:ascii="Arial" w:hAnsi="Arial" w:cs="Arial"/>
                <w:sz w:val="20"/>
                <w:szCs w:val="20"/>
                <w:u w:val="single"/>
              </w:rPr>
              <w:t>2022</w:t>
            </w:r>
          </w:p>
        </w:tc>
        <w:tc>
          <w:tcPr>
            <w:tcW w:w="1530" w:type="dxa"/>
            <w:gridSpan w:val="2"/>
            <w:vAlign w:val="bottom"/>
          </w:tcPr>
          <w:p>
            <w:pPr>
              <w:spacing w:line="380" w:lineRule="exact"/>
              <w:ind w:left="-29" w:right="-29"/>
              <w:jc w:val="center"/>
              <w:rPr>
                <w:rFonts w:ascii="Arial" w:hAnsi="Arial" w:cs="Arial"/>
                <w:sz w:val="20"/>
                <w:szCs w:val="20"/>
                <w:u w:val="single"/>
              </w:rPr>
            </w:pPr>
            <w:r>
              <w:rPr>
                <w:rFonts w:ascii="Arial" w:hAnsi="Arial" w:cs="Arial"/>
                <w:sz w:val="20"/>
                <w:szCs w:val="20"/>
                <w:u w:val="single"/>
              </w:rPr>
              <w:t>2022</w:t>
            </w:r>
          </w:p>
        </w:tc>
        <w:tc>
          <w:tcPr>
            <w:tcW w:w="1530" w:type="dxa"/>
            <w:vAlign w:val="bottom"/>
          </w:tcPr>
          <w:p>
            <w:pPr>
              <w:spacing w:line="380" w:lineRule="exact"/>
              <w:ind w:left="-29" w:right="-29"/>
              <w:jc w:val="center"/>
              <w:rPr>
                <w:rFonts w:ascii="Arial" w:hAnsi="Arial" w:cs="Arial"/>
                <w:sz w:val="20"/>
                <w:szCs w:val="20"/>
                <w:u w:val="single"/>
              </w:rPr>
            </w:pPr>
            <w:r>
              <w:rPr>
                <w:rFonts w:ascii="Arial" w:hAnsi="Arial" w:cs="Arial"/>
                <w:sz w:val="20"/>
                <w:szCs w:val="20"/>
                <w:u w:val="single"/>
              </w:rPr>
              <w:t>2021</w:t>
            </w:r>
          </w:p>
        </w:tc>
      </w:tr>
      <w:tr>
        <w:tblPrEx>
          <w:tblCellMar>
            <w:top w:w="0" w:type="dxa"/>
            <w:left w:w="108" w:type="dxa"/>
            <w:bottom w:w="0" w:type="dxa"/>
            <w:right w:w="108" w:type="dxa"/>
          </w:tblCellMar>
        </w:tblPrEx>
        <w:tc>
          <w:tcPr>
            <w:tcW w:w="3492" w:type="dxa"/>
          </w:tcPr>
          <w:p>
            <w:pPr>
              <w:tabs>
                <w:tab w:val="left" w:pos="600"/>
                <w:tab w:val="left" w:pos="900"/>
              </w:tabs>
              <w:spacing w:line="380" w:lineRule="exact"/>
              <w:ind w:left="-36" w:right="-43"/>
              <w:jc w:val="thaiDistribute"/>
              <w:rPr>
                <w:rFonts w:ascii="Arial" w:hAnsi="Arial" w:cs="Arial"/>
                <w:sz w:val="20"/>
                <w:szCs w:val="20"/>
              </w:rPr>
            </w:pPr>
            <w:r>
              <w:rPr>
                <w:rFonts w:ascii="Arial" w:hAnsi="Arial" w:cs="Arial"/>
                <w:sz w:val="20"/>
                <w:szCs w:val="20"/>
              </w:rPr>
              <w:t>Short-term employee benefits</w:t>
            </w:r>
          </w:p>
        </w:tc>
        <w:tc>
          <w:tcPr>
            <w:tcW w:w="2520" w:type="dxa"/>
          </w:tcPr>
          <w:p>
            <w:pPr>
              <w:tabs>
                <w:tab w:val="decimal" w:pos="1338"/>
              </w:tabs>
              <w:spacing w:line="380" w:lineRule="exact"/>
              <w:ind w:left="-29" w:right="-29"/>
              <w:rPr>
                <w:rFonts w:ascii="Arial" w:hAnsi="Arial" w:cs="Arial"/>
                <w:sz w:val="20"/>
                <w:szCs w:val="20"/>
              </w:rPr>
            </w:pPr>
            <w:r>
              <w:rPr>
                <w:rFonts w:ascii="Arial" w:hAnsi="Arial" w:cs="Arial"/>
                <w:sz w:val="20"/>
                <w:szCs w:val="20"/>
              </w:rPr>
              <w:t>1,102</w:t>
            </w:r>
          </w:p>
        </w:tc>
        <w:tc>
          <w:tcPr>
            <w:tcW w:w="1530" w:type="dxa"/>
            <w:gridSpan w:val="2"/>
          </w:tcPr>
          <w:p>
            <w:pPr>
              <w:tabs>
                <w:tab w:val="decimal" w:pos="969"/>
              </w:tabs>
              <w:spacing w:line="380" w:lineRule="exact"/>
              <w:ind w:left="-29" w:right="-29"/>
              <w:rPr>
                <w:rFonts w:ascii="Arial" w:hAnsi="Arial" w:cs="Arial"/>
                <w:sz w:val="20"/>
                <w:szCs w:val="20"/>
              </w:rPr>
            </w:pPr>
            <w:r>
              <w:rPr>
                <w:rFonts w:ascii="Arial" w:hAnsi="Arial" w:cs="Arial"/>
                <w:sz w:val="20"/>
                <w:szCs w:val="20"/>
              </w:rPr>
              <w:t>1,102</w:t>
            </w:r>
          </w:p>
        </w:tc>
        <w:tc>
          <w:tcPr>
            <w:tcW w:w="1530" w:type="dxa"/>
          </w:tcPr>
          <w:p>
            <w:pPr>
              <w:tabs>
                <w:tab w:val="decimal" w:pos="969"/>
              </w:tabs>
              <w:spacing w:line="380" w:lineRule="exact"/>
              <w:ind w:left="-29" w:right="-29"/>
              <w:rPr>
                <w:rFonts w:ascii="Arial" w:hAnsi="Arial" w:cs="Arial"/>
                <w:sz w:val="20"/>
                <w:szCs w:val="20"/>
              </w:rPr>
            </w:pPr>
            <w:r>
              <w:rPr>
                <w:rFonts w:ascii="Arial" w:hAnsi="Arial" w:cs="Arial"/>
                <w:sz w:val="20"/>
                <w:szCs w:val="20"/>
              </w:rPr>
              <w:t>1,188</w:t>
            </w:r>
          </w:p>
        </w:tc>
      </w:tr>
      <w:tr>
        <w:tblPrEx>
          <w:tblCellMar>
            <w:top w:w="0" w:type="dxa"/>
            <w:left w:w="108" w:type="dxa"/>
            <w:bottom w:w="0" w:type="dxa"/>
            <w:right w:w="108" w:type="dxa"/>
          </w:tblCellMar>
        </w:tblPrEx>
        <w:tc>
          <w:tcPr>
            <w:tcW w:w="3492" w:type="dxa"/>
          </w:tcPr>
          <w:p>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0"/>
                <w:szCs w:val="20"/>
              </w:rPr>
            </w:pPr>
            <w:r>
              <w:rPr>
                <w:rFonts w:ascii="Arial" w:hAnsi="Arial" w:cs="Arial"/>
                <w:sz w:val="20"/>
                <w:szCs w:val="20"/>
              </w:rPr>
              <w:t>Post-employment benefits</w:t>
            </w:r>
          </w:p>
        </w:tc>
        <w:tc>
          <w:tcPr>
            <w:tcW w:w="2520" w:type="dxa"/>
          </w:tcPr>
          <w:p>
            <w:pPr>
              <w:pBdr>
                <w:bottom w:val="single" w:color="auto" w:sz="4" w:space="1"/>
              </w:pBdr>
              <w:tabs>
                <w:tab w:val="decimal" w:pos="1338"/>
              </w:tabs>
              <w:spacing w:line="380" w:lineRule="exact"/>
              <w:ind w:left="-29" w:right="-29"/>
              <w:rPr>
                <w:rFonts w:ascii="Arial" w:hAnsi="Arial" w:cs="Arial"/>
                <w:sz w:val="20"/>
                <w:szCs w:val="20"/>
              </w:rPr>
            </w:pPr>
            <w:r>
              <w:rPr>
                <w:rFonts w:ascii="Arial" w:hAnsi="Arial" w:cs="Arial"/>
                <w:sz w:val="20"/>
                <w:szCs w:val="20"/>
              </w:rPr>
              <w:t>15</w:t>
            </w:r>
          </w:p>
        </w:tc>
        <w:tc>
          <w:tcPr>
            <w:tcW w:w="1530" w:type="dxa"/>
            <w:gridSpan w:val="2"/>
          </w:tcPr>
          <w:p>
            <w:pPr>
              <w:pBdr>
                <w:bottom w:val="single" w:color="auto" w:sz="4" w:space="1"/>
              </w:pBdr>
              <w:tabs>
                <w:tab w:val="decimal" w:pos="969"/>
              </w:tabs>
              <w:spacing w:line="380" w:lineRule="exact"/>
              <w:ind w:left="-29" w:right="-29"/>
              <w:rPr>
                <w:rFonts w:ascii="Arial" w:hAnsi="Arial" w:cs="Arial"/>
                <w:sz w:val="20"/>
                <w:szCs w:val="20"/>
              </w:rPr>
            </w:pPr>
            <w:r>
              <w:rPr>
                <w:rFonts w:ascii="Arial" w:hAnsi="Arial" w:cs="Arial"/>
                <w:sz w:val="20"/>
                <w:szCs w:val="20"/>
              </w:rPr>
              <w:t>15</w:t>
            </w:r>
          </w:p>
        </w:tc>
        <w:tc>
          <w:tcPr>
            <w:tcW w:w="1530" w:type="dxa"/>
          </w:tcPr>
          <w:p>
            <w:pPr>
              <w:pBdr>
                <w:bottom w:val="single" w:color="auto" w:sz="4" w:space="1"/>
              </w:pBdr>
              <w:tabs>
                <w:tab w:val="decimal" w:pos="969"/>
              </w:tabs>
              <w:spacing w:line="380" w:lineRule="exact"/>
              <w:ind w:left="-29" w:right="-29"/>
              <w:rPr>
                <w:rFonts w:ascii="Arial" w:hAnsi="Arial" w:cs="Arial"/>
                <w:sz w:val="20"/>
                <w:szCs w:val="20"/>
              </w:rPr>
            </w:pPr>
            <w:r>
              <w:rPr>
                <w:rFonts w:ascii="Arial" w:hAnsi="Arial" w:cs="Arial"/>
                <w:sz w:val="20"/>
                <w:szCs w:val="20"/>
              </w:rPr>
              <w:t>14</w:t>
            </w:r>
          </w:p>
        </w:tc>
      </w:tr>
      <w:tr>
        <w:tblPrEx>
          <w:tblCellMar>
            <w:top w:w="0" w:type="dxa"/>
            <w:left w:w="108" w:type="dxa"/>
            <w:bottom w:w="0" w:type="dxa"/>
            <w:right w:w="108" w:type="dxa"/>
          </w:tblCellMar>
        </w:tblPrEx>
        <w:tc>
          <w:tcPr>
            <w:tcW w:w="3492" w:type="dxa"/>
          </w:tcPr>
          <w:p>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0"/>
                <w:szCs w:val="20"/>
                <w:cs/>
              </w:rPr>
            </w:pPr>
            <w:r>
              <w:rPr>
                <w:rFonts w:ascii="Arial" w:hAnsi="Arial" w:cs="Arial"/>
                <w:sz w:val="20"/>
                <w:szCs w:val="20"/>
              </w:rPr>
              <w:t>Total</w:t>
            </w:r>
          </w:p>
        </w:tc>
        <w:tc>
          <w:tcPr>
            <w:tcW w:w="2520" w:type="dxa"/>
          </w:tcPr>
          <w:p>
            <w:pPr>
              <w:pBdr>
                <w:bottom w:val="double" w:color="auto" w:sz="4" w:space="1"/>
              </w:pBdr>
              <w:tabs>
                <w:tab w:val="decimal" w:pos="1338"/>
              </w:tabs>
              <w:spacing w:line="380" w:lineRule="exact"/>
              <w:ind w:left="-29" w:right="-29"/>
              <w:rPr>
                <w:rFonts w:ascii="Arial" w:hAnsi="Arial" w:cs="Arial"/>
                <w:sz w:val="20"/>
                <w:szCs w:val="20"/>
              </w:rPr>
            </w:pPr>
            <w:r>
              <w:rPr>
                <w:rFonts w:ascii="Arial" w:hAnsi="Arial" w:cs="Arial"/>
                <w:sz w:val="20"/>
                <w:szCs w:val="20"/>
              </w:rPr>
              <w:t>1,117</w:t>
            </w:r>
          </w:p>
        </w:tc>
        <w:tc>
          <w:tcPr>
            <w:tcW w:w="1530" w:type="dxa"/>
            <w:gridSpan w:val="2"/>
          </w:tcPr>
          <w:p>
            <w:pPr>
              <w:pBdr>
                <w:bottom w:val="double" w:color="auto" w:sz="4" w:space="1"/>
              </w:pBdr>
              <w:tabs>
                <w:tab w:val="decimal" w:pos="969"/>
              </w:tabs>
              <w:spacing w:line="380" w:lineRule="exact"/>
              <w:ind w:left="-29" w:right="-29"/>
              <w:rPr>
                <w:rFonts w:ascii="Arial" w:hAnsi="Arial" w:cs="Arial"/>
                <w:sz w:val="20"/>
                <w:szCs w:val="20"/>
              </w:rPr>
            </w:pPr>
            <w:r>
              <w:rPr>
                <w:rFonts w:ascii="Arial" w:hAnsi="Arial" w:cs="Arial"/>
                <w:sz w:val="20"/>
                <w:szCs w:val="20"/>
              </w:rPr>
              <w:t>1,117</w:t>
            </w:r>
          </w:p>
        </w:tc>
        <w:tc>
          <w:tcPr>
            <w:tcW w:w="1530" w:type="dxa"/>
          </w:tcPr>
          <w:p>
            <w:pPr>
              <w:pBdr>
                <w:bottom w:val="double" w:color="auto" w:sz="4" w:space="1"/>
              </w:pBdr>
              <w:tabs>
                <w:tab w:val="decimal" w:pos="969"/>
              </w:tabs>
              <w:spacing w:line="380" w:lineRule="exact"/>
              <w:ind w:left="-29" w:right="-29"/>
              <w:rPr>
                <w:rFonts w:ascii="Arial" w:hAnsi="Arial" w:cs="Arial"/>
                <w:sz w:val="20"/>
                <w:szCs w:val="20"/>
              </w:rPr>
            </w:pPr>
            <w:r>
              <w:rPr>
                <w:rFonts w:ascii="Arial" w:hAnsi="Arial" w:cs="Arial"/>
                <w:sz w:val="20"/>
                <w:szCs w:val="20"/>
              </w:rPr>
              <w:t>1,</w:t>
            </w:r>
            <w:r>
              <w:rPr>
                <w:rFonts w:ascii="Arial" w:hAnsi="Arial" w:cstheme="minorBidi"/>
                <w:sz w:val="20"/>
                <w:szCs w:val="20"/>
              </w:rPr>
              <w:t>2</w:t>
            </w:r>
            <w:r>
              <w:rPr>
                <w:rFonts w:ascii="Arial" w:hAnsi="Arial" w:cs="Arial"/>
                <w:sz w:val="20"/>
                <w:szCs w:val="20"/>
              </w:rPr>
              <w:t>02</w:t>
            </w:r>
          </w:p>
        </w:tc>
      </w:tr>
      <w:tr>
        <w:tblPrEx>
          <w:tblCellMar>
            <w:top w:w="0" w:type="dxa"/>
            <w:left w:w="108" w:type="dxa"/>
            <w:bottom w:w="0" w:type="dxa"/>
            <w:right w:w="108" w:type="dxa"/>
          </w:tblCellMar>
        </w:tblPrEx>
        <w:tc>
          <w:tcPr>
            <w:tcW w:w="6555" w:type="dxa"/>
            <w:gridSpan w:val="3"/>
          </w:tcPr>
          <w:p>
            <w:pPr>
              <w:tabs>
                <w:tab w:val="left" w:pos="600"/>
                <w:tab w:val="left" w:pos="900"/>
                <w:tab w:val="center" w:pos="4320"/>
                <w:tab w:val="right" w:pos="7280"/>
                <w:tab w:val="right" w:pos="8540"/>
                <w:tab w:val="right" w:pos="8640"/>
              </w:tabs>
              <w:spacing w:line="380" w:lineRule="exact"/>
              <w:ind w:left="-29" w:right="-29"/>
              <w:jc w:val="right"/>
              <w:rPr>
                <w:rFonts w:ascii="Arial" w:hAnsi="Arial" w:cs="Arial"/>
                <w:sz w:val="20"/>
                <w:szCs w:val="20"/>
                <w:cs/>
              </w:rPr>
            </w:pPr>
          </w:p>
        </w:tc>
        <w:tc>
          <w:tcPr>
            <w:tcW w:w="2517" w:type="dxa"/>
            <w:gridSpan w:val="2"/>
          </w:tcPr>
          <w:p>
            <w:pPr>
              <w:tabs>
                <w:tab w:val="left" w:pos="600"/>
                <w:tab w:val="left" w:pos="900"/>
                <w:tab w:val="center" w:pos="4320"/>
                <w:tab w:val="right" w:pos="7280"/>
                <w:tab w:val="right" w:pos="8540"/>
                <w:tab w:val="right" w:pos="8640"/>
              </w:tabs>
              <w:spacing w:line="380" w:lineRule="exact"/>
              <w:ind w:left="-29" w:right="-29"/>
              <w:jc w:val="right"/>
              <w:rPr>
                <w:rFonts w:ascii="Arial" w:hAnsi="Arial" w:cs="Arial"/>
                <w:sz w:val="20"/>
                <w:szCs w:val="20"/>
              </w:rPr>
            </w:pPr>
          </w:p>
        </w:tc>
      </w:tr>
      <w:tr>
        <w:tc>
          <w:tcPr>
            <w:tcW w:w="6555" w:type="dxa"/>
            <w:gridSpan w:val="3"/>
          </w:tcPr>
          <w:p>
            <w:pPr>
              <w:tabs>
                <w:tab w:val="left" w:pos="600"/>
                <w:tab w:val="left" w:pos="900"/>
                <w:tab w:val="center" w:pos="4320"/>
                <w:tab w:val="right" w:pos="7280"/>
                <w:tab w:val="right" w:pos="8540"/>
                <w:tab w:val="right" w:pos="8640"/>
              </w:tabs>
              <w:spacing w:line="380" w:lineRule="exact"/>
              <w:ind w:left="-29" w:right="-29"/>
              <w:jc w:val="right"/>
              <w:rPr>
                <w:rFonts w:ascii="Arial" w:hAnsi="Arial" w:cs="Arial"/>
                <w:sz w:val="20"/>
                <w:szCs w:val="20"/>
                <w:cs/>
              </w:rPr>
            </w:pPr>
          </w:p>
        </w:tc>
        <w:tc>
          <w:tcPr>
            <w:tcW w:w="2517" w:type="dxa"/>
            <w:gridSpan w:val="2"/>
          </w:tcPr>
          <w:p>
            <w:pPr>
              <w:tabs>
                <w:tab w:val="left" w:pos="600"/>
                <w:tab w:val="left" w:pos="900"/>
                <w:tab w:val="center" w:pos="4320"/>
                <w:tab w:val="right" w:pos="7280"/>
                <w:tab w:val="right" w:pos="8540"/>
                <w:tab w:val="right" w:pos="8640"/>
              </w:tabs>
              <w:spacing w:line="380" w:lineRule="exact"/>
              <w:ind w:left="-29" w:right="-29"/>
              <w:jc w:val="right"/>
              <w:rPr>
                <w:rFonts w:ascii="Arial" w:hAnsi="Arial" w:cs="Arial"/>
                <w:sz w:val="20"/>
                <w:szCs w:val="20"/>
              </w:rPr>
            </w:pPr>
            <w:r>
              <w:rPr>
                <w:rFonts w:ascii="Arial" w:hAnsi="Arial" w:cs="Arial"/>
                <w:sz w:val="20"/>
                <w:szCs w:val="20"/>
              </w:rPr>
              <w:t>(Unit: Thousand Baht)</w:t>
            </w:r>
          </w:p>
        </w:tc>
      </w:tr>
      <w:tr>
        <w:tblPrEx>
          <w:tblCellMar>
            <w:top w:w="0" w:type="dxa"/>
            <w:left w:w="108" w:type="dxa"/>
            <w:bottom w:w="0" w:type="dxa"/>
            <w:right w:w="108" w:type="dxa"/>
          </w:tblCellMar>
        </w:tblPrEx>
        <w:tc>
          <w:tcPr>
            <w:tcW w:w="3492" w:type="dxa"/>
          </w:tcPr>
          <w:p>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5580" w:type="dxa"/>
            <w:gridSpan w:val="4"/>
            <w:vAlign w:val="bottom"/>
          </w:tcPr>
          <w:p>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For the nine-month periods ended 30 September</w:t>
            </w:r>
          </w:p>
        </w:tc>
      </w:tr>
      <w:tr>
        <w:tblPrEx>
          <w:tblCellMar>
            <w:top w:w="0" w:type="dxa"/>
            <w:left w:w="108" w:type="dxa"/>
            <w:bottom w:w="0" w:type="dxa"/>
            <w:right w:w="108" w:type="dxa"/>
          </w:tblCellMar>
        </w:tblPrEx>
        <w:tc>
          <w:tcPr>
            <w:tcW w:w="3492" w:type="dxa"/>
          </w:tcPr>
          <w:p>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2520" w:type="dxa"/>
            <w:vAlign w:val="bottom"/>
          </w:tcPr>
          <w:p>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Consolidated                 financial statements</w:t>
            </w:r>
          </w:p>
        </w:tc>
        <w:tc>
          <w:tcPr>
            <w:tcW w:w="3060" w:type="dxa"/>
            <w:gridSpan w:val="3"/>
            <w:vAlign w:val="bottom"/>
          </w:tcPr>
          <w:p>
            <w:pPr>
              <w:pBdr>
                <w:bottom w:val="single" w:color="auto" w:sz="4" w:space="1"/>
              </w:pBdr>
              <w:spacing w:line="380" w:lineRule="exact"/>
              <w:ind w:left="-29" w:right="-29"/>
              <w:jc w:val="center"/>
              <w:rPr>
                <w:rFonts w:ascii="Arial" w:hAnsi="Arial" w:cs="Arial"/>
                <w:sz w:val="20"/>
                <w:szCs w:val="20"/>
              </w:rPr>
            </w:pPr>
            <w:r>
              <w:rPr>
                <w:rFonts w:ascii="Arial" w:hAnsi="Arial" w:cs="Arial"/>
                <w:sz w:val="20"/>
                <w:szCs w:val="20"/>
              </w:rPr>
              <w:t>Separate                          financial statements</w:t>
            </w:r>
          </w:p>
        </w:tc>
      </w:tr>
      <w:tr>
        <w:tblPrEx>
          <w:tblCellMar>
            <w:top w:w="0" w:type="dxa"/>
            <w:left w:w="108" w:type="dxa"/>
            <w:bottom w:w="0" w:type="dxa"/>
            <w:right w:w="108" w:type="dxa"/>
          </w:tblCellMar>
        </w:tblPrEx>
        <w:tc>
          <w:tcPr>
            <w:tcW w:w="3492" w:type="dxa"/>
          </w:tcPr>
          <w:p>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2520" w:type="dxa"/>
            <w:vAlign w:val="bottom"/>
          </w:tcPr>
          <w:p>
            <w:pPr>
              <w:spacing w:line="380" w:lineRule="exact"/>
              <w:ind w:left="-29" w:right="-29"/>
              <w:jc w:val="center"/>
              <w:rPr>
                <w:rFonts w:ascii="Arial" w:hAnsi="Arial" w:cs="Arial"/>
                <w:sz w:val="20"/>
                <w:szCs w:val="20"/>
                <w:u w:val="single"/>
              </w:rPr>
            </w:pPr>
            <w:r>
              <w:rPr>
                <w:rFonts w:ascii="Arial" w:hAnsi="Arial" w:cs="Arial"/>
                <w:sz w:val="20"/>
                <w:szCs w:val="20"/>
                <w:u w:val="single"/>
              </w:rPr>
              <w:t>2022</w:t>
            </w:r>
          </w:p>
        </w:tc>
        <w:tc>
          <w:tcPr>
            <w:tcW w:w="1530" w:type="dxa"/>
            <w:gridSpan w:val="2"/>
            <w:vAlign w:val="bottom"/>
          </w:tcPr>
          <w:p>
            <w:pPr>
              <w:spacing w:line="380" w:lineRule="exact"/>
              <w:ind w:left="-29" w:right="-29"/>
              <w:jc w:val="center"/>
              <w:rPr>
                <w:rFonts w:ascii="Arial" w:hAnsi="Arial" w:cs="Arial"/>
                <w:sz w:val="20"/>
                <w:szCs w:val="20"/>
                <w:u w:val="single"/>
              </w:rPr>
            </w:pPr>
            <w:r>
              <w:rPr>
                <w:rFonts w:ascii="Arial" w:hAnsi="Arial" w:cs="Arial"/>
                <w:sz w:val="20"/>
                <w:szCs w:val="20"/>
                <w:u w:val="single"/>
              </w:rPr>
              <w:t>2022</w:t>
            </w:r>
          </w:p>
        </w:tc>
        <w:tc>
          <w:tcPr>
            <w:tcW w:w="1530" w:type="dxa"/>
            <w:vAlign w:val="bottom"/>
          </w:tcPr>
          <w:p>
            <w:pPr>
              <w:spacing w:line="380" w:lineRule="exact"/>
              <w:ind w:left="-29" w:right="-29"/>
              <w:jc w:val="center"/>
              <w:rPr>
                <w:rFonts w:ascii="Arial" w:hAnsi="Arial" w:cs="Arial"/>
                <w:sz w:val="20"/>
                <w:szCs w:val="20"/>
                <w:u w:val="single"/>
              </w:rPr>
            </w:pPr>
            <w:r>
              <w:rPr>
                <w:rFonts w:ascii="Arial" w:hAnsi="Arial" w:cs="Arial"/>
                <w:sz w:val="20"/>
                <w:szCs w:val="20"/>
                <w:u w:val="single"/>
              </w:rPr>
              <w:t>2021</w:t>
            </w:r>
          </w:p>
        </w:tc>
      </w:tr>
      <w:tr>
        <w:tblPrEx>
          <w:tblCellMar>
            <w:top w:w="0" w:type="dxa"/>
            <w:left w:w="108" w:type="dxa"/>
            <w:bottom w:w="0" w:type="dxa"/>
            <w:right w:w="108" w:type="dxa"/>
          </w:tblCellMar>
        </w:tblPrEx>
        <w:tc>
          <w:tcPr>
            <w:tcW w:w="3492" w:type="dxa"/>
          </w:tcPr>
          <w:p>
            <w:pPr>
              <w:tabs>
                <w:tab w:val="left" w:pos="600"/>
                <w:tab w:val="left" w:pos="900"/>
              </w:tabs>
              <w:spacing w:line="380" w:lineRule="exact"/>
              <w:ind w:left="-36" w:right="-43"/>
              <w:jc w:val="thaiDistribute"/>
              <w:rPr>
                <w:rFonts w:ascii="Arial" w:hAnsi="Arial" w:cs="Arial"/>
                <w:sz w:val="20"/>
                <w:szCs w:val="20"/>
              </w:rPr>
            </w:pPr>
            <w:r>
              <w:rPr>
                <w:rFonts w:ascii="Arial" w:hAnsi="Arial" w:cs="Arial"/>
                <w:sz w:val="20"/>
                <w:szCs w:val="20"/>
              </w:rPr>
              <w:t>Short-term employee benefits</w:t>
            </w:r>
          </w:p>
        </w:tc>
        <w:tc>
          <w:tcPr>
            <w:tcW w:w="2520" w:type="dxa"/>
          </w:tcPr>
          <w:p>
            <w:pPr>
              <w:tabs>
                <w:tab w:val="decimal" w:pos="1338"/>
              </w:tabs>
              <w:spacing w:line="380" w:lineRule="exact"/>
              <w:ind w:left="-29" w:right="-29"/>
              <w:rPr>
                <w:rFonts w:ascii="Arial" w:hAnsi="Arial" w:cs="Arial"/>
                <w:sz w:val="20"/>
                <w:szCs w:val="20"/>
              </w:rPr>
            </w:pPr>
            <w:r>
              <w:rPr>
                <w:rFonts w:ascii="Arial" w:hAnsi="Arial" w:cs="Arial"/>
                <w:sz w:val="20"/>
                <w:szCs w:val="20"/>
              </w:rPr>
              <w:t>3,323</w:t>
            </w:r>
          </w:p>
        </w:tc>
        <w:tc>
          <w:tcPr>
            <w:tcW w:w="1530" w:type="dxa"/>
            <w:gridSpan w:val="2"/>
          </w:tcPr>
          <w:p>
            <w:pPr>
              <w:tabs>
                <w:tab w:val="decimal" w:pos="969"/>
              </w:tabs>
              <w:spacing w:line="380" w:lineRule="exact"/>
              <w:ind w:left="-29" w:right="-29"/>
              <w:rPr>
                <w:rFonts w:ascii="Arial" w:hAnsi="Arial" w:cs="Arial"/>
                <w:sz w:val="20"/>
                <w:szCs w:val="20"/>
              </w:rPr>
            </w:pPr>
            <w:r>
              <w:rPr>
                <w:rFonts w:ascii="Arial" w:hAnsi="Arial" w:cs="Arial"/>
                <w:sz w:val="20"/>
                <w:szCs w:val="20"/>
              </w:rPr>
              <w:t>3,323</w:t>
            </w:r>
          </w:p>
        </w:tc>
        <w:tc>
          <w:tcPr>
            <w:tcW w:w="1530" w:type="dxa"/>
          </w:tcPr>
          <w:p>
            <w:pPr>
              <w:tabs>
                <w:tab w:val="decimal" w:pos="969"/>
              </w:tabs>
              <w:spacing w:line="380" w:lineRule="exact"/>
              <w:ind w:left="-29" w:right="-29"/>
              <w:rPr>
                <w:rFonts w:ascii="Arial" w:hAnsi="Arial" w:cs="Arial"/>
                <w:sz w:val="20"/>
                <w:szCs w:val="20"/>
              </w:rPr>
            </w:pPr>
            <w:r>
              <w:rPr>
                <w:rFonts w:ascii="Arial" w:hAnsi="Arial" w:cs="Arial"/>
                <w:sz w:val="20"/>
                <w:szCs w:val="20"/>
              </w:rPr>
              <w:t>3,560</w:t>
            </w:r>
          </w:p>
        </w:tc>
      </w:tr>
      <w:tr>
        <w:tblPrEx>
          <w:tblCellMar>
            <w:top w:w="0" w:type="dxa"/>
            <w:left w:w="108" w:type="dxa"/>
            <w:bottom w:w="0" w:type="dxa"/>
            <w:right w:w="108" w:type="dxa"/>
          </w:tblCellMar>
        </w:tblPrEx>
        <w:tc>
          <w:tcPr>
            <w:tcW w:w="3492" w:type="dxa"/>
          </w:tcPr>
          <w:p>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0"/>
                <w:szCs w:val="20"/>
              </w:rPr>
            </w:pPr>
            <w:r>
              <w:rPr>
                <w:rFonts w:ascii="Arial" w:hAnsi="Arial" w:cs="Arial"/>
                <w:sz w:val="20"/>
                <w:szCs w:val="20"/>
              </w:rPr>
              <w:t>Post-employment benefits</w:t>
            </w:r>
          </w:p>
        </w:tc>
        <w:tc>
          <w:tcPr>
            <w:tcW w:w="2520" w:type="dxa"/>
          </w:tcPr>
          <w:p>
            <w:pPr>
              <w:pBdr>
                <w:bottom w:val="single" w:color="auto" w:sz="4" w:space="1"/>
              </w:pBdr>
              <w:tabs>
                <w:tab w:val="decimal" w:pos="1338"/>
              </w:tabs>
              <w:spacing w:line="380" w:lineRule="exact"/>
              <w:ind w:left="-29" w:right="-29"/>
              <w:rPr>
                <w:rFonts w:ascii="Arial" w:hAnsi="Arial" w:cs="Arial"/>
                <w:sz w:val="20"/>
                <w:szCs w:val="20"/>
              </w:rPr>
            </w:pPr>
            <w:r>
              <w:rPr>
                <w:rFonts w:ascii="Arial" w:hAnsi="Arial" w:cs="Arial"/>
                <w:sz w:val="20"/>
                <w:szCs w:val="20"/>
              </w:rPr>
              <w:t>44</w:t>
            </w:r>
          </w:p>
        </w:tc>
        <w:tc>
          <w:tcPr>
            <w:tcW w:w="1530" w:type="dxa"/>
            <w:gridSpan w:val="2"/>
          </w:tcPr>
          <w:p>
            <w:pPr>
              <w:pBdr>
                <w:bottom w:val="single" w:color="auto" w:sz="4" w:space="1"/>
              </w:pBdr>
              <w:tabs>
                <w:tab w:val="decimal" w:pos="969"/>
              </w:tabs>
              <w:spacing w:line="380" w:lineRule="exact"/>
              <w:ind w:left="-29" w:right="-29"/>
              <w:rPr>
                <w:rFonts w:ascii="Arial" w:hAnsi="Arial" w:cs="Arial"/>
                <w:sz w:val="20"/>
                <w:szCs w:val="20"/>
              </w:rPr>
            </w:pPr>
            <w:r>
              <w:rPr>
                <w:rFonts w:ascii="Arial" w:hAnsi="Arial" w:cs="Arial"/>
                <w:sz w:val="20"/>
                <w:szCs w:val="20"/>
              </w:rPr>
              <w:t>44</w:t>
            </w:r>
          </w:p>
        </w:tc>
        <w:tc>
          <w:tcPr>
            <w:tcW w:w="1530" w:type="dxa"/>
          </w:tcPr>
          <w:p>
            <w:pPr>
              <w:pBdr>
                <w:bottom w:val="single" w:color="auto" w:sz="4" w:space="1"/>
              </w:pBdr>
              <w:tabs>
                <w:tab w:val="decimal" w:pos="969"/>
              </w:tabs>
              <w:spacing w:line="380" w:lineRule="exact"/>
              <w:ind w:left="-29" w:right="-29"/>
              <w:rPr>
                <w:rFonts w:ascii="Arial" w:hAnsi="Arial" w:cs="Arial"/>
                <w:sz w:val="20"/>
                <w:szCs w:val="20"/>
              </w:rPr>
            </w:pPr>
            <w:r>
              <w:rPr>
                <w:rFonts w:ascii="Arial" w:hAnsi="Arial" w:cs="Arial"/>
                <w:sz w:val="20"/>
                <w:szCs w:val="20"/>
              </w:rPr>
              <w:t>42</w:t>
            </w:r>
          </w:p>
        </w:tc>
      </w:tr>
      <w:tr>
        <w:tc>
          <w:tcPr>
            <w:tcW w:w="3492" w:type="dxa"/>
          </w:tcPr>
          <w:p>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0"/>
                <w:szCs w:val="20"/>
                <w:cs/>
              </w:rPr>
            </w:pPr>
            <w:r>
              <w:rPr>
                <w:rFonts w:ascii="Arial" w:hAnsi="Arial" w:cs="Arial"/>
                <w:sz w:val="20"/>
                <w:szCs w:val="20"/>
              </w:rPr>
              <w:t>Total</w:t>
            </w:r>
          </w:p>
        </w:tc>
        <w:tc>
          <w:tcPr>
            <w:tcW w:w="2520" w:type="dxa"/>
          </w:tcPr>
          <w:p>
            <w:pPr>
              <w:pBdr>
                <w:bottom w:val="double" w:color="auto" w:sz="4" w:space="1"/>
              </w:pBdr>
              <w:tabs>
                <w:tab w:val="decimal" w:pos="1338"/>
              </w:tabs>
              <w:spacing w:line="380" w:lineRule="exact"/>
              <w:ind w:left="-29" w:right="-29"/>
              <w:rPr>
                <w:rFonts w:ascii="Arial" w:hAnsi="Arial" w:cs="Arial"/>
                <w:sz w:val="20"/>
                <w:szCs w:val="20"/>
              </w:rPr>
            </w:pPr>
            <w:r>
              <w:rPr>
                <w:rFonts w:ascii="Arial" w:hAnsi="Arial" w:cs="Arial"/>
                <w:sz w:val="20"/>
                <w:szCs w:val="20"/>
              </w:rPr>
              <w:t>3,367</w:t>
            </w:r>
          </w:p>
        </w:tc>
        <w:tc>
          <w:tcPr>
            <w:tcW w:w="1530" w:type="dxa"/>
            <w:gridSpan w:val="2"/>
          </w:tcPr>
          <w:p>
            <w:pPr>
              <w:pBdr>
                <w:bottom w:val="double" w:color="auto" w:sz="4" w:space="1"/>
              </w:pBdr>
              <w:tabs>
                <w:tab w:val="decimal" w:pos="969"/>
              </w:tabs>
              <w:spacing w:line="380" w:lineRule="exact"/>
              <w:ind w:left="-29" w:right="-29"/>
              <w:rPr>
                <w:rFonts w:ascii="Arial" w:hAnsi="Arial" w:cs="Arial"/>
                <w:sz w:val="20"/>
                <w:szCs w:val="20"/>
              </w:rPr>
            </w:pPr>
            <w:r>
              <w:rPr>
                <w:rFonts w:ascii="Arial" w:hAnsi="Arial" w:cs="Arial"/>
                <w:sz w:val="20"/>
                <w:szCs w:val="20"/>
              </w:rPr>
              <w:t>3,367</w:t>
            </w:r>
          </w:p>
        </w:tc>
        <w:tc>
          <w:tcPr>
            <w:tcW w:w="1530" w:type="dxa"/>
          </w:tcPr>
          <w:p>
            <w:pPr>
              <w:pBdr>
                <w:bottom w:val="double" w:color="auto" w:sz="4" w:space="1"/>
              </w:pBdr>
              <w:tabs>
                <w:tab w:val="decimal" w:pos="969"/>
              </w:tabs>
              <w:spacing w:line="380" w:lineRule="exact"/>
              <w:ind w:left="-29" w:right="-29"/>
              <w:rPr>
                <w:rFonts w:ascii="Arial" w:hAnsi="Arial" w:cs="Arial"/>
                <w:sz w:val="20"/>
                <w:szCs w:val="20"/>
              </w:rPr>
            </w:pPr>
            <w:r>
              <w:rPr>
                <w:rFonts w:ascii="Arial" w:hAnsi="Arial" w:cs="Arial"/>
                <w:sz w:val="20"/>
                <w:szCs w:val="20"/>
              </w:rPr>
              <w:t>3,602</w:t>
            </w:r>
          </w:p>
        </w:tc>
      </w:tr>
    </w:tbl>
    <w:p>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w:t>
      </w:r>
      <w:r>
        <w:rPr>
          <w:rFonts w:ascii="Arial" w:hAnsi="Arial" w:cs="Arial"/>
          <w:b/>
          <w:bCs/>
          <w:sz w:val="22"/>
          <w:szCs w:val="22"/>
        </w:rPr>
        <w:tab/>
      </w:r>
      <w:r>
        <w:rPr>
          <w:rFonts w:ascii="Arial" w:hAnsi="Arial" w:cs="Arial"/>
          <w:b/>
          <w:bCs/>
          <w:sz w:val="22"/>
          <w:szCs w:val="22"/>
        </w:rPr>
        <w:t>Trade and other receivables</w:t>
      </w:r>
    </w:p>
    <w:tbl>
      <w:tblPr>
        <w:tblStyle w:val="8"/>
        <w:tblW w:w="9270" w:type="dxa"/>
        <w:tblInd w:w="450" w:type="dxa"/>
        <w:tblLayout w:type="fixed"/>
        <w:tblCellMar>
          <w:top w:w="0" w:type="dxa"/>
          <w:left w:w="108" w:type="dxa"/>
          <w:bottom w:w="0" w:type="dxa"/>
          <w:right w:w="108" w:type="dxa"/>
        </w:tblCellMar>
      </w:tblPr>
      <w:tblGrid>
        <w:gridCol w:w="1800"/>
        <w:gridCol w:w="1890"/>
        <w:gridCol w:w="1980"/>
        <w:gridCol w:w="1800"/>
        <w:gridCol w:w="1800"/>
      </w:tblGrid>
      <w:tr>
        <w:tblPrEx>
          <w:tblCellMar>
            <w:top w:w="0" w:type="dxa"/>
            <w:left w:w="108" w:type="dxa"/>
            <w:bottom w:w="0" w:type="dxa"/>
            <w:right w:w="108" w:type="dxa"/>
          </w:tblCellMar>
        </w:tblPrEx>
        <w:trPr>
          <w:tblHeader/>
        </w:trPr>
        <w:tc>
          <w:tcPr>
            <w:tcW w:w="1800" w:type="dxa"/>
          </w:tcPr>
          <w:p>
            <w:pPr>
              <w:tabs>
                <w:tab w:val="right" w:pos="7280"/>
                <w:tab w:val="right" w:pos="8540"/>
              </w:tabs>
              <w:spacing w:line="380" w:lineRule="exact"/>
              <w:ind w:left="-18"/>
              <w:jc w:val="right"/>
              <w:rPr>
                <w:rFonts w:ascii="Arial" w:hAnsi="Arial" w:cs="Arial"/>
                <w:sz w:val="20"/>
                <w:szCs w:val="20"/>
              </w:rPr>
            </w:pPr>
          </w:p>
        </w:tc>
        <w:tc>
          <w:tcPr>
            <w:tcW w:w="7470" w:type="dxa"/>
            <w:gridSpan w:val="4"/>
          </w:tcPr>
          <w:p>
            <w:pPr>
              <w:tabs>
                <w:tab w:val="right" w:pos="7280"/>
                <w:tab w:val="right" w:pos="8540"/>
              </w:tabs>
              <w:spacing w:line="380" w:lineRule="exact"/>
              <w:ind w:left="-18"/>
              <w:jc w:val="right"/>
              <w:rPr>
                <w:rFonts w:ascii="Arial" w:hAnsi="Arial" w:cs="Arial"/>
                <w:sz w:val="18"/>
                <w:szCs w:val="18"/>
                <w:cs/>
              </w:rPr>
            </w:pPr>
            <w:r>
              <w:rPr>
                <w:rFonts w:ascii="Arial" w:hAnsi="Arial" w:cs="Arial"/>
                <w:sz w:val="18"/>
                <w:szCs w:val="18"/>
              </w:rPr>
              <w:t>(Unit: Thousand Baht)</w:t>
            </w:r>
          </w:p>
        </w:tc>
      </w:tr>
      <w:tr>
        <w:tblPrEx>
          <w:tblCellMar>
            <w:top w:w="0" w:type="dxa"/>
            <w:left w:w="108" w:type="dxa"/>
            <w:bottom w:w="0" w:type="dxa"/>
            <w:right w:w="108" w:type="dxa"/>
          </w:tblCellMar>
        </w:tblPrEx>
        <w:trPr>
          <w:tblHeader/>
        </w:trPr>
        <w:tc>
          <w:tcPr>
            <w:tcW w:w="3690" w:type="dxa"/>
            <w:gridSpan w:val="2"/>
          </w:tcPr>
          <w:p>
            <w:pPr>
              <w:spacing w:line="380" w:lineRule="exact"/>
              <w:ind w:right="-18"/>
              <w:jc w:val="thaiDistribute"/>
              <w:rPr>
                <w:rFonts w:ascii="Arial" w:hAnsi="Arial" w:cs="Arial"/>
                <w:sz w:val="18"/>
                <w:szCs w:val="18"/>
                <w:u w:val="single"/>
              </w:rPr>
            </w:pPr>
          </w:p>
        </w:tc>
        <w:tc>
          <w:tcPr>
            <w:tcW w:w="1980" w:type="dxa"/>
          </w:tcPr>
          <w:p>
            <w:pPr>
              <w:pBdr>
                <w:bottom w:val="single" w:color="auto" w:sz="4" w:space="1"/>
              </w:pBdr>
              <w:spacing w:line="380" w:lineRule="exact"/>
              <w:ind w:left="-29" w:right="-29"/>
              <w:jc w:val="center"/>
              <w:rPr>
                <w:rFonts w:ascii="Arial" w:hAnsi="Arial" w:cstheme="minorBidi"/>
                <w:sz w:val="18"/>
                <w:szCs w:val="18"/>
              </w:rPr>
            </w:pPr>
            <w:r>
              <w:rPr>
                <w:rFonts w:ascii="Arial" w:hAnsi="Arial" w:cstheme="minorBidi"/>
                <w:sz w:val="18"/>
                <w:szCs w:val="18"/>
              </w:rPr>
              <w:t>Consolidated</w:t>
            </w:r>
          </w:p>
          <w:p>
            <w:pPr>
              <w:pBdr>
                <w:bottom w:val="single" w:color="auto" w:sz="4" w:space="1"/>
              </w:pBdr>
              <w:spacing w:line="380" w:lineRule="exact"/>
              <w:ind w:left="-29" w:right="-29"/>
              <w:jc w:val="center"/>
              <w:rPr>
                <w:rFonts w:ascii="Arial" w:hAnsi="Arial" w:cstheme="minorBidi"/>
                <w:sz w:val="18"/>
                <w:szCs w:val="18"/>
              </w:rPr>
            </w:pPr>
            <w:r>
              <w:rPr>
                <w:rFonts w:ascii="Arial" w:hAnsi="Arial" w:cstheme="minorBidi"/>
                <w:sz w:val="18"/>
                <w:szCs w:val="18"/>
              </w:rPr>
              <w:t>financial statement</w:t>
            </w:r>
          </w:p>
        </w:tc>
        <w:tc>
          <w:tcPr>
            <w:tcW w:w="3600" w:type="dxa"/>
            <w:gridSpan w:val="2"/>
          </w:tcPr>
          <w:p>
            <w:pPr>
              <w:pBdr>
                <w:bottom w:val="single" w:color="auto" w:sz="4" w:space="1"/>
              </w:pBdr>
              <w:spacing w:line="380" w:lineRule="exact"/>
              <w:ind w:left="-29" w:right="-29"/>
              <w:jc w:val="center"/>
              <w:rPr>
                <w:rFonts w:ascii="Arial" w:hAnsi="Arial" w:cs="Arial"/>
                <w:sz w:val="18"/>
                <w:szCs w:val="18"/>
              </w:rPr>
            </w:pPr>
            <w:r>
              <w:rPr>
                <w:rFonts w:ascii="Arial" w:hAnsi="Arial" w:cs="Arial"/>
                <w:sz w:val="18"/>
                <w:szCs w:val="18"/>
              </w:rPr>
              <w:t xml:space="preserve">Separate </w:t>
            </w:r>
          </w:p>
          <w:p>
            <w:pPr>
              <w:pBdr>
                <w:bottom w:val="single" w:color="auto" w:sz="4" w:space="1"/>
              </w:pBdr>
              <w:spacing w:line="380" w:lineRule="exact"/>
              <w:ind w:left="-29" w:right="-29"/>
              <w:jc w:val="center"/>
              <w:rPr>
                <w:rFonts w:ascii="Arial" w:hAnsi="Arial" w:cs="Arial"/>
                <w:sz w:val="18"/>
                <w:szCs w:val="18"/>
              </w:rPr>
            </w:pPr>
            <w:r>
              <w:rPr>
                <w:rFonts w:ascii="Arial" w:hAnsi="Arial" w:cstheme="minorBidi"/>
                <w:sz w:val="18"/>
                <w:szCs w:val="18"/>
              </w:rPr>
              <w:t>financial statement</w:t>
            </w:r>
          </w:p>
        </w:tc>
      </w:tr>
      <w:tr>
        <w:tblPrEx>
          <w:tblCellMar>
            <w:top w:w="0" w:type="dxa"/>
            <w:left w:w="108" w:type="dxa"/>
            <w:bottom w:w="0" w:type="dxa"/>
            <w:right w:w="108" w:type="dxa"/>
          </w:tblCellMar>
        </w:tblPrEx>
        <w:trPr>
          <w:tblHeader/>
        </w:trPr>
        <w:tc>
          <w:tcPr>
            <w:tcW w:w="3690" w:type="dxa"/>
            <w:gridSpan w:val="2"/>
          </w:tcPr>
          <w:p>
            <w:pPr>
              <w:spacing w:line="380" w:lineRule="exact"/>
              <w:ind w:right="-18"/>
              <w:jc w:val="thaiDistribute"/>
              <w:rPr>
                <w:rFonts w:ascii="Arial" w:hAnsi="Arial" w:cs="Arial"/>
                <w:sz w:val="18"/>
                <w:szCs w:val="18"/>
                <w:u w:val="single"/>
              </w:rPr>
            </w:pPr>
          </w:p>
        </w:tc>
        <w:tc>
          <w:tcPr>
            <w:tcW w:w="1980" w:type="dxa"/>
          </w:tcPr>
          <w:p>
            <w:pPr>
              <w:pBdr>
                <w:bottom w:val="single" w:color="auto" w:sz="4" w:space="1"/>
              </w:pBdr>
              <w:spacing w:line="380" w:lineRule="exact"/>
              <w:ind w:left="-29" w:right="-29"/>
              <w:jc w:val="center"/>
              <w:rPr>
                <w:rFonts w:ascii="Arial" w:hAnsi="Arial" w:cs="Arial"/>
                <w:sz w:val="18"/>
                <w:szCs w:val="18"/>
              </w:rPr>
            </w:pPr>
            <w:r>
              <w:rPr>
                <w:rFonts w:ascii="Arial" w:hAnsi="Arial" w:cs="Arial"/>
                <w:sz w:val="18"/>
                <w:szCs w:val="18"/>
              </w:rPr>
              <w:t>30 September          2022</w:t>
            </w:r>
          </w:p>
        </w:tc>
        <w:tc>
          <w:tcPr>
            <w:tcW w:w="1800" w:type="dxa"/>
          </w:tcPr>
          <w:p>
            <w:pPr>
              <w:pBdr>
                <w:bottom w:val="single" w:color="auto" w:sz="4" w:space="1"/>
              </w:pBdr>
              <w:spacing w:line="380" w:lineRule="exact"/>
              <w:ind w:left="-29" w:right="-29"/>
              <w:jc w:val="center"/>
              <w:rPr>
                <w:rFonts w:ascii="Arial" w:hAnsi="Arial" w:cs="Arial"/>
                <w:sz w:val="18"/>
                <w:szCs w:val="18"/>
              </w:rPr>
            </w:pPr>
            <w:r>
              <w:rPr>
                <w:rFonts w:ascii="Arial" w:hAnsi="Arial" w:cs="Arial"/>
                <w:sz w:val="18"/>
                <w:szCs w:val="18"/>
              </w:rPr>
              <w:t>30 September          2022</w:t>
            </w:r>
          </w:p>
        </w:tc>
        <w:tc>
          <w:tcPr>
            <w:tcW w:w="1800" w:type="dxa"/>
          </w:tcPr>
          <w:p>
            <w:pPr>
              <w:pBdr>
                <w:bottom w:val="single" w:color="auto" w:sz="4" w:space="1"/>
              </w:pBdr>
              <w:spacing w:line="380" w:lineRule="exact"/>
              <w:ind w:left="-29" w:right="-29"/>
              <w:jc w:val="center"/>
              <w:rPr>
                <w:rFonts w:ascii="Arial" w:hAnsi="Arial" w:cstheme="minorBidi"/>
                <w:sz w:val="18"/>
                <w:szCs w:val="18"/>
              </w:rPr>
            </w:pPr>
            <w:r>
              <w:rPr>
                <w:rFonts w:ascii="Arial" w:hAnsi="Arial" w:cs="Arial"/>
                <w:sz w:val="18"/>
                <w:szCs w:val="18"/>
              </w:rPr>
              <w:t xml:space="preserve">31 December </w:t>
            </w:r>
          </w:p>
          <w:p>
            <w:pPr>
              <w:pBdr>
                <w:bottom w:val="single" w:color="auto" w:sz="4" w:space="1"/>
              </w:pBdr>
              <w:spacing w:line="380" w:lineRule="exact"/>
              <w:ind w:left="-29" w:right="-29"/>
              <w:jc w:val="center"/>
              <w:rPr>
                <w:rFonts w:ascii="Arial" w:hAnsi="Arial" w:cs="Arial"/>
                <w:sz w:val="18"/>
                <w:szCs w:val="18"/>
              </w:rPr>
            </w:pPr>
            <w:r>
              <w:rPr>
                <w:rFonts w:ascii="Arial" w:hAnsi="Arial" w:cs="Arial"/>
                <w:sz w:val="18"/>
                <w:szCs w:val="18"/>
              </w:rPr>
              <w:t>2021</w:t>
            </w:r>
          </w:p>
        </w:tc>
      </w:tr>
      <w:tr>
        <w:tblPrEx>
          <w:tblCellMar>
            <w:top w:w="0" w:type="dxa"/>
            <w:left w:w="108" w:type="dxa"/>
            <w:bottom w:w="0" w:type="dxa"/>
            <w:right w:w="108" w:type="dxa"/>
          </w:tblCellMar>
        </w:tblPrEx>
        <w:trPr>
          <w:trHeight w:val="70" w:hRule="atLeast"/>
          <w:tblHeader/>
        </w:trPr>
        <w:tc>
          <w:tcPr>
            <w:tcW w:w="3690" w:type="dxa"/>
            <w:gridSpan w:val="2"/>
          </w:tcPr>
          <w:p>
            <w:pPr>
              <w:tabs>
                <w:tab w:val="left" w:pos="162"/>
              </w:tabs>
              <w:spacing w:line="380" w:lineRule="exact"/>
              <w:ind w:right="-17"/>
              <w:rPr>
                <w:rFonts w:ascii="Arial" w:hAnsi="Arial" w:cs="Arial"/>
                <w:sz w:val="18"/>
                <w:szCs w:val="18"/>
              </w:rPr>
            </w:pPr>
          </w:p>
        </w:tc>
        <w:tc>
          <w:tcPr>
            <w:tcW w:w="1980" w:type="dxa"/>
          </w:tcPr>
          <w:p>
            <w:pPr>
              <w:tabs>
                <w:tab w:val="decimal" w:pos="972"/>
              </w:tabs>
              <w:spacing w:line="380" w:lineRule="exact"/>
              <w:ind w:left="-29" w:right="-29"/>
              <w:rPr>
                <w:rFonts w:ascii="Arial" w:hAnsi="Arial" w:cs="Arial"/>
                <w:sz w:val="18"/>
                <w:szCs w:val="18"/>
                <w:cs/>
              </w:rPr>
            </w:pPr>
          </w:p>
        </w:tc>
        <w:tc>
          <w:tcPr>
            <w:tcW w:w="1800" w:type="dxa"/>
            <w:vAlign w:val="bottom"/>
          </w:tcPr>
          <w:p>
            <w:pPr>
              <w:tabs>
                <w:tab w:val="decimal" w:pos="972"/>
              </w:tabs>
              <w:spacing w:line="380" w:lineRule="exact"/>
              <w:ind w:left="-29" w:right="-29"/>
              <w:rPr>
                <w:rFonts w:ascii="Arial" w:hAnsi="Arial" w:cs="Arial"/>
                <w:sz w:val="18"/>
                <w:szCs w:val="18"/>
                <w:cs/>
              </w:rPr>
            </w:pPr>
          </w:p>
        </w:tc>
        <w:tc>
          <w:tcPr>
            <w:tcW w:w="1800" w:type="dxa"/>
            <w:vAlign w:val="bottom"/>
          </w:tcPr>
          <w:p>
            <w:pPr>
              <w:spacing w:line="380" w:lineRule="exact"/>
              <w:ind w:left="-29" w:right="-29"/>
              <w:jc w:val="center"/>
              <w:rPr>
                <w:rFonts w:ascii="Arial" w:hAnsi="Arial" w:cs="Arial"/>
                <w:sz w:val="18"/>
                <w:szCs w:val="18"/>
                <w:cs/>
              </w:rPr>
            </w:pPr>
            <w:r>
              <w:rPr>
                <w:rFonts w:ascii="Arial" w:hAnsi="Arial" w:cs="Arial"/>
                <w:sz w:val="18"/>
                <w:szCs w:val="18"/>
              </w:rPr>
              <w:t>(Audited)</w:t>
            </w:r>
          </w:p>
        </w:tc>
      </w:tr>
      <w:tr>
        <w:tblPrEx>
          <w:tblCellMar>
            <w:top w:w="0" w:type="dxa"/>
            <w:left w:w="108" w:type="dxa"/>
            <w:bottom w:w="0" w:type="dxa"/>
            <w:right w:w="108" w:type="dxa"/>
          </w:tblCellMar>
        </w:tblPrEx>
        <w:tc>
          <w:tcPr>
            <w:tcW w:w="3690" w:type="dxa"/>
            <w:gridSpan w:val="2"/>
          </w:tcPr>
          <w:p>
            <w:pPr>
              <w:spacing w:line="380" w:lineRule="exact"/>
              <w:ind w:right="-17"/>
              <w:rPr>
                <w:rFonts w:ascii="Arial" w:hAnsi="Arial" w:cs="Arial"/>
                <w:sz w:val="18"/>
                <w:szCs w:val="18"/>
              </w:rPr>
            </w:pPr>
            <w:r>
              <w:rPr>
                <w:rFonts w:ascii="Arial" w:hAnsi="Arial" w:cs="Arial"/>
                <w:sz w:val="18"/>
                <w:szCs w:val="18"/>
                <w:u w:val="single"/>
              </w:rPr>
              <w:t xml:space="preserve">Trade receivables </w:t>
            </w:r>
          </w:p>
        </w:tc>
        <w:tc>
          <w:tcPr>
            <w:tcW w:w="1980" w:type="dxa"/>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cs/>
              </w:rPr>
            </w:pPr>
          </w:p>
        </w:tc>
      </w:tr>
      <w:tr>
        <w:tblPrEx>
          <w:tblCellMar>
            <w:top w:w="0" w:type="dxa"/>
            <w:left w:w="108" w:type="dxa"/>
            <w:bottom w:w="0" w:type="dxa"/>
            <w:right w:w="108" w:type="dxa"/>
          </w:tblCellMar>
        </w:tblPrEx>
        <w:tc>
          <w:tcPr>
            <w:tcW w:w="3690" w:type="dxa"/>
            <w:gridSpan w:val="2"/>
          </w:tcPr>
          <w:p>
            <w:pPr>
              <w:spacing w:line="380" w:lineRule="exact"/>
              <w:ind w:right="-17"/>
              <w:rPr>
                <w:rFonts w:ascii="Arial" w:hAnsi="Arial" w:cs="Arial"/>
                <w:sz w:val="18"/>
                <w:szCs w:val="18"/>
                <w:u w:val="single"/>
              </w:rPr>
            </w:pPr>
            <w:r>
              <w:rPr>
                <w:rFonts w:ascii="Arial" w:hAnsi="Arial" w:cs="Arial"/>
                <w:sz w:val="18"/>
                <w:szCs w:val="18"/>
              </w:rPr>
              <w:t>Aged on the basis of due dates</w:t>
            </w:r>
          </w:p>
        </w:tc>
        <w:tc>
          <w:tcPr>
            <w:tcW w:w="1980" w:type="dxa"/>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cs/>
              </w:rPr>
            </w:pPr>
          </w:p>
        </w:tc>
      </w:tr>
      <w:tr>
        <w:tblPrEx>
          <w:tblCellMar>
            <w:top w:w="0" w:type="dxa"/>
            <w:left w:w="108" w:type="dxa"/>
            <w:bottom w:w="0" w:type="dxa"/>
            <w:right w:w="108" w:type="dxa"/>
          </w:tblCellMar>
        </w:tblPrEx>
        <w:tc>
          <w:tcPr>
            <w:tcW w:w="3690" w:type="dxa"/>
            <w:gridSpan w:val="2"/>
          </w:tcPr>
          <w:p>
            <w:pPr>
              <w:spacing w:line="380" w:lineRule="exact"/>
              <w:ind w:right="-17"/>
              <w:rPr>
                <w:rFonts w:ascii="Arial" w:hAnsi="Arial" w:cs="Arial"/>
                <w:sz w:val="18"/>
                <w:szCs w:val="18"/>
                <w:u w:val="single"/>
              </w:rPr>
            </w:pPr>
            <w:r>
              <w:rPr>
                <w:rFonts w:ascii="Arial" w:hAnsi="Arial" w:cs="Arial"/>
                <w:sz w:val="18"/>
                <w:szCs w:val="18"/>
              </w:rPr>
              <w:t xml:space="preserve">   Not yet due</w:t>
            </w:r>
          </w:p>
        </w:tc>
        <w:tc>
          <w:tcPr>
            <w:tcW w:w="1980" w:type="dxa"/>
          </w:tcPr>
          <w:p>
            <w:pPr>
              <w:tabs>
                <w:tab w:val="decimal" w:pos="1240"/>
              </w:tabs>
              <w:spacing w:line="380" w:lineRule="exact"/>
              <w:ind w:left="-29" w:right="-29"/>
              <w:rPr>
                <w:rFonts w:ascii="Arial" w:hAnsi="Arial" w:cs="Arial"/>
                <w:sz w:val="18"/>
                <w:szCs w:val="18"/>
                <w:cs/>
              </w:rPr>
            </w:pPr>
            <w:r>
              <w:rPr>
                <w:rFonts w:ascii="Arial" w:hAnsi="Arial" w:cs="Arial"/>
                <w:sz w:val="18"/>
                <w:szCs w:val="18"/>
              </w:rPr>
              <w:t>9,108</w:t>
            </w:r>
          </w:p>
        </w:tc>
        <w:tc>
          <w:tcPr>
            <w:tcW w:w="1800" w:type="dxa"/>
            <w:vAlign w:val="bottom"/>
          </w:tcPr>
          <w:p>
            <w:pPr>
              <w:tabs>
                <w:tab w:val="decimal" w:pos="1240"/>
              </w:tabs>
              <w:spacing w:line="380" w:lineRule="exact"/>
              <w:ind w:left="-29" w:right="-29"/>
              <w:rPr>
                <w:rFonts w:ascii="Arial" w:hAnsi="Arial" w:cs="Arial"/>
                <w:sz w:val="18"/>
                <w:szCs w:val="18"/>
                <w:cs/>
              </w:rPr>
            </w:pPr>
            <w:r>
              <w:rPr>
                <w:rFonts w:ascii="Arial" w:hAnsi="Arial" w:cs="Arial"/>
                <w:sz w:val="18"/>
                <w:szCs w:val="18"/>
              </w:rPr>
              <w:t>3,611</w:t>
            </w:r>
          </w:p>
        </w:tc>
        <w:tc>
          <w:tcPr>
            <w:tcW w:w="1800" w:type="dxa"/>
            <w:vAlign w:val="bottom"/>
          </w:tcPr>
          <w:p>
            <w:pPr>
              <w:tabs>
                <w:tab w:val="decimal" w:pos="1240"/>
              </w:tabs>
              <w:spacing w:line="380" w:lineRule="exact"/>
              <w:ind w:left="-29" w:right="-29"/>
              <w:rPr>
                <w:rFonts w:ascii="Arial" w:hAnsi="Arial" w:cs="Arial"/>
                <w:sz w:val="18"/>
                <w:szCs w:val="18"/>
                <w:cs/>
              </w:rPr>
            </w:pPr>
            <w:r>
              <w:rPr>
                <w:rFonts w:ascii="Arial" w:hAnsi="Arial" w:cs="Arial"/>
                <w:sz w:val="18"/>
                <w:szCs w:val="18"/>
              </w:rPr>
              <w:t>2,885</w:t>
            </w:r>
          </w:p>
        </w:tc>
      </w:tr>
      <w:tr>
        <w:tblPrEx>
          <w:tblCellMar>
            <w:top w:w="0" w:type="dxa"/>
            <w:left w:w="108" w:type="dxa"/>
            <w:bottom w:w="0" w:type="dxa"/>
            <w:right w:w="108" w:type="dxa"/>
          </w:tblCellMar>
        </w:tblPrEx>
        <w:tc>
          <w:tcPr>
            <w:tcW w:w="3690" w:type="dxa"/>
            <w:gridSpan w:val="2"/>
          </w:tcPr>
          <w:p>
            <w:pPr>
              <w:spacing w:line="380" w:lineRule="exact"/>
              <w:ind w:right="-17"/>
              <w:rPr>
                <w:rFonts w:ascii="Arial" w:hAnsi="Arial" w:cs="Arial"/>
                <w:sz w:val="18"/>
                <w:szCs w:val="18"/>
                <w:u w:val="single"/>
              </w:rPr>
            </w:pPr>
            <w:r>
              <w:rPr>
                <w:rFonts w:ascii="Arial" w:hAnsi="Arial" w:cs="Arial"/>
                <w:sz w:val="18"/>
                <w:szCs w:val="18"/>
              </w:rPr>
              <w:t xml:space="preserve">   Past due</w:t>
            </w:r>
          </w:p>
        </w:tc>
        <w:tc>
          <w:tcPr>
            <w:tcW w:w="1980" w:type="dxa"/>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cs/>
              </w:rPr>
            </w:pPr>
          </w:p>
        </w:tc>
      </w:tr>
      <w:tr>
        <w:tblPrEx>
          <w:tblCellMar>
            <w:top w:w="0" w:type="dxa"/>
            <w:left w:w="108" w:type="dxa"/>
            <w:bottom w:w="0" w:type="dxa"/>
            <w:right w:w="108" w:type="dxa"/>
          </w:tblCellMar>
        </w:tblPrEx>
        <w:tc>
          <w:tcPr>
            <w:tcW w:w="3690" w:type="dxa"/>
            <w:gridSpan w:val="2"/>
          </w:tcPr>
          <w:p>
            <w:pPr>
              <w:spacing w:line="380" w:lineRule="exact"/>
              <w:ind w:right="-17"/>
              <w:rPr>
                <w:rFonts w:ascii="Arial" w:hAnsi="Arial" w:cs="Arial"/>
                <w:sz w:val="18"/>
                <w:szCs w:val="18"/>
              </w:rPr>
            </w:pPr>
            <w:r>
              <w:rPr>
                <w:rFonts w:hint="cs" w:ascii="Arial" w:hAnsi="Arial" w:cs="Arial"/>
                <w:sz w:val="18"/>
                <w:szCs w:val="18"/>
                <w:cs/>
              </w:rPr>
              <w:t xml:space="preserve">     </w:t>
            </w:r>
            <w:r>
              <w:rPr>
                <w:rFonts w:ascii="Arial" w:hAnsi="Arial" w:cs="Arial"/>
                <w:sz w:val="18"/>
                <w:szCs w:val="18"/>
              </w:rPr>
              <w:t>Up to 3 months</w:t>
            </w:r>
          </w:p>
        </w:tc>
        <w:tc>
          <w:tcPr>
            <w:tcW w:w="1980" w:type="dxa"/>
          </w:tcPr>
          <w:p>
            <w:pPr>
              <w:pBdr>
                <w:bottom w:val="single" w:color="auto" w:sz="4" w:space="1"/>
              </w:pBdr>
              <w:tabs>
                <w:tab w:val="decimal" w:pos="1240"/>
              </w:tabs>
              <w:spacing w:line="380" w:lineRule="exact"/>
              <w:ind w:left="-29" w:right="-29"/>
              <w:rPr>
                <w:rFonts w:ascii="Arial" w:hAnsi="Arial" w:cs="Arial"/>
                <w:sz w:val="18"/>
                <w:szCs w:val="18"/>
                <w:cs/>
              </w:rPr>
            </w:pPr>
            <w:r>
              <w:rPr>
                <w:rFonts w:ascii="Arial" w:hAnsi="Arial" w:cs="Arial"/>
                <w:sz w:val="18"/>
                <w:szCs w:val="18"/>
              </w:rPr>
              <w:t>1,283</w:t>
            </w:r>
          </w:p>
        </w:tc>
        <w:tc>
          <w:tcPr>
            <w:tcW w:w="1800" w:type="dxa"/>
            <w:vAlign w:val="bottom"/>
          </w:tcPr>
          <w:p>
            <w:pPr>
              <w:pBdr>
                <w:bottom w:val="single" w:color="auto" w:sz="4" w:space="1"/>
              </w:pBdr>
              <w:tabs>
                <w:tab w:val="decimal" w:pos="1240"/>
              </w:tabs>
              <w:spacing w:line="380" w:lineRule="exact"/>
              <w:ind w:left="-29" w:right="-29"/>
              <w:rPr>
                <w:rFonts w:ascii="Arial" w:hAnsi="Arial" w:cs="Arial"/>
                <w:sz w:val="18"/>
                <w:szCs w:val="18"/>
                <w:cs/>
              </w:rPr>
            </w:pPr>
            <w:r>
              <w:rPr>
                <w:rFonts w:ascii="Arial" w:hAnsi="Arial" w:cs="Arial"/>
                <w:sz w:val="18"/>
                <w:szCs w:val="18"/>
              </w:rPr>
              <w:t>-</w:t>
            </w:r>
          </w:p>
        </w:tc>
        <w:tc>
          <w:tcPr>
            <w:tcW w:w="1800" w:type="dxa"/>
            <w:vAlign w:val="bottom"/>
          </w:tcPr>
          <w:p>
            <w:pPr>
              <w:pBdr>
                <w:bottom w:val="single" w:color="auto" w:sz="4" w:space="1"/>
              </w:pBdr>
              <w:tabs>
                <w:tab w:val="decimal" w:pos="1240"/>
              </w:tabs>
              <w:spacing w:line="380" w:lineRule="exact"/>
              <w:ind w:left="-29" w:right="-29"/>
              <w:rPr>
                <w:rFonts w:ascii="Arial" w:hAnsi="Arial" w:cs="Arial"/>
                <w:sz w:val="18"/>
                <w:szCs w:val="18"/>
                <w:cs/>
              </w:rPr>
            </w:pPr>
            <w:r>
              <w:rPr>
                <w:rFonts w:ascii="Arial" w:hAnsi="Arial" w:cs="Arial"/>
                <w:sz w:val="18"/>
                <w:szCs w:val="18"/>
              </w:rPr>
              <w:t>-</w:t>
            </w:r>
          </w:p>
        </w:tc>
      </w:tr>
      <w:tr>
        <w:tblPrEx>
          <w:tblCellMar>
            <w:top w:w="0" w:type="dxa"/>
            <w:left w:w="108" w:type="dxa"/>
            <w:bottom w:w="0" w:type="dxa"/>
            <w:right w:w="108" w:type="dxa"/>
          </w:tblCellMar>
        </w:tblPrEx>
        <w:tc>
          <w:tcPr>
            <w:tcW w:w="3690" w:type="dxa"/>
            <w:gridSpan w:val="2"/>
          </w:tcPr>
          <w:p>
            <w:pPr>
              <w:spacing w:line="380" w:lineRule="exact"/>
              <w:ind w:right="-17"/>
              <w:rPr>
                <w:rFonts w:ascii="Arial" w:hAnsi="Arial" w:cs="Arial"/>
                <w:sz w:val="18"/>
                <w:szCs w:val="18"/>
                <w:cs/>
              </w:rPr>
            </w:pPr>
            <w:r>
              <w:rPr>
                <w:rFonts w:ascii="Arial" w:hAnsi="Arial" w:cs="Arial"/>
                <w:sz w:val="18"/>
                <w:szCs w:val="18"/>
              </w:rPr>
              <w:t xml:space="preserve">Total trade receivables </w:t>
            </w:r>
          </w:p>
        </w:tc>
        <w:tc>
          <w:tcPr>
            <w:tcW w:w="1980" w:type="dxa"/>
            <w:shd w:val="clear" w:color="auto" w:fill="FFFFFF" w:themeFill="background1"/>
          </w:tcPr>
          <w:p>
            <w:pPr>
              <w:pBdr>
                <w:bottom w:val="single" w:color="auto" w:sz="4" w:space="1"/>
              </w:pBdr>
              <w:tabs>
                <w:tab w:val="decimal" w:pos="1240"/>
              </w:tabs>
              <w:spacing w:line="380" w:lineRule="exact"/>
              <w:ind w:left="-29" w:right="-29"/>
              <w:rPr>
                <w:rFonts w:ascii="Arial" w:hAnsi="Arial" w:cs="Arial"/>
                <w:sz w:val="18"/>
                <w:szCs w:val="18"/>
                <w:cs/>
              </w:rPr>
            </w:pPr>
            <w:r>
              <w:rPr>
                <w:rFonts w:ascii="Arial" w:hAnsi="Arial" w:cs="Arial"/>
                <w:sz w:val="18"/>
                <w:szCs w:val="18"/>
              </w:rPr>
              <w:t>10,391</w:t>
            </w:r>
          </w:p>
        </w:tc>
        <w:tc>
          <w:tcPr>
            <w:tcW w:w="1800" w:type="dxa"/>
            <w:shd w:val="clear" w:color="auto" w:fill="FFFFFF" w:themeFill="background1"/>
            <w:vAlign w:val="bottom"/>
          </w:tcPr>
          <w:p>
            <w:pPr>
              <w:pBdr>
                <w:bottom w:val="single" w:color="auto" w:sz="4" w:space="1"/>
              </w:pBdr>
              <w:tabs>
                <w:tab w:val="decimal" w:pos="1240"/>
              </w:tabs>
              <w:spacing w:line="380" w:lineRule="exact"/>
              <w:ind w:left="-29" w:right="-29"/>
              <w:rPr>
                <w:rFonts w:ascii="Arial" w:hAnsi="Arial" w:cs="Arial"/>
                <w:sz w:val="18"/>
                <w:szCs w:val="18"/>
                <w:cs/>
              </w:rPr>
            </w:pPr>
            <w:r>
              <w:rPr>
                <w:rFonts w:ascii="Arial" w:hAnsi="Arial" w:cs="Arial"/>
                <w:sz w:val="18"/>
                <w:szCs w:val="18"/>
              </w:rPr>
              <w:t>3,611</w:t>
            </w:r>
          </w:p>
        </w:tc>
        <w:tc>
          <w:tcPr>
            <w:tcW w:w="1800" w:type="dxa"/>
            <w:shd w:val="clear" w:color="auto" w:fill="FFFFFF" w:themeFill="background1"/>
            <w:vAlign w:val="bottom"/>
          </w:tcPr>
          <w:p>
            <w:pPr>
              <w:pBdr>
                <w:bottom w:val="single" w:color="auto" w:sz="4" w:space="1"/>
              </w:pBdr>
              <w:tabs>
                <w:tab w:val="decimal" w:pos="1240"/>
              </w:tabs>
              <w:spacing w:line="380" w:lineRule="exact"/>
              <w:ind w:left="-29" w:right="-29"/>
              <w:rPr>
                <w:rFonts w:ascii="Arial" w:hAnsi="Arial" w:cs="Arial"/>
                <w:sz w:val="18"/>
                <w:szCs w:val="18"/>
                <w:cs/>
              </w:rPr>
            </w:pPr>
            <w:r>
              <w:rPr>
                <w:rFonts w:ascii="Arial" w:hAnsi="Arial" w:cs="Arial"/>
                <w:sz w:val="18"/>
                <w:szCs w:val="18"/>
              </w:rPr>
              <w:t>2,885</w:t>
            </w:r>
          </w:p>
        </w:tc>
      </w:tr>
      <w:tr>
        <w:tblPrEx>
          <w:tblCellMar>
            <w:top w:w="0" w:type="dxa"/>
            <w:left w:w="108" w:type="dxa"/>
            <w:bottom w:w="0" w:type="dxa"/>
            <w:right w:w="108" w:type="dxa"/>
          </w:tblCellMar>
        </w:tblPrEx>
        <w:tc>
          <w:tcPr>
            <w:tcW w:w="3690" w:type="dxa"/>
            <w:gridSpan w:val="2"/>
          </w:tcPr>
          <w:p>
            <w:pPr>
              <w:tabs>
                <w:tab w:val="left" w:pos="162"/>
              </w:tabs>
              <w:spacing w:line="380" w:lineRule="exact"/>
              <w:ind w:right="-17"/>
              <w:rPr>
                <w:rFonts w:ascii="Arial" w:hAnsi="Arial" w:cs="Arial"/>
                <w:sz w:val="18"/>
                <w:szCs w:val="18"/>
                <w:u w:val="single"/>
              </w:rPr>
            </w:pPr>
          </w:p>
        </w:tc>
        <w:tc>
          <w:tcPr>
            <w:tcW w:w="1980" w:type="dxa"/>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rPr>
            </w:pPr>
          </w:p>
        </w:tc>
      </w:tr>
      <w:tr>
        <w:tblPrEx>
          <w:tblCellMar>
            <w:top w:w="0" w:type="dxa"/>
            <w:left w:w="108" w:type="dxa"/>
            <w:bottom w:w="0" w:type="dxa"/>
            <w:right w:w="108" w:type="dxa"/>
          </w:tblCellMar>
        </w:tblPrEx>
        <w:tc>
          <w:tcPr>
            <w:tcW w:w="3690" w:type="dxa"/>
            <w:gridSpan w:val="2"/>
          </w:tcPr>
          <w:p>
            <w:pPr>
              <w:tabs>
                <w:tab w:val="left" w:pos="162"/>
              </w:tabs>
              <w:spacing w:line="380" w:lineRule="exact"/>
              <w:ind w:right="-17"/>
              <w:rPr>
                <w:rFonts w:ascii="Arial" w:hAnsi="Arial" w:cs="Arial"/>
                <w:sz w:val="18"/>
                <w:szCs w:val="18"/>
                <w:u w:val="single"/>
              </w:rPr>
            </w:pPr>
          </w:p>
        </w:tc>
        <w:tc>
          <w:tcPr>
            <w:tcW w:w="1980" w:type="dxa"/>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rPr>
            </w:pPr>
          </w:p>
        </w:tc>
      </w:tr>
      <w:tr>
        <w:tblPrEx>
          <w:tblCellMar>
            <w:top w:w="0" w:type="dxa"/>
            <w:left w:w="108" w:type="dxa"/>
            <w:bottom w:w="0" w:type="dxa"/>
            <w:right w:w="108" w:type="dxa"/>
          </w:tblCellMar>
        </w:tblPrEx>
        <w:tc>
          <w:tcPr>
            <w:tcW w:w="3690" w:type="dxa"/>
            <w:gridSpan w:val="2"/>
          </w:tcPr>
          <w:p>
            <w:pPr>
              <w:tabs>
                <w:tab w:val="left" w:pos="162"/>
              </w:tabs>
              <w:spacing w:line="380" w:lineRule="exact"/>
              <w:ind w:right="-17"/>
              <w:rPr>
                <w:rFonts w:ascii="Arial" w:hAnsi="Arial" w:cs="Arial"/>
                <w:sz w:val="18"/>
                <w:szCs w:val="18"/>
                <w:u w:val="single"/>
                <w:cs/>
              </w:rPr>
            </w:pPr>
            <w:r>
              <w:rPr>
                <w:rFonts w:ascii="Arial" w:hAnsi="Arial" w:cs="Arial"/>
                <w:sz w:val="18"/>
                <w:szCs w:val="18"/>
                <w:u w:val="single"/>
              </w:rPr>
              <w:t xml:space="preserve">Other receivables </w:t>
            </w:r>
          </w:p>
        </w:tc>
        <w:tc>
          <w:tcPr>
            <w:tcW w:w="1980" w:type="dxa"/>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rPr>
            </w:pPr>
          </w:p>
        </w:tc>
      </w:tr>
      <w:tr>
        <w:tblPrEx>
          <w:tblCellMar>
            <w:top w:w="0" w:type="dxa"/>
            <w:left w:w="108" w:type="dxa"/>
            <w:bottom w:w="0" w:type="dxa"/>
            <w:right w:w="108" w:type="dxa"/>
          </w:tblCellMar>
        </w:tblPrEx>
        <w:tc>
          <w:tcPr>
            <w:tcW w:w="3690" w:type="dxa"/>
            <w:gridSpan w:val="2"/>
            <w:vAlign w:val="center"/>
          </w:tcPr>
          <w:p>
            <w:pPr>
              <w:tabs>
                <w:tab w:val="left" w:pos="162"/>
              </w:tabs>
              <w:spacing w:line="380" w:lineRule="exact"/>
              <w:ind w:right="-17"/>
              <w:rPr>
                <w:rFonts w:ascii="Arial" w:hAnsi="Arial" w:cs="Arial"/>
                <w:sz w:val="18"/>
                <w:szCs w:val="18"/>
              </w:rPr>
            </w:pPr>
            <w:r>
              <w:rPr>
                <w:rFonts w:ascii="Arial" w:hAnsi="Arial" w:cs="Arial"/>
                <w:sz w:val="18"/>
                <w:szCs w:val="18"/>
              </w:rPr>
              <w:t xml:space="preserve">Other receivables </w:t>
            </w:r>
          </w:p>
        </w:tc>
        <w:tc>
          <w:tcPr>
            <w:tcW w:w="1980" w:type="dxa"/>
          </w:tcPr>
          <w:p>
            <w:pPr>
              <w:tabs>
                <w:tab w:val="decimal" w:pos="1240"/>
              </w:tabs>
              <w:spacing w:line="380" w:lineRule="exact"/>
              <w:ind w:left="-29" w:right="-29"/>
              <w:rPr>
                <w:rFonts w:ascii="Arial" w:hAnsi="Arial" w:cs="Arial"/>
                <w:sz w:val="18"/>
                <w:szCs w:val="18"/>
              </w:rPr>
            </w:pPr>
            <w:r>
              <w:rPr>
                <w:rFonts w:ascii="Arial" w:hAnsi="Arial" w:cs="Arial"/>
                <w:sz w:val="18"/>
                <w:szCs w:val="18"/>
              </w:rPr>
              <w:t>190</w:t>
            </w:r>
          </w:p>
        </w:tc>
        <w:tc>
          <w:tcPr>
            <w:tcW w:w="1800" w:type="dxa"/>
            <w:vAlign w:val="bottom"/>
          </w:tcPr>
          <w:p>
            <w:pPr>
              <w:tabs>
                <w:tab w:val="decimal" w:pos="1240"/>
              </w:tabs>
              <w:spacing w:line="380" w:lineRule="exact"/>
              <w:ind w:left="-29" w:right="-29"/>
              <w:rPr>
                <w:rFonts w:ascii="Arial" w:hAnsi="Arial" w:cs="Arial"/>
                <w:sz w:val="18"/>
                <w:szCs w:val="18"/>
              </w:rPr>
            </w:pPr>
            <w:r>
              <w:rPr>
                <w:rFonts w:ascii="Arial" w:hAnsi="Arial" w:cs="Arial"/>
                <w:sz w:val="18"/>
                <w:szCs w:val="18"/>
              </w:rPr>
              <w:t>120</w:t>
            </w:r>
          </w:p>
        </w:tc>
        <w:tc>
          <w:tcPr>
            <w:tcW w:w="1800" w:type="dxa"/>
            <w:vAlign w:val="bottom"/>
          </w:tcPr>
          <w:p>
            <w:pPr>
              <w:tabs>
                <w:tab w:val="decimal" w:pos="1240"/>
              </w:tabs>
              <w:spacing w:line="380" w:lineRule="exact"/>
              <w:ind w:left="-29" w:right="-29"/>
              <w:rPr>
                <w:rFonts w:ascii="Arial" w:hAnsi="Arial" w:cs="Arial"/>
                <w:sz w:val="18"/>
                <w:szCs w:val="18"/>
              </w:rPr>
            </w:pPr>
            <w:r>
              <w:rPr>
                <w:rFonts w:ascii="Arial" w:hAnsi="Arial" w:cs="Arial"/>
                <w:sz w:val="18"/>
                <w:szCs w:val="18"/>
              </w:rPr>
              <w:t>171</w:t>
            </w:r>
          </w:p>
        </w:tc>
      </w:tr>
      <w:tr>
        <w:tblPrEx>
          <w:tblCellMar>
            <w:top w:w="0" w:type="dxa"/>
            <w:left w:w="108" w:type="dxa"/>
            <w:bottom w:w="0" w:type="dxa"/>
            <w:right w:w="108" w:type="dxa"/>
          </w:tblCellMar>
        </w:tblPrEx>
        <w:tc>
          <w:tcPr>
            <w:tcW w:w="3690" w:type="dxa"/>
            <w:gridSpan w:val="2"/>
          </w:tcPr>
          <w:p>
            <w:pPr>
              <w:tabs>
                <w:tab w:val="left" w:pos="162"/>
              </w:tabs>
              <w:spacing w:line="380" w:lineRule="exact"/>
              <w:ind w:right="-17"/>
              <w:rPr>
                <w:rFonts w:ascii="Arial" w:hAnsi="Arial" w:cs="Arial"/>
                <w:sz w:val="18"/>
                <w:szCs w:val="18"/>
              </w:rPr>
            </w:pPr>
            <w:r>
              <w:rPr>
                <w:rFonts w:ascii="Arial" w:hAnsi="Arial" w:cs="Arial"/>
                <w:sz w:val="18"/>
                <w:szCs w:val="18"/>
              </w:rPr>
              <w:t xml:space="preserve">Accrued income </w:t>
            </w:r>
          </w:p>
        </w:tc>
        <w:tc>
          <w:tcPr>
            <w:tcW w:w="1980" w:type="dxa"/>
          </w:tcPr>
          <w:p>
            <w:pPr>
              <w:tabs>
                <w:tab w:val="decimal" w:pos="1240"/>
              </w:tabs>
              <w:spacing w:line="380" w:lineRule="exact"/>
              <w:ind w:left="-29" w:right="-29"/>
              <w:rPr>
                <w:rFonts w:ascii="Arial" w:hAnsi="Arial" w:cs="Arial"/>
                <w:sz w:val="18"/>
                <w:szCs w:val="18"/>
              </w:rPr>
            </w:pPr>
            <w:r>
              <w:rPr>
                <w:rFonts w:ascii="Arial" w:hAnsi="Arial" w:cs="Arial"/>
                <w:sz w:val="18"/>
                <w:szCs w:val="18"/>
              </w:rPr>
              <w:t>130</w:t>
            </w:r>
          </w:p>
        </w:tc>
        <w:tc>
          <w:tcPr>
            <w:tcW w:w="1800" w:type="dxa"/>
            <w:vAlign w:val="bottom"/>
          </w:tcPr>
          <w:p>
            <w:pPr>
              <w:tabs>
                <w:tab w:val="decimal" w:pos="1240"/>
              </w:tabs>
              <w:spacing w:line="380" w:lineRule="exact"/>
              <w:ind w:left="-29" w:right="-29"/>
              <w:rPr>
                <w:rFonts w:ascii="Arial" w:hAnsi="Arial" w:cs="Arial"/>
                <w:sz w:val="18"/>
                <w:szCs w:val="18"/>
              </w:rPr>
            </w:pPr>
            <w:r>
              <w:rPr>
                <w:rFonts w:ascii="Arial" w:hAnsi="Arial" w:cs="Arial"/>
                <w:sz w:val="18"/>
                <w:szCs w:val="18"/>
              </w:rPr>
              <w:t>130</w:t>
            </w:r>
          </w:p>
        </w:tc>
        <w:tc>
          <w:tcPr>
            <w:tcW w:w="1800" w:type="dxa"/>
            <w:vAlign w:val="bottom"/>
          </w:tcPr>
          <w:p>
            <w:pPr>
              <w:tabs>
                <w:tab w:val="decimal" w:pos="1240"/>
              </w:tabs>
              <w:spacing w:line="380" w:lineRule="exact"/>
              <w:ind w:left="-29" w:right="-29"/>
              <w:rPr>
                <w:rFonts w:ascii="Arial" w:hAnsi="Arial" w:cs="Arial"/>
                <w:sz w:val="18"/>
                <w:szCs w:val="18"/>
              </w:rPr>
            </w:pPr>
            <w:r>
              <w:rPr>
                <w:rFonts w:ascii="Arial" w:hAnsi="Arial" w:cs="Arial"/>
                <w:sz w:val="18"/>
                <w:szCs w:val="18"/>
              </w:rPr>
              <w:t>190</w:t>
            </w:r>
          </w:p>
        </w:tc>
      </w:tr>
      <w:tr>
        <w:tblPrEx>
          <w:tblCellMar>
            <w:top w:w="0" w:type="dxa"/>
            <w:left w:w="108" w:type="dxa"/>
            <w:bottom w:w="0" w:type="dxa"/>
            <w:right w:w="108" w:type="dxa"/>
          </w:tblCellMar>
        </w:tblPrEx>
        <w:tc>
          <w:tcPr>
            <w:tcW w:w="3690" w:type="dxa"/>
            <w:gridSpan w:val="2"/>
          </w:tcPr>
          <w:p>
            <w:pPr>
              <w:tabs>
                <w:tab w:val="left" w:pos="162"/>
              </w:tabs>
              <w:spacing w:line="380" w:lineRule="exact"/>
              <w:ind w:right="-17"/>
              <w:rPr>
                <w:rFonts w:ascii="Arial" w:hAnsi="Arial" w:cs="Arial"/>
                <w:sz w:val="18"/>
                <w:szCs w:val="18"/>
              </w:rPr>
            </w:pPr>
            <w:r>
              <w:rPr>
                <w:rFonts w:ascii="Arial" w:hAnsi="Arial" w:cs="Arial"/>
                <w:sz w:val="18"/>
                <w:szCs w:val="18"/>
              </w:rPr>
              <w:t>Prepayment</w:t>
            </w:r>
          </w:p>
        </w:tc>
        <w:tc>
          <w:tcPr>
            <w:tcW w:w="1980" w:type="dxa"/>
          </w:tcPr>
          <w:p>
            <w:pPr>
              <w:tabs>
                <w:tab w:val="decimal" w:pos="1240"/>
              </w:tabs>
              <w:spacing w:line="380" w:lineRule="exact"/>
              <w:ind w:left="-29" w:right="-29"/>
              <w:rPr>
                <w:rFonts w:ascii="Arial" w:hAnsi="Arial" w:cs="Arial"/>
                <w:sz w:val="18"/>
                <w:szCs w:val="18"/>
              </w:rPr>
            </w:pPr>
            <w:r>
              <w:rPr>
                <w:rFonts w:ascii="Arial" w:hAnsi="Arial" w:cs="Arial"/>
                <w:sz w:val="18"/>
                <w:szCs w:val="18"/>
              </w:rPr>
              <w:t>575</w:t>
            </w:r>
          </w:p>
        </w:tc>
        <w:tc>
          <w:tcPr>
            <w:tcW w:w="1800" w:type="dxa"/>
            <w:vAlign w:val="bottom"/>
          </w:tcPr>
          <w:p>
            <w:pPr>
              <w:tabs>
                <w:tab w:val="decimal" w:pos="1240"/>
              </w:tabs>
              <w:spacing w:line="380" w:lineRule="exact"/>
              <w:ind w:left="-29" w:right="-29"/>
              <w:rPr>
                <w:rFonts w:ascii="Arial" w:hAnsi="Arial" w:cs="Arial"/>
                <w:sz w:val="18"/>
                <w:szCs w:val="18"/>
              </w:rPr>
            </w:pPr>
            <w:r>
              <w:rPr>
                <w:rFonts w:ascii="Arial" w:hAnsi="Arial" w:cs="Arial"/>
                <w:sz w:val="18"/>
                <w:szCs w:val="18"/>
              </w:rPr>
              <w:t>575</w:t>
            </w:r>
          </w:p>
        </w:tc>
        <w:tc>
          <w:tcPr>
            <w:tcW w:w="1800" w:type="dxa"/>
            <w:vAlign w:val="bottom"/>
          </w:tcPr>
          <w:p>
            <w:pPr>
              <w:tabs>
                <w:tab w:val="decimal" w:pos="1240"/>
              </w:tabs>
              <w:spacing w:line="380" w:lineRule="exact"/>
              <w:ind w:left="-29" w:right="-29"/>
              <w:rPr>
                <w:rFonts w:ascii="Arial" w:hAnsi="Arial" w:cs="Arial"/>
                <w:sz w:val="18"/>
                <w:szCs w:val="18"/>
              </w:rPr>
            </w:pPr>
            <w:r>
              <w:rPr>
                <w:rFonts w:ascii="Arial" w:hAnsi="Arial" w:cs="Arial"/>
                <w:sz w:val="18"/>
                <w:szCs w:val="18"/>
              </w:rPr>
              <w:t>632</w:t>
            </w:r>
          </w:p>
        </w:tc>
      </w:tr>
      <w:tr>
        <w:tblPrEx>
          <w:tblCellMar>
            <w:top w:w="0" w:type="dxa"/>
            <w:left w:w="108" w:type="dxa"/>
            <w:bottom w:w="0" w:type="dxa"/>
            <w:right w:w="108" w:type="dxa"/>
          </w:tblCellMar>
        </w:tblPrEx>
        <w:tc>
          <w:tcPr>
            <w:tcW w:w="3690" w:type="dxa"/>
            <w:gridSpan w:val="2"/>
          </w:tcPr>
          <w:p>
            <w:pPr>
              <w:tabs>
                <w:tab w:val="left" w:pos="162"/>
              </w:tabs>
              <w:spacing w:line="380" w:lineRule="exact"/>
              <w:ind w:right="-17"/>
              <w:rPr>
                <w:rFonts w:ascii="Arial" w:hAnsi="Arial" w:cs="Arial"/>
                <w:sz w:val="18"/>
                <w:szCs w:val="18"/>
                <w:cs/>
              </w:rPr>
            </w:pPr>
            <w:r>
              <w:rPr>
                <w:rFonts w:ascii="Arial" w:hAnsi="Arial" w:cs="Arial"/>
                <w:sz w:val="18"/>
                <w:szCs w:val="18"/>
              </w:rPr>
              <w:t>Others</w:t>
            </w:r>
          </w:p>
        </w:tc>
        <w:tc>
          <w:tcPr>
            <w:tcW w:w="1980" w:type="dxa"/>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w:t>
            </w:r>
          </w:p>
        </w:tc>
        <w:tc>
          <w:tcPr>
            <w:tcW w:w="1800" w:type="dxa"/>
            <w:vAlign w:val="bottom"/>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w:t>
            </w:r>
          </w:p>
        </w:tc>
        <w:tc>
          <w:tcPr>
            <w:tcW w:w="1800" w:type="dxa"/>
            <w:vAlign w:val="bottom"/>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53</w:t>
            </w:r>
          </w:p>
        </w:tc>
      </w:tr>
      <w:tr>
        <w:tblPrEx>
          <w:tblCellMar>
            <w:top w:w="0" w:type="dxa"/>
            <w:left w:w="108" w:type="dxa"/>
            <w:bottom w:w="0" w:type="dxa"/>
            <w:right w:w="108" w:type="dxa"/>
          </w:tblCellMar>
        </w:tblPrEx>
        <w:tc>
          <w:tcPr>
            <w:tcW w:w="3690" w:type="dxa"/>
            <w:gridSpan w:val="2"/>
          </w:tcPr>
          <w:p>
            <w:pPr>
              <w:tabs>
                <w:tab w:val="left" w:pos="162"/>
              </w:tabs>
              <w:spacing w:line="380" w:lineRule="exact"/>
              <w:ind w:right="-17"/>
              <w:rPr>
                <w:rFonts w:ascii="Arial" w:hAnsi="Arial" w:cs="Arial"/>
                <w:sz w:val="18"/>
                <w:szCs w:val="18"/>
                <w:cs/>
              </w:rPr>
            </w:pPr>
            <w:r>
              <w:rPr>
                <w:rFonts w:ascii="Arial" w:hAnsi="Arial" w:cs="Arial"/>
                <w:sz w:val="18"/>
                <w:szCs w:val="18"/>
              </w:rPr>
              <w:t>Total other receivables</w:t>
            </w:r>
          </w:p>
        </w:tc>
        <w:tc>
          <w:tcPr>
            <w:tcW w:w="1980" w:type="dxa"/>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895</w:t>
            </w:r>
          </w:p>
        </w:tc>
        <w:tc>
          <w:tcPr>
            <w:tcW w:w="1800" w:type="dxa"/>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825</w:t>
            </w:r>
          </w:p>
        </w:tc>
        <w:tc>
          <w:tcPr>
            <w:tcW w:w="1800" w:type="dxa"/>
            <w:vAlign w:val="bottom"/>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1,046</w:t>
            </w:r>
          </w:p>
        </w:tc>
      </w:tr>
      <w:tr>
        <w:tblPrEx>
          <w:tblCellMar>
            <w:top w:w="0" w:type="dxa"/>
            <w:left w:w="108" w:type="dxa"/>
            <w:bottom w:w="0" w:type="dxa"/>
            <w:right w:w="108" w:type="dxa"/>
          </w:tblCellMar>
        </w:tblPrEx>
        <w:tc>
          <w:tcPr>
            <w:tcW w:w="3690" w:type="dxa"/>
            <w:gridSpan w:val="2"/>
          </w:tcPr>
          <w:p>
            <w:pPr>
              <w:tabs>
                <w:tab w:val="left" w:pos="162"/>
              </w:tabs>
              <w:spacing w:line="380" w:lineRule="exact"/>
              <w:ind w:right="-17"/>
              <w:rPr>
                <w:rFonts w:ascii="Arial" w:hAnsi="Arial" w:cs="Arial"/>
                <w:sz w:val="18"/>
                <w:szCs w:val="18"/>
                <w:cs/>
              </w:rPr>
            </w:pPr>
            <w:r>
              <w:rPr>
                <w:rFonts w:ascii="Arial" w:hAnsi="Arial" w:cs="Arial"/>
                <w:sz w:val="18"/>
                <w:szCs w:val="18"/>
              </w:rPr>
              <w:t>Total trade and other receivables</w:t>
            </w:r>
          </w:p>
        </w:tc>
        <w:tc>
          <w:tcPr>
            <w:tcW w:w="1980" w:type="dxa"/>
          </w:tcPr>
          <w:p>
            <w:pPr>
              <w:pBdr>
                <w:bottom w:val="doub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11,286</w:t>
            </w:r>
          </w:p>
        </w:tc>
        <w:tc>
          <w:tcPr>
            <w:tcW w:w="1800" w:type="dxa"/>
          </w:tcPr>
          <w:p>
            <w:pPr>
              <w:pBdr>
                <w:bottom w:val="doub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4,436</w:t>
            </w:r>
          </w:p>
        </w:tc>
        <w:tc>
          <w:tcPr>
            <w:tcW w:w="1800" w:type="dxa"/>
            <w:vAlign w:val="bottom"/>
          </w:tcPr>
          <w:p>
            <w:pPr>
              <w:pBdr>
                <w:bottom w:val="doub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3,931</w:t>
            </w:r>
          </w:p>
        </w:tc>
      </w:tr>
    </w:tbl>
    <w:p>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Pr>
          <w:rFonts w:ascii="Arial" w:hAnsi="Arial" w:cs="Arial"/>
          <w:b/>
          <w:bCs/>
          <w:sz w:val="22"/>
          <w:szCs w:val="22"/>
        </w:rPr>
        <w:t>Other financial assets</w:t>
      </w:r>
    </w:p>
    <w:tbl>
      <w:tblPr>
        <w:tblStyle w:val="8"/>
        <w:tblW w:w="9270" w:type="dxa"/>
        <w:tblInd w:w="450" w:type="dxa"/>
        <w:tblLayout w:type="fixed"/>
        <w:tblCellMar>
          <w:top w:w="0" w:type="dxa"/>
          <w:left w:w="108" w:type="dxa"/>
          <w:bottom w:w="0" w:type="dxa"/>
          <w:right w:w="108" w:type="dxa"/>
        </w:tblCellMar>
      </w:tblPr>
      <w:tblGrid>
        <w:gridCol w:w="1620"/>
        <w:gridCol w:w="2070"/>
        <w:gridCol w:w="1980"/>
        <w:gridCol w:w="1800"/>
        <w:gridCol w:w="1800"/>
      </w:tblGrid>
      <w:tr>
        <w:tblPrEx>
          <w:tblCellMar>
            <w:top w:w="0" w:type="dxa"/>
            <w:left w:w="108" w:type="dxa"/>
            <w:bottom w:w="0" w:type="dxa"/>
            <w:right w:w="108" w:type="dxa"/>
          </w:tblCellMar>
        </w:tblPrEx>
        <w:trPr>
          <w:tblHeader/>
        </w:trPr>
        <w:tc>
          <w:tcPr>
            <w:tcW w:w="1620" w:type="dxa"/>
          </w:tcPr>
          <w:p>
            <w:pPr>
              <w:tabs>
                <w:tab w:val="right" w:pos="7280"/>
                <w:tab w:val="right" w:pos="8540"/>
              </w:tabs>
              <w:spacing w:line="380" w:lineRule="exact"/>
              <w:ind w:left="-18"/>
              <w:jc w:val="right"/>
              <w:rPr>
                <w:rFonts w:ascii="Arial" w:hAnsi="Arial" w:cs="Arial"/>
                <w:sz w:val="18"/>
                <w:szCs w:val="18"/>
              </w:rPr>
            </w:pPr>
          </w:p>
        </w:tc>
        <w:tc>
          <w:tcPr>
            <w:tcW w:w="7650" w:type="dxa"/>
            <w:gridSpan w:val="4"/>
          </w:tcPr>
          <w:p>
            <w:pPr>
              <w:tabs>
                <w:tab w:val="right" w:pos="7280"/>
                <w:tab w:val="right" w:pos="8540"/>
              </w:tabs>
              <w:spacing w:line="380" w:lineRule="exact"/>
              <w:ind w:left="-18"/>
              <w:jc w:val="right"/>
              <w:rPr>
                <w:rFonts w:ascii="Arial" w:hAnsi="Arial" w:cs="Arial"/>
                <w:sz w:val="18"/>
                <w:szCs w:val="18"/>
                <w:cs/>
              </w:rPr>
            </w:pPr>
            <w:bookmarkStart w:id="0" w:name="_Hlk101896475"/>
            <w:r>
              <w:rPr>
                <w:rFonts w:ascii="Arial" w:hAnsi="Arial" w:cs="Arial"/>
                <w:sz w:val="18"/>
                <w:szCs w:val="18"/>
              </w:rPr>
              <w:t>(Unit: Thousand Baht)</w:t>
            </w:r>
          </w:p>
        </w:tc>
      </w:tr>
      <w:tr>
        <w:tblPrEx>
          <w:tblCellMar>
            <w:top w:w="0" w:type="dxa"/>
            <w:left w:w="108" w:type="dxa"/>
            <w:bottom w:w="0" w:type="dxa"/>
            <w:right w:w="108" w:type="dxa"/>
          </w:tblCellMar>
        </w:tblPrEx>
        <w:trPr>
          <w:tblHeader/>
        </w:trPr>
        <w:tc>
          <w:tcPr>
            <w:tcW w:w="3690" w:type="dxa"/>
            <w:gridSpan w:val="2"/>
          </w:tcPr>
          <w:p>
            <w:pPr>
              <w:spacing w:line="380" w:lineRule="exact"/>
              <w:ind w:right="-45"/>
              <w:jc w:val="thaiDistribute"/>
              <w:rPr>
                <w:rFonts w:ascii="Arial" w:hAnsi="Arial" w:cs="Arial"/>
                <w:sz w:val="18"/>
                <w:szCs w:val="18"/>
                <w:u w:val="single"/>
              </w:rPr>
            </w:pPr>
          </w:p>
        </w:tc>
        <w:tc>
          <w:tcPr>
            <w:tcW w:w="1980" w:type="dxa"/>
          </w:tcPr>
          <w:p>
            <w:pPr>
              <w:pBdr>
                <w:bottom w:val="single" w:color="auto" w:sz="4" w:space="1"/>
              </w:pBdr>
              <w:spacing w:line="380" w:lineRule="exact"/>
              <w:ind w:left="-29" w:right="-29"/>
              <w:jc w:val="center"/>
              <w:rPr>
                <w:rFonts w:ascii="Arial" w:hAnsi="Arial" w:cstheme="minorBidi"/>
                <w:spacing w:val="-2"/>
                <w:sz w:val="18"/>
                <w:szCs w:val="18"/>
              </w:rPr>
            </w:pPr>
            <w:r>
              <w:rPr>
                <w:rFonts w:ascii="Arial" w:hAnsi="Arial" w:cstheme="minorBidi"/>
                <w:spacing w:val="-2"/>
                <w:sz w:val="18"/>
                <w:szCs w:val="18"/>
              </w:rPr>
              <w:t>Consolidated</w:t>
            </w:r>
          </w:p>
          <w:p>
            <w:pPr>
              <w:pBdr>
                <w:bottom w:val="single" w:color="auto" w:sz="4" w:space="1"/>
              </w:pBdr>
              <w:spacing w:line="380" w:lineRule="exact"/>
              <w:ind w:left="-29" w:right="-29"/>
              <w:jc w:val="center"/>
              <w:rPr>
                <w:rFonts w:ascii="Arial" w:hAnsi="Arial" w:cs="Arial"/>
                <w:sz w:val="18"/>
                <w:szCs w:val="18"/>
              </w:rPr>
            </w:pPr>
            <w:r>
              <w:rPr>
                <w:rFonts w:ascii="Arial" w:hAnsi="Arial" w:cstheme="minorBidi"/>
                <w:spacing w:val="-2"/>
                <w:sz w:val="18"/>
                <w:szCs w:val="18"/>
              </w:rPr>
              <w:t>financial statement</w:t>
            </w:r>
          </w:p>
        </w:tc>
        <w:tc>
          <w:tcPr>
            <w:tcW w:w="3600" w:type="dxa"/>
            <w:gridSpan w:val="2"/>
          </w:tcPr>
          <w:p>
            <w:pPr>
              <w:pBdr>
                <w:bottom w:val="single" w:color="auto" w:sz="4" w:space="1"/>
              </w:pBdr>
              <w:spacing w:line="380" w:lineRule="exact"/>
              <w:ind w:left="-29" w:right="-29"/>
              <w:jc w:val="center"/>
              <w:rPr>
                <w:rFonts w:ascii="Arial" w:hAnsi="Arial" w:cs="Arial"/>
                <w:spacing w:val="-2"/>
                <w:sz w:val="18"/>
                <w:szCs w:val="18"/>
              </w:rPr>
            </w:pPr>
            <w:r>
              <w:rPr>
                <w:rFonts w:ascii="Arial" w:hAnsi="Arial" w:cs="Arial"/>
                <w:spacing w:val="-2"/>
                <w:sz w:val="18"/>
                <w:szCs w:val="18"/>
              </w:rPr>
              <w:t xml:space="preserve">Separate </w:t>
            </w:r>
          </w:p>
          <w:p>
            <w:pPr>
              <w:pBdr>
                <w:bottom w:val="single" w:color="auto" w:sz="4" w:space="1"/>
              </w:pBdr>
              <w:spacing w:line="380" w:lineRule="exact"/>
              <w:ind w:left="-29" w:right="-29"/>
              <w:jc w:val="center"/>
              <w:rPr>
                <w:rFonts w:ascii="Arial" w:hAnsi="Arial" w:cs="Arial"/>
                <w:sz w:val="18"/>
                <w:szCs w:val="18"/>
              </w:rPr>
            </w:pPr>
            <w:r>
              <w:rPr>
                <w:rFonts w:ascii="Arial" w:hAnsi="Arial" w:cstheme="minorBidi"/>
                <w:spacing w:val="-2"/>
                <w:sz w:val="18"/>
                <w:szCs w:val="18"/>
              </w:rPr>
              <w:t>financial statement</w:t>
            </w:r>
          </w:p>
        </w:tc>
      </w:tr>
      <w:tr>
        <w:tblPrEx>
          <w:tblCellMar>
            <w:top w:w="0" w:type="dxa"/>
            <w:left w:w="108" w:type="dxa"/>
            <w:bottom w:w="0" w:type="dxa"/>
            <w:right w:w="108" w:type="dxa"/>
          </w:tblCellMar>
        </w:tblPrEx>
        <w:trPr>
          <w:tblHeader/>
        </w:trPr>
        <w:tc>
          <w:tcPr>
            <w:tcW w:w="3690" w:type="dxa"/>
            <w:gridSpan w:val="2"/>
          </w:tcPr>
          <w:p>
            <w:pPr>
              <w:spacing w:line="380" w:lineRule="exact"/>
              <w:ind w:right="-45"/>
              <w:jc w:val="thaiDistribute"/>
              <w:rPr>
                <w:rFonts w:ascii="Arial" w:hAnsi="Arial" w:cs="Arial"/>
                <w:sz w:val="18"/>
                <w:szCs w:val="18"/>
                <w:u w:val="single"/>
              </w:rPr>
            </w:pPr>
          </w:p>
        </w:tc>
        <w:tc>
          <w:tcPr>
            <w:tcW w:w="1980" w:type="dxa"/>
          </w:tcPr>
          <w:p>
            <w:pPr>
              <w:pBdr>
                <w:bottom w:val="single" w:color="auto" w:sz="4" w:space="1"/>
              </w:pBdr>
              <w:tabs>
                <w:tab w:val="right" w:pos="7280"/>
                <w:tab w:val="right" w:pos="8540"/>
              </w:tabs>
              <w:spacing w:line="380" w:lineRule="exact"/>
              <w:ind w:left="-18"/>
              <w:jc w:val="center"/>
              <w:rPr>
                <w:rFonts w:ascii="Arial" w:hAnsi="Arial" w:cs="Arial"/>
                <w:sz w:val="18"/>
                <w:szCs w:val="18"/>
              </w:rPr>
            </w:pPr>
            <w:r>
              <w:rPr>
                <w:rFonts w:ascii="Arial" w:hAnsi="Arial" w:cs="Arial"/>
                <w:spacing w:val="-4"/>
                <w:sz w:val="18"/>
                <w:szCs w:val="18"/>
              </w:rPr>
              <w:t>30 September          2022</w:t>
            </w:r>
          </w:p>
        </w:tc>
        <w:tc>
          <w:tcPr>
            <w:tcW w:w="1800" w:type="dxa"/>
          </w:tcPr>
          <w:p>
            <w:pPr>
              <w:pBdr>
                <w:bottom w:val="single" w:color="auto" w:sz="4" w:space="1"/>
              </w:pBdr>
              <w:tabs>
                <w:tab w:val="right" w:pos="7280"/>
                <w:tab w:val="right" w:pos="8540"/>
              </w:tabs>
              <w:spacing w:line="380" w:lineRule="exact"/>
              <w:ind w:left="-18"/>
              <w:jc w:val="center"/>
              <w:rPr>
                <w:rFonts w:ascii="Arial" w:hAnsi="Arial" w:cs="Arial"/>
                <w:sz w:val="18"/>
                <w:szCs w:val="18"/>
              </w:rPr>
            </w:pPr>
            <w:r>
              <w:rPr>
                <w:rFonts w:ascii="Arial" w:hAnsi="Arial" w:cs="Arial"/>
                <w:spacing w:val="-4"/>
                <w:sz w:val="18"/>
                <w:szCs w:val="18"/>
              </w:rPr>
              <w:t>30 September          2022</w:t>
            </w:r>
          </w:p>
        </w:tc>
        <w:tc>
          <w:tcPr>
            <w:tcW w:w="1800" w:type="dxa"/>
          </w:tcPr>
          <w:p>
            <w:pPr>
              <w:pBdr>
                <w:bottom w:val="single" w:color="auto" w:sz="4" w:space="1"/>
              </w:pBdr>
              <w:tabs>
                <w:tab w:val="right" w:pos="7280"/>
                <w:tab w:val="right" w:pos="8540"/>
              </w:tabs>
              <w:spacing w:line="380" w:lineRule="exact"/>
              <w:ind w:left="-18"/>
              <w:jc w:val="center"/>
              <w:rPr>
                <w:rFonts w:ascii="Arial" w:hAnsi="Arial" w:cs="Arial"/>
                <w:spacing w:val="-2"/>
                <w:sz w:val="18"/>
                <w:szCs w:val="18"/>
              </w:rPr>
            </w:pPr>
            <w:r>
              <w:rPr>
                <w:rFonts w:ascii="Arial" w:hAnsi="Arial" w:cs="Arial"/>
                <w:spacing w:val="-2"/>
                <w:sz w:val="18"/>
                <w:szCs w:val="18"/>
              </w:rPr>
              <w:t xml:space="preserve">31 December </w:t>
            </w:r>
          </w:p>
          <w:p>
            <w:pPr>
              <w:pBdr>
                <w:bottom w:val="single" w:color="auto" w:sz="4" w:space="1"/>
              </w:pBdr>
              <w:tabs>
                <w:tab w:val="right" w:pos="7280"/>
                <w:tab w:val="right" w:pos="8540"/>
              </w:tabs>
              <w:spacing w:line="380" w:lineRule="exact"/>
              <w:ind w:left="-18"/>
              <w:jc w:val="center"/>
              <w:rPr>
                <w:rFonts w:ascii="Arial" w:hAnsi="Arial" w:cs="Arial"/>
                <w:sz w:val="18"/>
                <w:szCs w:val="18"/>
              </w:rPr>
            </w:pPr>
            <w:r>
              <w:rPr>
                <w:rFonts w:ascii="Arial" w:hAnsi="Arial" w:cs="Arial"/>
                <w:spacing w:val="-2"/>
                <w:sz w:val="18"/>
                <w:szCs w:val="18"/>
              </w:rPr>
              <w:t>2021</w:t>
            </w:r>
          </w:p>
        </w:tc>
      </w:tr>
      <w:tr>
        <w:tblPrEx>
          <w:tblCellMar>
            <w:top w:w="0" w:type="dxa"/>
            <w:left w:w="108" w:type="dxa"/>
            <w:bottom w:w="0" w:type="dxa"/>
            <w:right w:w="108" w:type="dxa"/>
          </w:tblCellMar>
        </w:tblPrEx>
        <w:tc>
          <w:tcPr>
            <w:tcW w:w="3690" w:type="dxa"/>
            <w:gridSpan w:val="2"/>
          </w:tcPr>
          <w:p>
            <w:pPr>
              <w:spacing w:line="380" w:lineRule="exact"/>
              <w:ind w:right="-45"/>
              <w:jc w:val="thaiDistribute"/>
              <w:rPr>
                <w:rFonts w:ascii="Arial" w:hAnsi="Arial" w:cs="Arial"/>
                <w:sz w:val="18"/>
                <w:szCs w:val="18"/>
                <w:u w:val="single"/>
                <w:cs/>
              </w:rPr>
            </w:pPr>
          </w:p>
        </w:tc>
        <w:tc>
          <w:tcPr>
            <w:tcW w:w="1980" w:type="dxa"/>
          </w:tcPr>
          <w:p>
            <w:pPr>
              <w:tabs>
                <w:tab w:val="right" w:pos="7280"/>
                <w:tab w:val="right" w:pos="8540"/>
              </w:tabs>
              <w:spacing w:line="380" w:lineRule="exact"/>
              <w:ind w:left="-18"/>
              <w:jc w:val="right"/>
              <w:rPr>
                <w:rFonts w:ascii="Arial" w:hAnsi="Arial" w:cs="Arial"/>
                <w:sz w:val="18"/>
                <w:szCs w:val="18"/>
                <w:cs/>
              </w:rPr>
            </w:pPr>
          </w:p>
        </w:tc>
        <w:tc>
          <w:tcPr>
            <w:tcW w:w="1800" w:type="dxa"/>
            <w:vAlign w:val="bottom"/>
          </w:tcPr>
          <w:p>
            <w:pPr>
              <w:tabs>
                <w:tab w:val="right" w:pos="7280"/>
                <w:tab w:val="right" w:pos="8540"/>
              </w:tabs>
              <w:spacing w:line="380" w:lineRule="exact"/>
              <w:ind w:left="-18"/>
              <w:jc w:val="right"/>
              <w:rPr>
                <w:rFonts w:ascii="Arial" w:hAnsi="Arial" w:cs="Arial"/>
                <w:sz w:val="18"/>
                <w:szCs w:val="18"/>
                <w:cs/>
              </w:rPr>
            </w:pPr>
          </w:p>
        </w:tc>
        <w:tc>
          <w:tcPr>
            <w:tcW w:w="1800" w:type="dxa"/>
            <w:vAlign w:val="bottom"/>
          </w:tcPr>
          <w:p>
            <w:pPr>
              <w:tabs>
                <w:tab w:val="right" w:pos="7280"/>
                <w:tab w:val="right" w:pos="8540"/>
              </w:tabs>
              <w:spacing w:line="380" w:lineRule="exact"/>
              <w:ind w:left="-18"/>
              <w:jc w:val="center"/>
              <w:rPr>
                <w:rFonts w:ascii="Arial" w:hAnsi="Arial" w:cs="Arial"/>
                <w:sz w:val="18"/>
                <w:szCs w:val="18"/>
                <w:cs/>
              </w:rPr>
            </w:pPr>
            <w:r>
              <w:rPr>
                <w:rFonts w:ascii="Arial" w:hAnsi="Arial" w:cs="Arial"/>
                <w:sz w:val="18"/>
                <w:szCs w:val="18"/>
              </w:rPr>
              <w:t>(Audited)</w:t>
            </w:r>
          </w:p>
        </w:tc>
      </w:tr>
      <w:tr>
        <w:tblPrEx>
          <w:tblCellMar>
            <w:top w:w="0" w:type="dxa"/>
            <w:left w:w="108" w:type="dxa"/>
            <w:bottom w:w="0" w:type="dxa"/>
            <w:right w:w="108" w:type="dxa"/>
          </w:tblCellMar>
        </w:tblPrEx>
        <w:tc>
          <w:tcPr>
            <w:tcW w:w="3690" w:type="dxa"/>
            <w:gridSpan w:val="2"/>
          </w:tcPr>
          <w:p>
            <w:pPr>
              <w:pStyle w:val="12"/>
              <w:spacing w:after="0" w:line="380" w:lineRule="exact"/>
              <w:ind w:left="-18"/>
              <w:rPr>
                <w:rFonts w:ascii="Arial" w:hAnsi="Arial" w:cs="Arial"/>
                <w:sz w:val="18"/>
                <w:szCs w:val="18"/>
                <w:u w:val="single"/>
                <w:cs/>
              </w:rPr>
            </w:pPr>
            <w:r>
              <w:rPr>
                <w:rFonts w:ascii="Arial" w:hAnsi="Arial" w:cs="Arial"/>
                <w:color w:val="000000"/>
                <w:sz w:val="18"/>
                <w:szCs w:val="18"/>
                <w:u w:val="single"/>
              </w:rPr>
              <w:t>Debt instruments at amortised cost</w:t>
            </w:r>
          </w:p>
        </w:tc>
        <w:tc>
          <w:tcPr>
            <w:tcW w:w="1980" w:type="dxa"/>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cs/>
              </w:rPr>
            </w:pPr>
          </w:p>
        </w:tc>
        <w:tc>
          <w:tcPr>
            <w:tcW w:w="1800" w:type="dxa"/>
            <w:vAlign w:val="bottom"/>
          </w:tcPr>
          <w:p>
            <w:pPr>
              <w:tabs>
                <w:tab w:val="decimal" w:pos="1240"/>
              </w:tabs>
              <w:spacing w:line="380" w:lineRule="exact"/>
              <w:ind w:left="-29" w:right="-29"/>
              <w:rPr>
                <w:rFonts w:ascii="Arial" w:hAnsi="Arial" w:cs="Arial"/>
                <w:sz w:val="18"/>
                <w:szCs w:val="18"/>
                <w:cs/>
              </w:rPr>
            </w:pPr>
          </w:p>
        </w:tc>
      </w:tr>
      <w:tr>
        <w:tblPrEx>
          <w:tblCellMar>
            <w:top w:w="0" w:type="dxa"/>
            <w:left w:w="108" w:type="dxa"/>
            <w:bottom w:w="0" w:type="dxa"/>
            <w:right w:w="108" w:type="dxa"/>
          </w:tblCellMar>
        </w:tblPrEx>
        <w:tc>
          <w:tcPr>
            <w:tcW w:w="3690" w:type="dxa"/>
            <w:gridSpan w:val="2"/>
          </w:tcPr>
          <w:p>
            <w:pPr>
              <w:pStyle w:val="12"/>
              <w:spacing w:after="0" w:line="380" w:lineRule="exact"/>
              <w:ind w:left="-18"/>
              <w:rPr>
                <w:rFonts w:ascii="Arial" w:hAnsi="Arial" w:cs="Arial"/>
                <w:color w:val="000000"/>
                <w:sz w:val="18"/>
                <w:szCs w:val="18"/>
                <w:cs/>
              </w:rPr>
            </w:pPr>
            <w:r>
              <w:rPr>
                <w:rFonts w:ascii="Arial" w:hAnsi="Arial" w:cs="Arial"/>
                <w:color w:val="000000"/>
                <w:sz w:val="18"/>
                <w:szCs w:val="18"/>
                <w:cs/>
              </w:rPr>
              <w:t xml:space="preserve">   </w:t>
            </w:r>
            <w:r>
              <w:rPr>
                <w:rFonts w:ascii="Arial" w:hAnsi="Arial" w:cs="Arial"/>
                <w:color w:val="000000"/>
                <w:sz w:val="18"/>
                <w:szCs w:val="18"/>
              </w:rPr>
              <w:t xml:space="preserve">Corporate bonds </w:t>
            </w:r>
            <w:r>
              <w:rPr>
                <w:rFonts w:ascii="Arial" w:hAnsi="Arial" w:cstheme="minorBidi"/>
                <w:color w:val="000000"/>
                <w:sz w:val="18"/>
                <w:szCs w:val="18"/>
              </w:rPr>
              <w:t>-</w:t>
            </w:r>
            <w:r>
              <w:rPr>
                <w:rFonts w:ascii="Arial" w:hAnsi="Arial" w:cs="Arial"/>
                <w:color w:val="000000"/>
                <w:sz w:val="18"/>
                <w:szCs w:val="18"/>
              </w:rPr>
              <w:t xml:space="preserve"> held to maturity</w:t>
            </w:r>
          </w:p>
        </w:tc>
        <w:tc>
          <w:tcPr>
            <w:tcW w:w="1980" w:type="dxa"/>
          </w:tcPr>
          <w:p>
            <w:pPr>
              <w:tabs>
                <w:tab w:val="decimal" w:pos="1240"/>
              </w:tabs>
              <w:spacing w:line="380" w:lineRule="exact"/>
              <w:ind w:left="-29" w:right="-29"/>
              <w:rPr>
                <w:rFonts w:ascii="Arial" w:hAnsi="Arial" w:cs="Arial"/>
                <w:sz w:val="18"/>
                <w:szCs w:val="18"/>
              </w:rPr>
            </w:pPr>
            <w:r>
              <w:rPr>
                <w:rFonts w:ascii="Arial" w:hAnsi="Arial" w:cs="Arial"/>
                <w:sz w:val="18"/>
                <w:szCs w:val="18"/>
              </w:rPr>
              <w:t>26,037</w:t>
            </w:r>
          </w:p>
        </w:tc>
        <w:tc>
          <w:tcPr>
            <w:tcW w:w="1800" w:type="dxa"/>
            <w:vAlign w:val="bottom"/>
          </w:tcPr>
          <w:p>
            <w:pPr>
              <w:tabs>
                <w:tab w:val="decimal" w:pos="1240"/>
              </w:tabs>
              <w:spacing w:line="380" w:lineRule="exact"/>
              <w:ind w:left="-29" w:right="-29"/>
              <w:rPr>
                <w:rFonts w:ascii="Arial" w:hAnsi="Arial" w:cs="Arial"/>
                <w:sz w:val="18"/>
                <w:szCs w:val="18"/>
              </w:rPr>
            </w:pPr>
            <w:r>
              <w:rPr>
                <w:rFonts w:ascii="Arial" w:hAnsi="Arial" w:cs="Arial"/>
                <w:sz w:val="18"/>
                <w:szCs w:val="18"/>
              </w:rPr>
              <w:t>26,037</w:t>
            </w:r>
          </w:p>
        </w:tc>
        <w:tc>
          <w:tcPr>
            <w:tcW w:w="1800" w:type="dxa"/>
            <w:vAlign w:val="bottom"/>
          </w:tcPr>
          <w:p>
            <w:pPr>
              <w:tabs>
                <w:tab w:val="decimal" w:pos="1240"/>
              </w:tabs>
              <w:spacing w:line="380" w:lineRule="exact"/>
              <w:ind w:left="-29" w:right="-29"/>
              <w:rPr>
                <w:rFonts w:ascii="Arial" w:hAnsi="Arial" w:cs="Arial"/>
                <w:sz w:val="18"/>
                <w:szCs w:val="18"/>
                <w:cs/>
              </w:rPr>
            </w:pPr>
            <w:r>
              <w:rPr>
                <w:rFonts w:ascii="Arial" w:hAnsi="Arial" w:cs="Arial"/>
                <w:sz w:val="18"/>
                <w:szCs w:val="18"/>
              </w:rPr>
              <w:t>16,000</w:t>
            </w:r>
          </w:p>
        </w:tc>
      </w:tr>
      <w:tr>
        <w:tblPrEx>
          <w:tblCellMar>
            <w:top w:w="0" w:type="dxa"/>
            <w:left w:w="108" w:type="dxa"/>
            <w:bottom w:w="0" w:type="dxa"/>
            <w:right w:w="108" w:type="dxa"/>
          </w:tblCellMar>
        </w:tblPrEx>
        <w:tc>
          <w:tcPr>
            <w:tcW w:w="3690" w:type="dxa"/>
            <w:gridSpan w:val="2"/>
          </w:tcPr>
          <w:p>
            <w:pPr>
              <w:pStyle w:val="12"/>
              <w:spacing w:after="0" w:line="380" w:lineRule="exact"/>
              <w:rPr>
                <w:rFonts w:ascii="Arial" w:hAnsi="Arial" w:cs="Browallia New"/>
                <w:color w:val="000000" w:themeColor="text1"/>
                <w:sz w:val="18"/>
                <w:szCs w:val="18"/>
                <w:u w:val="single"/>
                <w14:textFill>
                  <w14:solidFill>
                    <w14:schemeClr w14:val="tx1"/>
                  </w14:solidFill>
                </w14:textFill>
              </w:rPr>
            </w:pPr>
            <w:r>
              <w:rPr>
                <w:rFonts w:ascii="Arial" w:hAnsi="Arial" w:cs="Arial"/>
                <w:color w:val="000000"/>
                <w:sz w:val="18"/>
                <w:szCs w:val="18"/>
                <w:u w:val="single"/>
              </w:rPr>
              <w:t xml:space="preserve">Debt </w:t>
            </w:r>
            <w:r>
              <w:rPr>
                <w:rFonts w:ascii="Arial" w:hAnsi="Arial" w:cs="Arial"/>
                <w:color w:val="000000" w:themeColor="text1"/>
                <w:sz w:val="18"/>
                <w:szCs w:val="18"/>
                <w:u w:val="single"/>
                <w14:textFill>
                  <w14:solidFill>
                    <w14:schemeClr w14:val="tx1"/>
                  </w14:solidFill>
                </w14:textFill>
              </w:rPr>
              <w:t xml:space="preserve">instruments at </w:t>
            </w:r>
            <w:r>
              <w:rPr>
                <w:rFonts w:ascii="Arial" w:hAnsi="Arial" w:cs="Browallia New"/>
                <w:color w:val="000000" w:themeColor="text1"/>
                <w:sz w:val="18"/>
                <w:szCs w:val="18"/>
                <w:u w:val="single"/>
                <w14:textFill>
                  <w14:solidFill>
                    <w14:schemeClr w14:val="tx1"/>
                  </w14:solidFill>
                </w14:textFill>
              </w:rPr>
              <w:t xml:space="preserve">fair value through profit </w:t>
            </w:r>
          </w:p>
          <w:p>
            <w:pPr>
              <w:pStyle w:val="12"/>
              <w:spacing w:after="0" w:line="380" w:lineRule="exact"/>
              <w:rPr>
                <w:rFonts w:ascii="Arial" w:hAnsi="Arial" w:cs="Arial"/>
                <w:color w:val="000000"/>
                <w:sz w:val="18"/>
                <w:szCs w:val="18"/>
                <w:cs/>
              </w:rPr>
            </w:pPr>
            <w:r>
              <w:rPr>
                <w:rFonts w:ascii="Arial" w:hAnsi="Arial" w:cs="Browallia New"/>
                <w:color w:val="000000" w:themeColor="text1"/>
                <w:sz w:val="18"/>
                <w:szCs w:val="18"/>
                <w14:textFill>
                  <w14:solidFill>
                    <w14:schemeClr w14:val="tx1"/>
                  </w14:solidFill>
                </w14:textFill>
              </w:rPr>
              <w:t xml:space="preserve">   </w:t>
            </w:r>
            <w:r>
              <w:rPr>
                <w:rFonts w:ascii="Arial" w:hAnsi="Arial" w:cs="Browallia New"/>
                <w:color w:val="000000" w:themeColor="text1"/>
                <w:sz w:val="18"/>
                <w:szCs w:val="18"/>
                <w:u w:val="single"/>
                <w14:textFill>
                  <w14:solidFill>
                    <w14:schemeClr w14:val="tx1"/>
                  </w14:solidFill>
                </w14:textFill>
              </w:rPr>
              <w:t>or loss</w:t>
            </w:r>
          </w:p>
        </w:tc>
        <w:tc>
          <w:tcPr>
            <w:tcW w:w="1980" w:type="dxa"/>
          </w:tcPr>
          <w:p>
            <w:pPr>
              <w:tabs>
                <w:tab w:val="decimal" w:pos="1240"/>
              </w:tabs>
              <w:spacing w:line="380" w:lineRule="exact"/>
              <w:ind w:left="-29" w:right="-29"/>
              <w:rPr>
                <w:rFonts w:ascii="Arial" w:hAnsi="Arial" w:cs="Arial"/>
                <w:sz w:val="18"/>
                <w:szCs w:val="18"/>
              </w:rPr>
            </w:pPr>
          </w:p>
        </w:tc>
        <w:tc>
          <w:tcPr>
            <w:tcW w:w="1800" w:type="dxa"/>
            <w:vAlign w:val="bottom"/>
          </w:tcPr>
          <w:p>
            <w:pPr>
              <w:tabs>
                <w:tab w:val="decimal" w:pos="1240"/>
              </w:tabs>
              <w:spacing w:line="380" w:lineRule="exact"/>
              <w:ind w:left="-29" w:right="-29"/>
              <w:rPr>
                <w:rFonts w:ascii="Arial" w:hAnsi="Arial" w:cs="Arial"/>
                <w:sz w:val="18"/>
                <w:szCs w:val="18"/>
              </w:rPr>
            </w:pPr>
          </w:p>
        </w:tc>
        <w:tc>
          <w:tcPr>
            <w:tcW w:w="1800" w:type="dxa"/>
            <w:vAlign w:val="bottom"/>
          </w:tcPr>
          <w:p>
            <w:pPr>
              <w:tabs>
                <w:tab w:val="decimal" w:pos="1240"/>
              </w:tabs>
              <w:spacing w:line="380" w:lineRule="exact"/>
              <w:ind w:left="-29" w:right="-29"/>
              <w:rPr>
                <w:rFonts w:ascii="Arial" w:hAnsi="Arial" w:cs="Arial"/>
                <w:sz w:val="18"/>
                <w:szCs w:val="18"/>
              </w:rPr>
            </w:pPr>
          </w:p>
        </w:tc>
      </w:tr>
      <w:tr>
        <w:tblPrEx>
          <w:tblCellMar>
            <w:top w:w="0" w:type="dxa"/>
            <w:left w:w="108" w:type="dxa"/>
            <w:bottom w:w="0" w:type="dxa"/>
            <w:right w:w="108" w:type="dxa"/>
          </w:tblCellMar>
        </w:tblPrEx>
        <w:tc>
          <w:tcPr>
            <w:tcW w:w="3690" w:type="dxa"/>
            <w:gridSpan w:val="2"/>
            <w:vAlign w:val="bottom"/>
          </w:tcPr>
          <w:p>
            <w:pPr>
              <w:pStyle w:val="12"/>
              <w:spacing w:after="0" w:line="380" w:lineRule="exact"/>
              <w:rPr>
                <w:rFonts w:ascii="Arial" w:hAnsi="Arial" w:cs="Arial"/>
                <w:color w:val="000000"/>
                <w:sz w:val="18"/>
                <w:szCs w:val="18"/>
                <w:u w:val="single"/>
              </w:rPr>
            </w:pPr>
            <w:r>
              <w:rPr>
                <w:rFonts w:ascii="Arial" w:hAnsi="Arial" w:cs="Browallia New"/>
                <w:color w:val="000000" w:themeColor="text1"/>
                <w:sz w:val="18"/>
                <w:szCs w:val="18"/>
                <w14:textFill>
                  <w14:solidFill>
                    <w14:schemeClr w14:val="tx1"/>
                  </w14:solidFill>
                </w14:textFill>
              </w:rPr>
              <w:t xml:space="preserve">   Mutual funds</w:t>
            </w:r>
          </w:p>
        </w:tc>
        <w:tc>
          <w:tcPr>
            <w:tcW w:w="1980" w:type="dxa"/>
          </w:tcPr>
          <w:p>
            <w:pPr>
              <w:tabs>
                <w:tab w:val="decimal" w:pos="1240"/>
              </w:tabs>
              <w:spacing w:line="380" w:lineRule="exact"/>
              <w:ind w:left="-29" w:right="-29"/>
              <w:rPr>
                <w:rFonts w:ascii="Arial" w:hAnsi="Arial" w:cs="Arial"/>
                <w:sz w:val="18"/>
                <w:szCs w:val="18"/>
              </w:rPr>
            </w:pPr>
            <w:r>
              <w:rPr>
                <w:rFonts w:ascii="Arial" w:hAnsi="Arial" w:cs="Arial"/>
                <w:sz w:val="18"/>
                <w:szCs w:val="18"/>
              </w:rPr>
              <w:t>45,300</w:t>
            </w:r>
          </w:p>
        </w:tc>
        <w:tc>
          <w:tcPr>
            <w:tcW w:w="1800" w:type="dxa"/>
            <w:vAlign w:val="bottom"/>
          </w:tcPr>
          <w:p>
            <w:pPr>
              <w:tabs>
                <w:tab w:val="decimal" w:pos="1240"/>
              </w:tabs>
              <w:spacing w:line="380" w:lineRule="exact"/>
              <w:ind w:left="-29" w:right="-29"/>
              <w:rPr>
                <w:rFonts w:ascii="Arial" w:hAnsi="Arial" w:cs="Arial"/>
                <w:sz w:val="18"/>
                <w:szCs w:val="18"/>
              </w:rPr>
            </w:pPr>
            <w:r>
              <w:rPr>
                <w:rFonts w:ascii="Arial" w:hAnsi="Arial" w:cs="Arial"/>
                <w:sz w:val="18"/>
                <w:szCs w:val="18"/>
              </w:rPr>
              <w:t>45,300</w:t>
            </w:r>
          </w:p>
        </w:tc>
        <w:tc>
          <w:tcPr>
            <w:tcW w:w="1800" w:type="dxa"/>
            <w:vAlign w:val="bottom"/>
          </w:tcPr>
          <w:p>
            <w:pPr>
              <w:tabs>
                <w:tab w:val="decimal" w:pos="1240"/>
              </w:tabs>
              <w:spacing w:line="380" w:lineRule="exact"/>
              <w:ind w:left="-29" w:right="-29"/>
              <w:rPr>
                <w:rFonts w:ascii="Arial" w:hAnsi="Arial" w:cs="Arial"/>
                <w:sz w:val="18"/>
                <w:szCs w:val="18"/>
              </w:rPr>
            </w:pPr>
            <w:r>
              <w:rPr>
                <w:rFonts w:ascii="Arial" w:hAnsi="Arial" w:cs="Arial"/>
                <w:sz w:val="18"/>
                <w:szCs w:val="18"/>
              </w:rPr>
              <w:t>130,115</w:t>
            </w:r>
          </w:p>
        </w:tc>
      </w:tr>
      <w:tr>
        <w:tblPrEx>
          <w:tblCellMar>
            <w:top w:w="0" w:type="dxa"/>
            <w:left w:w="108" w:type="dxa"/>
            <w:bottom w:w="0" w:type="dxa"/>
            <w:right w:w="108" w:type="dxa"/>
          </w:tblCellMar>
        </w:tblPrEx>
        <w:tc>
          <w:tcPr>
            <w:tcW w:w="3690" w:type="dxa"/>
            <w:gridSpan w:val="2"/>
            <w:vAlign w:val="bottom"/>
          </w:tcPr>
          <w:p>
            <w:pPr>
              <w:pStyle w:val="12"/>
              <w:spacing w:after="0" w:line="380" w:lineRule="exact"/>
              <w:rPr>
                <w:rFonts w:ascii="Arial" w:hAnsi="Arial" w:cs="Browallia New"/>
                <w:color w:val="000000" w:themeColor="text1"/>
                <w:sz w:val="18"/>
                <w:szCs w:val="18"/>
                <w14:textFill>
                  <w14:solidFill>
                    <w14:schemeClr w14:val="tx1"/>
                  </w14:solidFill>
                </w14:textFill>
              </w:rPr>
            </w:pPr>
            <w:r>
              <w:rPr>
                <w:rFonts w:ascii="Arial" w:hAnsi="Arial" w:cs="Arial"/>
                <w:sz w:val="18"/>
                <w:szCs w:val="18"/>
                <w:u w:val="single"/>
              </w:rPr>
              <w:t>Financial assets at FVTPL</w:t>
            </w:r>
          </w:p>
        </w:tc>
        <w:tc>
          <w:tcPr>
            <w:tcW w:w="1980" w:type="dxa"/>
          </w:tcPr>
          <w:p>
            <w:pPr>
              <w:tabs>
                <w:tab w:val="decimal" w:pos="1240"/>
              </w:tabs>
              <w:spacing w:line="380" w:lineRule="exact"/>
              <w:ind w:left="-29" w:right="-29"/>
              <w:rPr>
                <w:rFonts w:ascii="Arial" w:hAnsi="Arial" w:cs="Arial"/>
                <w:sz w:val="18"/>
                <w:szCs w:val="18"/>
              </w:rPr>
            </w:pPr>
          </w:p>
        </w:tc>
        <w:tc>
          <w:tcPr>
            <w:tcW w:w="1800" w:type="dxa"/>
            <w:vAlign w:val="bottom"/>
          </w:tcPr>
          <w:p>
            <w:pPr>
              <w:tabs>
                <w:tab w:val="decimal" w:pos="1240"/>
              </w:tabs>
              <w:spacing w:line="380" w:lineRule="exact"/>
              <w:ind w:left="-29" w:right="-29"/>
              <w:rPr>
                <w:rFonts w:ascii="Arial" w:hAnsi="Arial" w:cs="Arial"/>
                <w:sz w:val="18"/>
                <w:szCs w:val="18"/>
              </w:rPr>
            </w:pPr>
          </w:p>
        </w:tc>
        <w:tc>
          <w:tcPr>
            <w:tcW w:w="1800" w:type="dxa"/>
            <w:vAlign w:val="bottom"/>
          </w:tcPr>
          <w:p>
            <w:pPr>
              <w:tabs>
                <w:tab w:val="decimal" w:pos="1240"/>
              </w:tabs>
              <w:spacing w:line="380" w:lineRule="exact"/>
              <w:ind w:left="-29" w:right="-29"/>
              <w:rPr>
                <w:rFonts w:ascii="Arial" w:hAnsi="Arial" w:cs="Arial"/>
                <w:sz w:val="18"/>
                <w:szCs w:val="18"/>
              </w:rPr>
            </w:pPr>
          </w:p>
        </w:tc>
      </w:tr>
      <w:tr>
        <w:tblPrEx>
          <w:tblCellMar>
            <w:top w:w="0" w:type="dxa"/>
            <w:left w:w="108" w:type="dxa"/>
            <w:bottom w:w="0" w:type="dxa"/>
            <w:right w:w="108" w:type="dxa"/>
          </w:tblCellMar>
        </w:tblPrEx>
        <w:tc>
          <w:tcPr>
            <w:tcW w:w="3690" w:type="dxa"/>
            <w:gridSpan w:val="2"/>
            <w:vAlign w:val="bottom"/>
          </w:tcPr>
          <w:p>
            <w:pPr>
              <w:pStyle w:val="12"/>
              <w:spacing w:after="0" w:line="380" w:lineRule="exact"/>
              <w:rPr>
                <w:rFonts w:ascii="Arial" w:hAnsi="Arial" w:cs="Arial"/>
                <w:color w:val="000000"/>
                <w:sz w:val="18"/>
                <w:szCs w:val="18"/>
              </w:rPr>
            </w:pPr>
            <w:r>
              <w:rPr>
                <w:rFonts w:ascii="Arial" w:hAnsi="Arial" w:cs="Browallia New"/>
                <w:color w:val="000000" w:themeColor="text1"/>
                <w:sz w:val="18"/>
                <w:szCs w:val="18"/>
                <w14:textFill>
                  <w14:solidFill>
                    <w14:schemeClr w14:val="tx1"/>
                  </w14:solidFill>
                </w14:textFill>
              </w:rPr>
              <w:t xml:space="preserve">   Derivative assets</w:t>
            </w:r>
          </w:p>
        </w:tc>
        <w:tc>
          <w:tcPr>
            <w:tcW w:w="1980" w:type="dxa"/>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596</w:t>
            </w:r>
          </w:p>
        </w:tc>
        <w:tc>
          <w:tcPr>
            <w:tcW w:w="1800" w:type="dxa"/>
            <w:vAlign w:val="bottom"/>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596</w:t>
            </w:r>
          </w:p>
        </w:tc>
        <w:tc>
          <w:tcPr>
            <w:tcW w:w="1800" w:type="dxa"/>
            <w:vAlign w:val="bottom"/>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w:t>
            </w:r>
          </w:p>
        </w:tc>
      </w:tr>
      <w:tr>
        <w:tblPrEx>
          <w:tblCellMar>
            <w:top w:w="0" w:type="dxa"/>
            <w:left w:w="108" w:type="dxa"/>
            <w:bottom w:w="0" w:type="dxa"/>
            <w:right w:w="108" w:type="dxa"/>
          </w:tblCellMar>
        </w:tblPrEx>
        <w:tc>
          <w:tcPr>
            <w:tcW w:w="3690" w:type="dxa"/>
            <w:gridSpan w:val="2"/>
            <w:vAlign w:val="bottom"/>
          </w:tcPr>
          <w:p>
            <w:pPr>
              <w:pStyle w:val="12"/>
              <w:spacing w:after="0" w:line="380" w:lineRule="exact"/>
              <w:ind w:left="-18"/>
              <w:rPr>
                <w:rFonts w:ascii="Arial" w:hAnsi="Arial" w:cs="Arial"/>
                <w:color w:val="000000"/>
                <w:sz w:val="18"/>
                <w:szCs w:val="18"/>
                <w:cs/>
              </w:rPr>
            </w:pPr>
            <w:r>
              <w:rPr>
                <w:rFonts w:ascii="Arial" w:hAnsi="Arial" w:cstheme="minorBidi"/>
                <w:color w:val="000000" w:themeColor="text1"/>
                <w:sz w:val="18"/>
                <w:szCs w:val="18"/>
                <w14:textFill>
                  <w14:solidFill>
                    <w14:schemeClr w14:val="tx1"/>
                  </w14:solidFill>
                </w14:textFill>
              </w:rPr>
              <w:t>Total other financial assets</w:t>
            </w:r>
          </w:p>
        </w:tc>
        <w:tc>
          <w:tcPr>
            <w:tcW w:w="1980" w:type="dxa"/>
          </w:tcPr>
          <w:p>
            <w:pPr>
              <w:pBdr>
                <w:bottom w:val="doub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71,933</w:t>
            </w:r>
          </w:p>
        </w:tc>
        <w:tc>
          <w:tcPr>
            <w:tcW w:w="1800" w:type="dxa"/>
            <w:vAlign w:val="bottom"/>
          </w:tcPr>
          <w:p>
            <w:pPr>
              <w:pBdr>
                <w:bottom w:val="doub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71,933</w:t>
            </w:r>
          </w:p>
        </w:tc>
        <w:tc>
          <w:tcPr>
            <w:tcW w:w="1800" w:type="dxa"/>
            <w:vAlign w:val="bottom"/>
          </w:tcPr>
          <w:p>
            <w:pPr>
              <w:pBdr>
                <w:bottom w:val="doub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146,115</w:t>
            </w:r>
          </w:p>
        </w:tc>
      </w:tr>
      <w:tr>
        <w:tblPrEx>
          <w:tblCellMar>
            <w:top w:w="0" w:type="dxa"/>
            <w:left w:w="108" w:type="dxa"/>
            <w:bottom w:w="0" w:type="dxa"/>
            <w:right w:w="108" w:type="dxa"/>
          </w:tblCellMar>
        </w:tblPrEx>
        <w:tc>
          <w:tcPr>
            <w:tcW w:w="3690" w:type="dxa"/>
            <w:gridSpan w:val="2"/>
            <w:vAlign w:val="bottom"/>
          </w:tcPr>
          <w:p>
            <w:pPr>
              <w:pStyle w:val="12"/>
              <w:spacing w:after="0" w:line="380" w:lineRule="exact"/>
              <w:ind w:left="-18"/>
              <w:rPr>
                <w:rFonts w:ascii="Arial" w:hAnsi="Arial" w:cstheme="minorBidi"/>
                <w:color w:val="000000" w:themeColor="text1"/>
                <w:sz w:val="18"/>
                <w:szCs w:val="18"/>
                <w14:textFill>
                  <w14:solidFill>
                    <w14:schemeClr w14:val="tx1"/>
                  </w14:solidFill>
                </w14:textFill>
              </w:rPr>
            </w:pPr>
          </w:p>
        </w:tc>
        <w:tc>
          <w:tcPr>
            <w:tcW w:w="1980" w:type="dxa"/>
          </w:tcPr>
          <w:p>
            <w:pPr>
              <w:tabs>
                <w:tab w:val="decimal" w:pos="1240"/>
              </w:tabs>
              <w:spacing w:line="380" w:lineRule="exact"/>
              <w:ind w:left="-29" w:right="-29"/>
              <w:rPr>
                <w:rFonts w:ascii="Arial" w:hAnsi="Arial" w:cs="Arial"/>
                <w:sz w:val="18"/>
                <w:szCs w:val="18"/>
              </w:rPr>
            </w:pPr>
          </w:p>
        </w:tc>
        <w:tc>
          <w:tcPr>
            <w:tcW w:w="1800" w:type="dxa"/>
            <w:vAlign w:val="bottom"/>
          </w:tcPr>
          <w:p>
            <w:pPr>
              <w:tabs>
                <w:tab w:val="decimal" w:pos="1240"/>
              </w:tabs>
              <w:spacing w:line="380" w:lineRule="exact"/>
              <w:ind w:left="-29" w:right="-29"/>
              <w:rPr>
                <w:rFonts w:ascii="Arial" w:hAnsi="Arial" w:cs="Arial"/>
                <w:sz w:val="18"/>
                <w:szCs w:val="18"/>
              </w:rPr>
            </w:pPr>
          </w:p>
        </w:tc>
        <w:tc>
          <w:tcPr>
            <w:tcW w:w="1800" w:type="dxa"/>
            <w:vAlign w:val="bottom"/>
          </w:tcPr>
          <w:p>
            <w:pPr>
              <w:tabs>
                <w:tab w:val="decimal" w:pos="1240"/>
              </w:tabs>
              <w:spacing w:line="380" w:lineRule="exact"/>
              <w:ind w:left="-29" w:right="-29"/>
              <w:rPr>
                <w:rFonts w:ascii="Arial" w:hAnsi="Arial" w:cs="Arial"/>
                <w:sz w:val="18"/>
                <w:szCs w:val="18"/>
              </w:rPr>
            </w:pPr>
          </w:p>
        </w:tc>
      </w:tr>
      <w:tr>
        <w:tblPrEx>
          <w:tblCellMar>
            <w:top w:w="0" w:type="dxa"/>
            <w:left w:w="108" w:type="dxa"/>
            <w:bottom w:w="0" w:type="dxa"/>
            <w:right w:w="108" w:type="dxa"/>
          </w:tblCellMar>
        </w:tblPrEx>
        <w:tc>
          <w:tcPr>
            <w:tcW w:w="3690" w:type="dxa"/>
            <w:gridSpan w:val="2"/>
            <w:vAlign w:val="bottom"/>
          </w:tcPr>
          <w:p>
            <w:pPr>
              <w:pStyle w:val="12"/>
              <w:spacing w:after="0" w:line="380" w:lineRule="exact"/>
              <w:ind w:left="-18"/>
              <w:rPr>
                <w:rFonts w:ascii="Arial" w:hAnsi="Arial" w:cstheme="minorBidi"/>
                <w:color w:val="000000" w:themeColor="text1"/>
                <w:sz w:val="18"/>
                <w:szCs w:val="18"/>
                <w14:textFill>
                  <w14:solidFill>
                    <w14:schemeClr w14:val="tx1"/>
                  </w14:solidFill>
                </w14:textFill>
              </w:rPr>
            </w:pPr>
            <w:r>
              <w:rPr>
                <w:rFonts w:ascii="Arial" w:hAnsi="Arial" w:cstheme="minorBidi"/>
                <w:color w:val="000000" w:themeColor="text1"/>
                <w:sz w:val="18"/>
                <w:szCs w:val="18"/>
                <w14:textFill>
                  <w14:solidFill>
                    <w14:schemeClr w14:val="tx1"/>
                  </w14:solidFill>
                </w14:textFill>
              </w:rPr>
              <w:t xml:space="preserve">Current </w:t>
            </w:r>
          </w:p>
        </w:tc>
        <w:tc>
          <w:tcPr>
            <w:tcW w:w="1980" w:type="dxa"/>
          </w:tcPr>
          <w:p>
            <w:pPr>
              <w:tabs>
                <w:tab w:val="decimal" w:pos="1240"/>
              </w:tabs>
              <w:spacing w:line="380" w:lineRule="exact"/>
              <w:ind w:left="-29" w:right="-29"/>
              <w:rPr>
                <w:rFonts w:ascii="Arial" w:hAnsi="Arial" w:cs="Arial"/>
                <w:sz w:val="18"/>
                <w:szCs w:val="18"/>
              </w:rPr>
            </w:pPr>
            <w:r>
              <w:rPr>
                <w:rFonts w:ascii="Arial" w:hAnsi="Arial" w:cs="Arial"/>
                <w:sz w:val="18"/>
                <w:szCs w:val="18"/>
              </w:rPr>
              <w:t>71,337</w:t>
            </w:r>
          </w:p>
        </w:tc>
        <w:tc>
          <w:tcPr>
            <w:tcW w:w="1800" w:type="dxa"/>
            <w:vAlign w:val="bottom"/>
          </w:tcPr>
          <w:p>
            <w:pPr>
              <w:tabs>
                <w:tab w:val="decimal" w:pos="1240"/>
              </w:tabs>
              <w:spacing w:line="380" w:lineRule="exact"/>
              <w:ind w:left="-29" w:right="-29"/>
              <w:rPr>
                <w:rFonts w:ascii="Arial" w:hAnsi="Arial" w:cs="Arial"/>
                <w:sz w:val="18"/>
                <w:szCs w:val="18"/>
              </w:rPr>
            </w:pPr>
            <w:r>
              <w:rPr>
                <w:rFonts w:ascii="Arial" w:hAnsi="Arial" w:cs="Arial"/>
                <w:sz w:val="18"/>
                <w:szCs w:val="18"/>
              </w:rPr>
              <w:t>71,337</w:t>
            </w:r>
          </w:p>
        </w:tc>
        <w:tc>
          <w:tcPr>
            <w:tcW w:w="1800" w:type="dxa"/>
            <w:vAlign w:val="bottom"/>
          </w:tcPr>
          <w:p>
            <w:pPr>
              <w:tabs>
                <w:tab w:val="decimal" w:pos="1240"/>
              </w:tabs>
              <w:spacing w:line="380" w:lineRule="exact"/>
              <w:ind w:left="-29" w:right="-29"/>
              <w:rPr>
                <w:rFonts w:ascii="Arial" w:hAnsi="Arial" w:cs="Arial"/>
                <w:sz w:val="18"/>
                <w:szCs w:val="18"/>
              </w:rPr>
            </w:pPr>
            <w:r>
              <w:rPr>
                <w:rFonts w:ascii="Arial" w:hAnsi="Arial" w:cs="Arial"/>
                <w:sz w:val="18"/>
                <w:szCs w:val="18"/>
              </w:rPr>
              <w:t>130,115</w:t>
            </w:r>
          </w:p>
        </w:tc>
      </w:tr>
      <w:tr>
        <w:tblPrEx>
          <w:tblCellMar>
            <w:top w:w="0" w:type="dxa"/>
            <w:left w:w="108" w:type="dxa"/>
            <w:bottom w:w="0" w:type="dxa"/>
            <w:right w:w="108" w:type="dxa"/>
          </w:tblCellMar>
        </w:tblPrEx>
        <w:tc>
          <w:tcPr>
            <w:tcW w:w="3690" w:type="dxa"/>
            <w:gridSpan w:val="2"/>
            <w:vAlign w:val="bottom"/>
          </w:tcPr>
          <w:p>
            <w:pPr>
              <w:pStyle w:val="12"/>
              <w:spacing w:after="0" w:line="380" w:lineRule="exact"/>
              <w:ind w:left="-18"/>
              <w:rPr>
                <w:rFonts w:ascii="Arial" w:hAnsi="Arial" w:cstheme="minorBidi"/>
                <w:color w:val="000000" w:themeColor="text1"/>
                <w:sz w:val="18"/>
                <w:szCs w:val="18"/>
                <w14:textFill>
                  <w14:solidFill>
                    <w14:schemeClr w14:val="tx1"/>
                  </w14:solidFill>
                </w14:textFill>
              </w:rPr>
            </w:pPr>
            <w:r>
              <w:rPr>
                <w:rFonts w:ascii="Arial" w:hAnsi="Arial" w:cstheme="minorBidi"/>
                <w:color w:val="000000" w:themeColor="text1"/>
                <w:sz w:val="18"/>
                <w:szCs w:val="18"/>
                <w14:textFill>
                  <w14:solidFill>
                    <w14:schemeClr w14:val="tx1"/>
                  </w14:solidFill>
                </w14:textFill>
              </w:rPr>
              <w:t>Non-current</w:t>
            </w:r>
          </w:p>
        </w:tc>
        <w:tc>
          <w:tcPr>
            <w:tcW w:w="1980" w:type="dxa"/>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596</w:t>
            </w:r>
          </w:p>
        </w:tc>
        <w:tc>
          <w:tcPr>
            <w:tcW w:w="1800" w:type="dxa"/>
            <w:vAlign w:val="bottom"/>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596</w:t>
            </w:r>
          </w:p>
        </w:tc>
        <w:tc>
          <w:tcPr>
            <w:tcW w:w="1800" w:type="dxa"/>
            <w:vAlign w:val="bottom"/>
          </w:tcPr>
          <w:p>
            <w:pPr>
              <w:pBdr>
                <w:bottom w:val="sing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16,000</w:t>
            </w:r>
          </w:p>
        </w:tc>
      </w:tr>
      <w:tr>
        <w:tblPrEx>
          <w:tblCellMar>
            <w:top w:w="0" w:type="dxa"/>
            <w:left w:w="108" w:type="dxa"/>
            <w:bottom w:w="0" w:type="dxa"/>
            <w:right w:w="108" w:type="dxa"/>
          </w:tblCellMar>
        </w:tblPrEx>
        <w:tc>
          <w:tcPr>
            <w:tcW w:w="3690" w:type="dxa"/>
            <w:gridSpan w:val="2"/>
            <w:vAlign w:val="bottom"/>
          </w:tcPr>
          <w:p>
            <w:pPr>
              <w:pStyle w:val="12"/>
              <w:spacing w:after="0" w:line="380" w:lineRule="exact"/>
              <w:ind w:left="-18"/>
              <w:rPr>
                <w:rFonts w:ascii="Arial" w:hAnsi="Arial" w:cstheme="minorBidi"/>
                <w:color w:val="000000" w:themeColor="text1"/>
                <w:sz w:val="18"/>
                <w:szCs w:val="18"/>
                <w14:textFill>
                  <w14:solidFill>
                    <w14:schemeClr w14:val="tx1"/>
                  </w14:solidFill>
                </w14:textFill>
              </w:rPr>
            </w:pPr>
          </w:p>
        </w:tc>
        <w:tc>
          <w:tcPr>
            <w:tcW w:w="1980" w:type="dxa"/>
          </w:tcPr>
          <w:p>
            <w:pPr>
              <w:pBdr>
                <w:bottom w:val="doub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71,933</w:t>
            </w:r>
          </w:p>
        </w:tc>
        <w:tc>
          <w:tcPr>
            <w:tcW w:w="1800" w:type="dxa"/>
            <w:vAlign w:val="bottom"/>
          </w:tcPr>
          <w:p>
            <w:pPr>
              <w:pBdr>
                <w:bottom w:val="doub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71,933</w:t>
            </w:r>
          </w:p>
        </w:tc>
        <w:tc>
          <w:tcPr>
            <w:tcW w:w="1800" w:type="dxa"/>
            <w:vAlign w:val="bottom"/>
          </w:tcPr>
          <w:p>
            <w:pPr>
              <w:pBdr>
                <w:bottom w:val="double" w:color="auto" w:sz="4" w:space="1"/>
              </w:pBdr>
              <w:tabs>
                <w:tab w:val="decimal" w:pos="1240"/>
              </w:tabs>
              <w:spacing w:line="380" w:lineRule="exact"/>
              <w:ind w:left="-29" w:right="-29"/>
              <w:rPr>
                <w:rFonts w:ascii="Arial" w:hAnsi="Arial" w:cs="Arial"/>
                <w:sz w:val="18"/>
                <w:szCs w:val="18"/>
              </w:rPr>
            </w:pPr>
            <w:r>
              <w:rPr>
                <w:rFonts w:ascii="Arial" w:hAnsi="Arial" w:cs="Arial"/>
                <w:sz w:val="18"/>
                <w:szCs w:val="18"/>
              </w:rPr>
              <w:t>146,115</w:t>
            </w:r>
          </w:p>
        </w:tc>
      </w:tr>
      <w:bookmarkEnd w:id="0"/>
    </w:tbl>
    <w:p>
      <w:pPr>
        <w:spacing w:before="240" w:after="120" w:line="380" w:lineRule="exact"/>
        <w:ind w:left="547"/>
        <w:jc w:val="thaiDistribute"/>
        <w:rPr>
          <w:rFonts w:ascii="Arial" w:hAnsi="Arial" w:cs="Arial"/>
          <w:sz w:val="22"/>
          <w:szCs w:val="22"/>
        </w:rPr>
      </w:pPr>
      <w:r>
        <w:rPr>
          <w:rFonts w:ascii="Arial" w:hAnsi="Arial" w:cs="Arial"/>
          <w:sz w:val="22"/>
          <w:szCs w:val="22"/>
        </w:rPr>
        <w:t>Financial assets were measured at fair value with hierarchy level 2 and there were no transfers within the fair value hierarchy during the current period.</w:t>
      </w:r>
    </w:p>
    <w:p>
      <w:pPr>
        <w:overflowPunct/>
        <w:autoSpaceDE/>
        <w:autoSpaceDN/>
        <w:adjustRightInd/>
        <w:spacing w:after="260" w:line="260" w:lineRule="atLeast"/>
        <w:textAlignment w:val="auto"/>
        <w:rPr>
          <w:rFonts w:ascii="Arial" w:hAnsi="Arial" w:cs="Arial"/>
          <w:b/>
          <w:bCs/>
          <w:sz w:val="22"/>
          <w:szCs w:val="22"/>
          <w:cs/>
        </w:rPr>
      </w:pPr>
      <w:r>
        <w:rPr>
          <w:rFonts w:ascii="Arial" w:hAnsi="Arial" w:cs="Angsana New"/>
          <w:b/>
          <w:bCs/>
          <w:sz w:val="22"/>
          <w:szCs w:val="22"/>
          <w:cs/>
        </w:rPr>
        <w:br w:type="page"/>
      </w:r>
    </w:p>
    <w:p>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5.</w:t>
      </w:r>
      <w:r>
        <w:rPr>
          <w:rFonts w:ascii="Arial" w:hAnsi="Arial" w:cs="Arial"/>
          <w:b/>
          <w:bCs/>
          <w:sz w:val="22"/>
          <w:szCs w:val="22"/>
        </w:rPr>
        <w:tab/>
      </w:r>
      <w:r>
        <w:rPr>
          <w:rFonts w:ascii="Arial" w:hAnsi="Arial" w:cs="Arial"/>
          <w:b/>
          <w:bCs/>
          <w:sz w:val="22"/>
          <w:szCs w:val="22"/>
        </w:rPr>
        <w:t xml:space="preserve">Investment in subsidiary </w:t>
      </w:r>
    </w:p>
    <w:p>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sz w:val="22"/>
          <w:szCs w:val="22"/>
        </w:rPr>
      </w:pPr>
      <w:r>
        <w:rPr>
          <w:rFonts w:ascii="Arial" w:hAnsi="Arial" w:cs="Arial"/>
          <w:sz w:val="22"/>
          <w:szCs w:val="20"/>
        </w:rPr>
        <w:tab/>
      </w:r>
      <w:r>
        <w:rPr>
          <w:rFonts w:ascii="Arial" w:hAnsi="Arial" w:cs="Arial"/>
          <w:sz w:val="22"/>
          <w:szCs w:val="20"/>
        </w:rPr>
        <w:t>Details of investment in subsidiar</w:t>
      </w:r>
      <w:r>
        <w:rPr>
          <w:rFonts w:ascii="Arial" w:hAnsi="Arial" w:cs="Browallia New"/>
          <w:sz w:val="22"/>
          <w:szCs w:val="20"/>
        </w:rPr>
        <w:t>y</w:t>
      </w:r>
      <w:r>
        <w:rPr>
          <w:rFonts w:ascii="Arial" w:hAnsi="Arial" w:cs="Arial"/>
          <w:sz w:val="22"/>
          <w:szCs w:val="20"/>
        </w:rPr>
        <w:t>’</w:t>
      </w:r>
      <w:r>
        <w:rPr>
          <w:rFonts w:ascii="Arial" w:hAnsi="Arial" w:cs="Browallia New"/>
          <w:sz w:val="22"/>
          <w:szCs w:val="20"/>
        </w:rPr>
        <w:t>s</w:t>
      </w:r>
      <w:r>
        <w:rPr>
          <w:rFonts w:ascii="Arial" w:hAnsi="Arial" w:cs="Arial"/>
          <w:sz w:val="22"/>
          <w:szCs w:val="20"/>
        </w:rPr>
        <w:t xml:space="preserve"> balances as presented in separate financial statements were as follows:</w:t>
      </w:r>
    </w:p>
    <w:tbl>
      <w:tblPr>
        <w:tblStyle w:val="8"/>
        <w:tblW w:w="9270" w:type="dxa"/>
        <w:tblInd w:w="450" w:type="dxa"/>
        <w:tblLayout w:type="fixed"/>
        <w:tblCellMar>
          <w:top w:w="0" w:type="dxa"/>
          <w:left w:w="108" w:type="dxa"/>
          <w:bottom w:w="0" w:type="dxa"/>
          <w:right w:w="108" w:type="dxa"/>
        </w:tblCellMar>
      </w:tblPr>
      <w:tblGrid>
        <w:gridCol w:w="2430"/>
        <w:gridCol w:w="1140"/>
        <w:gridCol w:w="1140"/>
        <w:gridCol w:w="1140"/>
        <w:gridCol w:w="1140"/>
        <w:gridCol w:w="1140"/>
        <w:gridCol w:w="1140"/>
      </w:tblGrid>
      <w:tr>
        <w:tblPrEx>
          <w:tblCellMar>
            <w:top w:w="0" w:type="dxa"/>
            <w:left w:w="108" w:type="dxa"/>
            <w:bottom w:w="0" w:type="dxa"/>
            <w:right w:w="108" w:type="dxa"/>
          </w:tblCellMar>
        </w:tblPrEx>
        <w:trPr>
          <w:trHeight w:val="243" w:hRule="atLeast"/>
        </w:trPr>
        <w:tc>
          <w:tcPr>
            <w:tcW w:w="9270" w:type="dxa"/>
            <w:gridSpan w:val="7"/>
          </w:tcPr>
          <w:p>
            <w:pPr>
              <w:spacing w:line="380" w:lineRule="exact"/>
              <w:jc w:val="right"/>
              <w:rPr>
                <w:rFonts w:ascii="Arial" w:hAnsi="Arial" w:cs="Arial"/>
                <w:sz w:val="16"/>
                <w:szCs w:val="16"/>
              </w:rPr>
            </w:pPr>
            <w:r>
              <w:rPr>
                <w:rFonts w:ascii="Arial" w:hAnsi="Arial" w:cs="Arial"/>
                <w:sz w:val="16"/>
                <w:szCs w:val="16"/>
              </w:rPr>
              <w:t>(Unit: Thousand Baht)</w:t>
            </w:r>
          </w:p>
        </w:tc>
      </w:tr>
      <w:tr>
        <w:tblPrEx>
          <w:tblCellMar>
            <w:top w:w="0" w:type="dxa"/>
            <w:left w:w="108" w:type="dxa"/>
            <w:bottom w:w="0" w:type="dxa"/>
            <w:right w:w="108" w:type="dxa"/>
          </w:tblCellMar>
        </w:tblPrEx>
        <w:tc>
          <w:tcPr>
            <w:tcW w:w="2430" w:type="dxa"/>
            <w:vAlign w:val="bottom"/>
          </w:tcPr>
          <w:p>
            <w:pPr>
              <w:pBdr>
                <w:bottom w:val="single" w:color="auto" w:sz="4" w:space="1"/>
              </w:pBdr>
              <w:spacing w:line="380" w:lineRule="exact"/>
              <w:ind w:left="-18" w:firstLine="18"/>
              <w:jc w:val="center"/>
              <w:rPr>
                <w:rFonts w:ascii="Arial" w:hAnsi="Arial" w:cs="Arial"/>
                <w:sz w:val="16"/>
                <w:szCs w:val="16"/>
              </w:rPr>
            </w:pPr>
            <w:r>
              <w:rPr>
                <w:rFonts w:ascii="Arial" w:hAnsi="Arial" w:cs="Arial"/>
                <w:sz w:val="16"/>
                <w:szCs w:val="16"/>
              </w:rPr>
              <w:t>Company’s name</w:t>
            </w:r>
          </w:p>
        </w:tc>
        <w:tc>
          <w:tcPr>
            <w:tcW w:w="2280" w:type="dxa"/>
            <w:gridSpan w:val="2"/>
            <w:vAlign w:val="bottom"/>
          </w:tcPr>
          <w:p>
            <w:pPr>
              <w:pBdr>
                <w:bottom w:val="single" w:color="auto" w:sz="4" w:space="1"/>
              </w:pBdr>
              <w:spacing w:line="380" w:lineRule="exact"/>
              <w:ind w:right="-63"/>
              <w:jc w:val="center"/>
              <w:rPr>
                <w:rFonts w:ascii="Arial" w:hAnsi="Arial" w:cs="Arial"/>
                <w:sz w:val="16"/>
                <w:szCs w:val="16"/>
                <w:cs/>
              </w:rPr>
            </w:pPr>
            <w:r>
              <w:rPr>
                <w:rFonts w:ascii="Arial" w:hAnsi="Arial" w:cs="Arial"/>
                <w:sz w:val="16"/>
                <w:szCs w:val="16"/>
              </w:rPr>
              <w:t>Paid-up capital</w:t>
            </w:r>
          </w:p>
        </w:tc>
        <w:tc>
          <w:tcPr>
            <w:tcW w:w="2280" w:type="dxa"/>
            <w:gridSpan w:val="2"/>
            <w:vAlign w:val="bottom"/>
          </w:tcPr>
          <w:p>
            <w:pPr>
              <w:pBdr>
                <w:bottom w:val="single" w:color="auto" w:sz="4" w:space="1"/>
              </w:pBdr>
              <w:tabs>
                <w:tab w:val="right" w:pos="7200"/>
                <w:tab w:val="right" w:pos="8540"/>
              </w:tabs>
              <w:spacing w:line="380" w:lineRule="exact"/>
              <w:jc w:val="center"/>
              <w:rPr>
                <w:rFonts w:ascii="Arial" w:hAnsi="Arial" w:cs="Arial"/>
                <w:sz w:val="16"/>
                <w:szCs w:val="16"/>
                <w:cs/>
              </w:rPr>
            </w:pPr>
            <w:r>
              <w:rPr>
                <w:rFonts w:ascii="Arial" w:hAnsi="Arial" w:eastAsia="Arial Unicode MS" w:cs="Arial"/>
                <w:sz w:val="16"/>
                <w:szCs w:val="16"/>
              </w:rPr>
              <w:t xml:space="preserve">Percentage owned </w:t>
            </w:r>
            <w:r>
              <w:rPr>
                <w:rFonts w:ascii="Arial" w:hAnsi="Arial" w:eastAsia="Arial Unicode MS" w:cs="Arial"/>
                <w:sz w:val="16"/>
                <w:szCs w:val="16"/>
              </w:rPr>
              <w:br w:type="textWrapping"/>
            </w:r>
            <w:r>
              <w:rPr>
                <w:rFonts w:ascii="Arial" w:hAnsi="Arial" w:eastAsia="Arial Unicode MS" w:cs="Arial"/>
                <w:sz w:val="16"/>
                <w:szCs w:val="16"/>
              </w:rPr>
              <w:t>by the Company</w:t>
            </w:r>
          </w:p>
        </w:tc>
        <w:tc>
          <w:tcPr>
            <w:tcW w:w="2280" w:type="dxa"/>
            <w:gridSpan w:val="2"/>
            <w:vAlign w:val="bottom"/>
          </w:tcPr>
          <w:p>
            <w:pPr>
              <w:pBdr>
                <w:bottom w:val="single" w:color="auto" w:sz="4" w:space="1"/>
              </w:pBdr>
              <w:tabs>
                <w:tab w:val="right" w:pos="7200"/>
                <w:tab w:val="right" w:pos="8540"/>
              </w:tabs>
              <w:spacing w:line="380" w:lineRule="exact"/>
              <w:jc w:val="center"/>
              <w:rPr>
                <w:rFonts w:ascii="Arial" w:hAnsi="Arial" w:cs="Arial"/>
                <w:sz w:val="16"/>
                <w:szCs w:val="16"/>
                <w:cs/>
              </w:rPr>
            </w:pPr>
            <w:r>
              <w:rPr>
                <w:rFonts w:ascii="Arial" w:hAnsi="Arial" w:cs="Arial"/>
                <w:sz w:val="16"/>
                <w:szCs w:val="16"/>
              </w:rPr>
              <w:t>Cost</w:t>
            </w:r>
          </w:p>
        </w:tc>
      </w:tr>
      <w:tr>
        <w:tblPrEx>
          <w:tblCellMar>
            <w:top w:w="0" w:type="dxa"/>
            <w:left w:w="108" w:type="dxa"/>
            <w:bottom w:w="0" w:type="dxa"/>
            <w:right w:w="108" w:type="dxa"/>
          </w:tblCellMar>
        </w:tblPrEx>
        <w:tc>
          <w:tcPr>
            <w:tcW w:w="2430" w:type="dxa"/>
            <w:vAlign w:val="bottom"/>
          </w:tcPr>
          <w:p>
            <w:pPr>
              <w:spacing w:line="380" w:lineRule="exact"/>
              <w:jc w:val="center"/>
              <w:rPr>
                <w:rFonts w:ascii="Arial" w:hAnsi="Arial" w:cs="Arial"/>
                <w:sz w:val="16"/>
                <w:szCs w:val="16"/>
              </w:rPr>
            </w:pPr>
          </w:p>
        </w:tc>
        <w:tc>
          <w:tcPr>
            <w:tcW w:w="1140" w:type="dxa"/>
            <w:vAlign w:val="bottom"/>
          </w:tcPr>
          <w:p>
            <w:pPr>
              <w:pBdr>
                <w:bottom w:val="single" w:color="auto" w:sz="4" w:space="1"/>
              </w:pBdr>
              <w:spacing w:line="380" w:lineRule="exact"/>
              <w:ind w:left="-29" w:right="-29"/>
              <w:jc w:val="center"/>
              <w:rPr>
                <w:rFonts w:ascii="Arial" w:hAnsi="Arial" w:cs="Arial"/>
                <w:spacing w:val="-4"/>
                <w:sz w:val="16"/>
                <w:szCs w:val="16"/>
                <w:cs/>
              </w:rPr>
            </w:pPr>
            <w:r>
              <w:rPr>
                <w:rFonts w:ascii="Arial" w:hAnsi="Arial" w:cs="Arial"/>
                <w:spacing w:val="-4"/>
                <w:sz w:val="16"/>
                <w:szCs w:val="16"/>
              </w:rPr>
              <w:t>30 September    2022</w:t>
            </w:r>
          </w:p>
        </w:tc>
        <w:tc>
          <w:tcPr>
            <w:tcW w:w="1140" w:type="dxa"/>
            <w:vAlign w:val="bottom"/>
          </w:tcPr>
          <w:p>
            <w:pPr>
              <w:pBdr>
                <w:bottom w:val="single" w:color="auto" w:sz="4" w:space="1"/>
              </w:pBdr>
              <w:spacing w:line="380" w:lineRule="exact"/>
              <w:ind w:left="-29" w:right="-29"/>
              <w:jc w:val="center"/>
              <w:rPr>
                <w:rFonts w:ascii="Arial" w:hAnsi="Arial" w:cs="Arial"/>
                <w:spacing w:val="-4"/>
                <w:sz w:val="16"/>
                <w:szCs w:val="16"/>
                <w:cs/>
              </w:rPr>
            </w:pPr>
            <w:r>
              <w:rPr>
                <w:rFonts w:ascii="Arial" w:hAnsi="Arial" w:cs="Arial"/>
                <w:spacing w:val="-4"/>
                <w:sz w:val="16"/>
                <w:szCs w:val="16"/>
              </w:rPr>
              <w:t xml:space="preserve">31 December </w:t>
            </w:r>
            <w:r>
              <w:rPr>
                <w:rFonts w:ascii="Arial" w:hAnsi="Arial" w:cs="Arial"/>
                <w:spacing w:val="-4"/>
                <w:sz w:val="16"/>
                <w:szCs w:val="16"/>
                <w:cs/>
              </w:rPr>
              <w:t xml:space="preserve">    </w:t>
            </w:r>
            <w:r>
              <w:rPr>
                <w:rFonts w:ascii="Arial" w:hAnsi="Arial" w:cs="Arial"/>
                <w:spacing w:val="-4"/>
                <w:sz w:val="16"/>
                <w:szCs w:val="16"/>
              </w:rPr>
              <w:t>2021</w:t>
            </w:r>
          </w:p>
        </w:tc>
        <w:tc>
          <w:tcPr>
            <w:tcW w:w="1140" w:type="dxa"/>
            <w:vAlign w:val="bottom"/>
          </w:tcPr>
          <w:p>
            <w:pPr>
              <w:pBdr>
                <w:bottom w:val="single" w:color="auto" w:sz="4" w:space="1"/>
              </w:pBdr>
              <w:spacing w:line="380" w:lineRule="exact"/>
              <w:ind w:left="-29" w:right="-29"/>
              <w:jc w:val="center"/>
              <w:rPr>
                <w:rFonts w:ascii="Arial" w:hAnsi="Arial" w:cs="Arial"/>
                <w:spacing w:val="-4"/>
                <w:sz w:val="16"/>
                <w:szCs w:val="16"/>
              </w:rPr>
            </w:pPr>
            <w:r>
              <w:rPr>
                <w:rFonts w:ascii="Arial" w:hAnsi="Arial" w:cs="Arial"/>
                <w:spacing w:val="-4"/>
                <w:sz w:val="16"/>
                <w:szCs w:val="16"/>
              </w:rPr>
              <w:t>30 September    2022</w:t>
            </w:r>
          </w:p>
        </w:tc>
        <w:tc>
          <w:tcPr>
            <w:tcW w:w="1140" w:type="dxa"/>
            <w:vAlign w:val="bottom"/>
          </w:tcPr>
          <w:p>
            <w:pPr>
              <w:pBdr>
                <w:bottom w:val="single" w:color="auto" w:sz="4" w:space="1"/>
              </w:pBdr>
              <w:spacing w:line="380" w:lineRule="exact"/>
              <w:ind w:left="-29" w:right="-29"/>
              <w:jc w:val="center"/>
              <w:rPr>
                <w:rFonts w:ascii="Arial" w:hAnsi="Arial" w:cs="Arial"/>
                <w:spacing w:val="-4"/>
                <w:sz w:val="16"/>
                <w:szCs w:val="16"/>
                <w:cs/>
              </w:rPr>
            </w:pPr>
            <w:r>
              <w:rPr>
                <w:rFonts w:ascii="Arial" w:hAnsi="Arial" w:cs="Arial"/>
                <w:spacing w:val="-4"/>
                <w:sz w:val="16"/>
                <w:szCs w:val="16"/>
              </w:rPr>
              <w:t xml:space="preserve">31 December </w:t>
            </w:r>
            <w:r>
              <w:rPr>
                <w:rFonts w:ascii="Arial" w:hAnsi="Arial" w:cs="Arial"/>
                <w:spacing w:val="-4"/>
                <w:sz w:val="16"/>
                <w:szCs w:val="16"/>
                <w:cs/>
              </w:rPr>
              <w:t xml:space="preserve">    </w:t>
            </w:r>
            <w:r>
              <w:rPr>
                <w:rFonts w:ascii="Arial" w:hAnsi="Arial" w:cs="Arial"/>
                <w:spacing w:val="-4"/>
                <w:sz w:val="16"/>
                <w:szCs w:val="16"/>
              </w:rPr>
              <w:t>2021</w:t>
            </w:r>
          </w:p>
        </w:tc>
        <w:tc>
          <w:tcPr>
            <w:tcW w:w="1140" w:type="dxa"/>
            <w:vAlign w:val="bottom"/>
          </w:tcPr>
          <w:p>
            <w:pPr>
              <w:pBdr>
                <w:bottom w:val="single" w:color="auto" w:sz="4" w:space="1"/>
              </w:pBdr>
              <w:spacing w:line="380" w:lineRule="exact"/>
              <w:ind w:left="-29" w:right="-29"/>
              <w:jc w:val="center"/>
              <w:rPr>
                <w:rFonts w:ascii="Arial" w:hAnsi="Arial" w:cs="Arial"/>
                <w:spacing w:val="-4"/>
                <w:sz w:val="16"/>
                <w:szCs w:val="16"/>
              </w:rPr>
            </w:pPr>
            <w:r>
              <w:rPr>
                <w:rFonts w:ascii="Arial" w:hAnsi="Arial" w:cs="Arial"/>
                <w:spacing w:val="-4"/>
                <w:sz w:val="16"/>
                <w:szCs w:val="16"/>
              </w:rPr>
              <w:t>30 September    2022</w:t>
            </w:r>
          </w:p>
        </w:tc>
        <w:tc>
          <w:tcPr>
            <w:tcW w:w="1140" w:type="dxa"/>
            <w:vAlign w:val="bottom"/>
          </w:tcPr>
          <w:p>
            <w:pPr>
              <w:pBdr>
                <w:bottom w:val="single" w:color="auto" w:sz="4" w:space="1"/>
              </w:pBdr>
              <w:spacing w:line="380" w:lineRule="exact"/>
              <w:ind w:left="-29" w:right="-29"/>
              <w:jc w:val="center"/>
              <w:rPr>
                <w:rFonts w:ascii="Arial" w:hAnsi="Arial" w:cs="Arial"/>
                <w:spacing w:val="-4"/>
                <w:sz w:val="16"/>
                <w:szCs w:val="16"/>
                <w:cs/>
              </w:rPr>
            </w:pPr>
            <w:r>
              <w:rPr>
                <w:rFonts w:ascii="Arial" w:hAnsi="Arial" w:cs="Arial"/>
                <w:spacing w:val="-4"/>
                <w:sz w:val="16"/>
                <w:szCs w:val="16"/>
              </w:rPr>
              <w:t xml:space="preserve">31 December </w:t>
            </w:r>
            <w:r>
              <w:rPr>
                <w:rFonts w:ascii="Arial" w:hAnsi="Arial" w:cs="Arial"/>
                <w:spacing w:val="-4"/>
                <w:sz w:val="16"/>
                <w:szCs w:val="16"/>
                <w:cs/>
              </w:rPr>
              <w:t xml:space="preserve">    </w:t>
            </w:r>
            <w:r>
              <w:rPr>
                <w:rFonts w:ascii="Arial" w:hAnsi="Arial" w:cs="Arial"/>
                <w:spacing w:val="-4"/>
                <w:sz w:val="16"/>
                <w:szCs w:val="16"/>
              </w:rPr>
              <w:t>2021</w:t>
            </w:r>
          </w:p>
        </w:tc>
      </w:tr>
      <w:tr>
        <w:tblPrEx>
          <w:tblCellMar>
            <w:top w:w="0" w:type="dxa"/>
            <w:left w:w="108" w:type="dxa"/>
            <w:bottom w:w="0" w:type="dxa"/>
            <w:right w:w="108" w:type="dxa"/>
          </w:tblCellMar>
        </w:tblPrEx>
        <w:tc>
          <w:tcPr>
            <w:tcW w:w="2430" w:type="dxa"/>
            <w:vAlign w:val="bottom"/>
          </w:tcPr>
          <w:p>
            <w:pPr>
              <w:spacing w:line="380" w:lineRule="exact"/>
              <w:jc w:val="center"/>
              <w:rPr>
                <w:rFonts w:ascii="Arial" w:hAnsi="Arial" w:cs="Arial"/>
                <w:sz w:val="16"/>
                <w:szCs w:val="16"/>
              </w:rPr>
            </w:pPr>
          </w:p>
        </w:tc>
        <w:tc>
          <w:tcPr>
            <w:tcW w:w="1140" w:type="dxa"/>
          </w:tcPr>
          <w:p>
            <w:pPr>
              <w:tabs>
                <w:tab w:val="right" w:pos="7200"/>
                <w:tab w:val="right" w:pos="8540"/>
              </w:tabs>
              <w:spacing w:line="380" w:lineRule="exact"/>
              <w:ind w:left="-29" w:right="-29"/>
              <w:jc w:val="center"/>
              <w:rPr>
                <w:rFonts w:ascii="Arial" w:hAnsi="Arial" w:cs="Arial"/>
                <w:sz w:val="16"/>
                <w:szCs w:val="16"/>
                <w:cs/>
              </w:rPr>
            </w:pPr>
          </w:p>
        </w:tc>
        <w:tc>
          <w:tcPr>
            <w:tcW w:w="1140" w:type="dxa"/>
          </w:tcPr>
          <w:p>
            <w:pPr>
              <w:tabs>
                <w:tab w:val="right" w:pos="7200"/>
                <w:tab w:val="right" w:pos="8540"/>
              </w:tabs>
              <w:spacing w:line="380" w:lineRule="exact"/>
              <w:ind w:left="-29" w:right="-29"/>
              <w:jc w:val="center"/>
              <w:rPr>
                <w:rFonts w:ascii="Arial" w:hAnsi="Arial" w:cs="Arial"/>
                <w:spacing w:val="-2"/>
                <w:sz w:val="16"/>
                <w:szCs w:val="16"/>
                <w:cs/>
              </w:rPr>
            </w:pPr>
            <w:r>
              <w:rPr>
                <w:rFonts w:ascii="Arial" w:hAnsi="Arial" w:cs="Arial"/>
                <w:spacing w:val="-2"/>
                <w:sz w:val="16"/>
                <w:szCs w:val="16"/>
                <w:cs/>
              </w:rPr>
              <w:t>(</w:t>
            </w:r>
            <w:r>
              <w:rPr>
                <w:rFonts w:ascii="Arial" w:hAnsi="Arial" w:cs="Arial"/>
                <w:spacing w:val="-2"/>
                <w:sz w:val="16"/>
                <w:szCs w:val="16"/>
              </w:rPr>
              <w:t>Audited</w:t>
            </w:r>
            <w:r>
              <w:rPr>
                <w:rFonts w:ascii="Arial" w:hAnsi="Arial" w:cs="Arial"/>
                <w:spacing w:val="-2"/>
                <w:sz w:val="16"/>
                <w:szCs w:val="16"/>
                <w:cs/>
              </w:rPr>
              <w:t>)</w:t>
            </w:r>
          </w:p>
        </w:tc>
        <w:tc>
          <w:tcPr>
            <w:tcW w:w="1140" w:type="dxa"/>
          </w:tcPr>
          <w:p>
            <w:pPr>
              <w:tabs>
                <w:tab w:val="right" w:pos="7200"/>
                <w:tab w:val="right" w:pos="8540"/>
              </w:tabs>
              <w:spacing w:line="380" w:lineRule="exact"/>
              <w:ind w:left="-29" w:right="-29"/>
              <w:jc w:val="center"/>
              <w:rPr>
                <w:rFonts w:ascii="Arial" w:hAnsi="Arial" w:cs="Arial"/>
                <w:sz w:val="16"/>
                <w:szCs w:val="16"/>
                <w:cs/>
              </w:rPr>
            </w:pPr>
          </w:p>
        </w:tc>
        <w:tc>
          <w:tcPr>
            <w:tcW w:w="1140" w:type="dxa"/>
          </w:tcPr>
          <w:p>
            <w:pPr>
              <w:tabs>
                <w:tab w:val="right" w:pos="7200"/>
                <w:tab w:val="right" w:pos="8540"/>
              </w:tabs>
              <w:spacing w:line="380" w:lineRule="exact"/>
              <w:ind w:left="-29" w:right="-29"/>
              <w:jc w:val="center"/>
              <w:rPr>
                <w:rFonts w:ascii="Arial" w:hAnsi="Arial" w:cs="Arial"/>
                <w:spacing w:val="-2"/>
                <w:sz w:val="16"/>
                <w:szCs w:val="16"/>
                <w:cs/>
              </w:rPr>
            </w:pPr>
            <w:r>
              <w:rPr>
                <w:rFonts w:ascii="Arial" w:hAnsi="Arial" w:cs="Arial"/>
                <w:spacing w:val="-2"/>
                <w:sz w:val="16"/>
                <w:szCs w:val="16"/>
                <w:cs/>
              </w:rPr>
              <w:t>(</w:t>
            </w:r>
            <w:r>
              <w:rPr>
                <w:rFonts w:ascii="Arial" w:hAnsi="Arial" w:cs="Arial"/>
                <w:spacing w:val="-2"/>
                <w:sz w:val="16"/>
                <w:szCs w:val="16"/>
              </w:rPr>
              <w:t>Audited</w:t>
            </w:r>
            <w:r>
              <w:rPr>
                <w:rFonts w:ascii="Arial" w:hAnsi="Arial" w:cs="Arial"/>
                <w:spacing w:val="-2"/>
                <w:sz w:val="16"/>
                <w:szCs w:val="16"/>
                <w:cs/>
              </w:rPr>
              <w:t>)</w:t>
            </w:r>
          </w:p>
        </w:tc>
        <w:tc>
          <w:tcPr>
            <w:tcW w:w="1140" w:type="dxa"/>
          </w:tcPr>
          <w:p>
            <w:pPr>
              <w:tabs>
                <w:tab w:val="right" w:pos="7200"/>
                <w:tab w:val="right" w:pos="8540"/>
              </w:tabs>
              <w:spacing w:line="380" w:lineRule="exact"/>
              <w:ind w:left="-29" w:right="-29"/>
              <w:jc w:val="center"/>
              <w:rPr>
                <w:rFonts w:ascii="Arial" w:hAnsi="Arial" w:cs="Arial"/>
                <w:sz w:val="16"/>
                <w:szCs w:val="16"/>
                <w:cs/>
              </w:rPr>
            </w:pPr>
          </w:p>
        </w:tc>
        <w:tc>
          <w:tcPr>
            <w:tcW w:w="1140" w:type="dxa"/>
          </w:tcPr>
          <w:p>
            <w:pPr>
              <w:tabs>
                <w:tab w:val="right" w:pos="7200"/>
                <w:tab w:val="right" w:pos="8540"/>
              </w:tabs>
              <w:spacing w:line="380" w:lineRule="exact"/>
              <w:ind w:left="-29" w:right="-29"/>
              <w:jc w:val="center"/>
              <w:rPr>
                <w:rFonts w:ascii="Arial" w:hAnsi="Arial" w:cs="Arial"/>
                <w:spacing w:val="-2"/>
                <w:sz w:val="16"/>
                <w:szCs w:val="16"/>
                <w:cs/>
              </w:rPr>
            </w:pPr>
            <w:r>
              <w:rPr>
                <w:rFonts w:ascii="Arial" w:hAnsi="Arial" w:cs="Arial"/>
                <w:spacing w:val="-2"/>
                <w:sz w:val="16"/>
                <w:szCs w:val="16"/>
                <w:cs/>
              </w:rPr>
              <w:t>(</w:t>
            </w:r>
            <w:r>
              <w:rPr>
                <w:rFonts w:ascii="Arial" w:hAnsi="Arial" w:cs="Arial"/>
                <w:spacing w:val="-2"/>
                <w:sz w:val="16"/>
                <w:szCs w:val="16"/>
              </w:rPr>
              <w:t>Audited</w:t>
            </w:r>
            <w:r>
              <w:rPr>
                <w:rFonts w:ascii="Arial" w:hAnsi="Arial" w:cs="Arial"/>
                <w:spacing w:val="-2"/>
                <w:sz w:val="16"/>
                <w:szCs w:val="16"/>
                <w:cs/>
              </w:rPr>
              <w:t>)</w:t>
            </w:r>
          </w:p>
        </w:tc>
      </w:tr>
      <w:tr>
        <w:tblPrEx>
          <w:tblCellMar>
            <w:top w:w="0" w:type="dxa"/>
            <w:left w:w="108" w:type="dxa"/>
            <w:bottom w:w="0" w:type="dxa"/>
            <w:right w:w="108" w:type="dxa"/>
          </w:tblCellMar>
        </w:tblPrEx>
        <w:tc>
          <w:tcPr>
            <w:tcW w:w="2430" w:type="dxa"/>
            <w:vAlign w:val="bottom"/>
          </w:tcPr>
          <w:p>
            <w:pPr>
              <w:spacing w:line="380" w:lineRule="exact"/>
              <w:ind w:left="176" w:right="-108" w:hanging="176"/>
              <w:rPr>
                <w:rFonts w:ascii="Arial" w:hAnsi="Arial" w:cs="Arial"/>
                <w:sz w:val="16"/>
                <w:szCs w:val="16"/>
              </w:rPr>
            </w:pPr>
            <w:r>
              <w:rPr>
                <w:rFonts w:ascii="Arial" w:hAnsi="Arial" w:cs="Arial"/>
                <w:sz w:val="16"/>
                <w:szCs w:val="16"/>
              </w:rPr>
              <w:t>DD-Twinone Company Limited</w:t>
            </w:r>
          </w:p>
        </w:tc>
        <w:tc>
          <w:tcPr>
            <w:tcW w:w="1140" w:type="dxa"/>
            <w:vAlign w:val="bottom"/>
          </w:tcPr>
          <w:p>
            <w:pPr>
              <w:tabs>
                <w:tab w:val="decimal" w:pos="835"/>
              </w:tabs>
              <w:spacing w:line="380" w:lineRule="exact"/>
              <w:rPr>
                <w:rFonts w:ascii="Arial" w:hAnsi="Arial" w:cs="Arial"/>
                <w:sz w:val="16"/>
                <w:szCs w:val="16"/>
              </w:rPr>
            </w:pPr>
            <w:r>
              <w:rPr>
                <w:rFonts w:ascii="Arial" w:hAnsi="Arial" w:cs="Arial"/>
                <w:sz w:val="16"/>
                <w:szCs w:val="16"/>
              </w:rPr>
              <w:t>5,000</w:t>
            </w:r>
          </w:p>
        </w:tc>
        <w:tc>
          <w:tcPr>
            <w:tcW w:w="1140" w:type="dxa"/>
            <w:vAlign w:val="bottom"/>
          </w:tcPr>
          <w:p>
            <w:pPr>
              <w:tabs>
                <w:tab w:val="decimal" w:pos="835"/>
              </w:tabs>
              <w:spacing w:line="380" w:lineRule="exact"/>
              <w:rPr>
                <w:rFonts w:ascii="Arial" w:hAnsi="Arial" w:cs="Arial"/>
                <w:sz w:val="16"/>
                <w:szCs w:val="16"/>
              </w:rPr>
            </w:pPr>
            <w:r>
              <w:rPr>
                <w:rFonts w:ascii="Arial" w:hAnsi="Arial" w:cs="Arial"/>
                <w:sz w:val="16"/>
                <w:szCs w:val="16"/>
              </w:rPr>
              <w:t>-</w:t>
            </w:r>
          </w:p>
        </w:tc>
        <w:tc>
          <w:tcPr>
            <w:tcW w:w="1140" w:type="dxa"/>
            <w:vAlign w:val="bottom"/>
          </w:tcPr>
          <w:p>
            <w:pPr>
              <w:tabs>
                <w:tab w:val="decimal" w:pos="835"/>
              </w:tabs>
              <w:spacing w:line="380" w:lineRule="exact"/>
              <w:rPr>
                <w:rFonts w:ascii="Arial" w:hAnsi="Arial" w:cs="Arial"/>
                <w:sz w:val="16"/>
                <w:szCs w:val="16"/>
              </w:rPr>
            </w:pPr>
            <w:r>
              <w:rPr>
                <w:rFonts w:ascii="Arial" w:hAnsi="Arial" w:cs="Arial"/>
                <w:sz w:val="16"/>
                <w:szCs w:val="16"/>
              </w:rPr>
              <w:t>99.60</w:t>
            </w:r>
          </w:p>
        </w:tc>
        <w:tc>
          <w:tcPr>
            <w:tcW w:w="1140" w:type="dxa"/>
            <w:vAlign w:val="bottom"/>
          </w:tcPr>
          <w:p>
            <w:pPr>
              <w:tabs>
                <w:tab w:val="decimal" w:pos="835"/>
              </w:tabs>
              <w:spacing w:line="380" w:lineRule="exact"/>
              <w:rPr>
                <w:rFonts w:ascii="Arial" w:hAnsi="Arial" w:cs="Arial"/>
                <w:sz w:val="16"/>
                <w:szCs w:val="16"/>
              </w:rPr>
            </w:pPr>
            <w:r>
              <w:rPr>
                <w:rFonts w:ascii="Arial" w:hAnsi="Arial" w:cs="Arial"/>
                <w:sz w:val="16"/>
                <w:szCs w:val="16"/>
              </w:rPr>
              <w:t>-</w:t>
            </w:r>
          </w:p>
        </w:tc>
        <w:tc>
          <w:tcPr>
            <w:tcW w:w="1140" w:type="dxa"/>
            <w:vAlign w:val="bottom"/>
          </w:tcPr>
          <w:p>
            <w:pPr>
              <w:pBdr>
                <w:bottom w:val="single" w:color="auto" w:sz="4" w:space="1"/>
              </w:pBdr>
              <w:tabs>
                <w:tab w:val="decimal" w:pos="835"/>
              </w:tabs>
              <w:spacing w:line="380" w:lineRule="exact"/>
              <w:rPr>
                <w:rFonts w:ascii="Arial" w:hAnsi="Arial" w:cs="Arial"/>
                <w:sz w:val="16"/>
                <w:szCs w:val="16"/>
              </w:rPr>
            </w:pPr>
            <w:r>
              <w:rPr>
                <w:rFonts w:ascii="Arial" w:hAnsi="Arial" w:cs="Arial"/>
                <w:sz w:val="16"/>
                <w:szCs w:val="16"/>
              </w:rPr>
              <w:t>4,865</w:t>
            </w:r>
          </w:p>
        </w:tc>
        <w:tc>
          <w:tcPr>
            <w:tcW w:w="1140" w:type="dxa"/>
            <w:vAlign w:val="bottom"/>
          </w:tcPr>
          <w:p>
            <w:pPr>
              <w:pBdr>
                <w:bottom w:val="single" w:color="auto" w:sz="4" w:space="1"/>
              </w:pBdr>
              <w:tabs>
                <w:tab w:val="decimal" w:pos="835"/>
              </w:tabs>
              <w:spacing w:line="380" w:lineRule="exact"/>
              <w:rPr>
                <w:rFonts w:ascii="Arial" w:hAnsi="Arial" w:cs="Arial"/>
                <w:sz w:val="16"/>
                <w:szCs w:val="16"/>
                <w:cs/>
              </w:rPr>
            </w:pPr>
            <w:r>
              <w:rPr>
                <w:rFonts w:hint="cs" w:ascii="Arial" w:hAnsi="Arial" w:cs="Arial"/>
                <w:sz w:val="16"/>
                <w:szCs w:val="16"/>
                <w:cs/>
              </w:rPr>
              <w:t>-</w:t>
            </w:r>
          </w:p>
        </w:tc>
      </w:tr>
      <w:tr>
        <w:tblPrEx>
          <w:tblCellMar>
            <w:top w:w="0" w:type="dxa"/>
            <w:left w:w="108" w:type="dxa"/>
            <w:bottom w:w="0" w:type="dxa"/>
            <w:right w:w="108" w:type="dxa"/>
          </w:tblCellMar>
        </w:tblPrEx>
        <w:trPr>
          <w:trHeight w:val="74" w:hRule="atLeast"/>
        </w:trPr>
        <w:tc>
          <w:tcPr>
            <w:tcW w:w="4710" w:type="dxa"/>
            <w:gridSpan w:val="3"/>
            <w:vAlign w:val="bottom"/>
          </w:tcPr>
          <w:p>
            <w:pPr>
              <w:spacing w:line="380" w:lineRule="exact"/>
              <w:rPr>
                <w:rFonts w:ascii="Arial" w:hAnsi="Arial" w:cs="Arial"/>
                <w:sz w:val="16"/>
                <w:szCs w:val="16"/>
              </w:rPr>
            </w:pPr>
            <w:r>
              <w:rPr>
                <w:rFonts w:ascii="Arial" w:hAnsi="Arial" w:cs="Arial"/>
                <w:sz w:val="16"/>
                <w:szCs w:val="16"/>
              </w:rPr>
              <w:t>Total</w:t>
            </w:r>
          </w:p>
        </w:tc>
        <w:tc>
          <w:tcPr>
            <w:tcW w:w="1140" w:type="dxa"/>
            <w:vAlign w:val="bottom"/>
          </w:tcPr>
          <w:p>
            <w:pPr>
              <w:tabs>
                <w:tab w:val="decimal" w:pos="835"/>
              </w:tabs>
              <w:spacing w:line="380" w:lineRule="exact"/>
              <w:rPr>
                <w:rFonts w:ascii="Arial" w:hAnsi="Arial" w:cs="Arial"/>
                <w:sz w:val="16"/>
                <w:szCs w:val="16"/>
              </w:rPr>
            </w:pPr>
          </w:p>
        </w:tc>
        <w:tc>
          <w:tcPr>
            <w:tcW w:w="1140" w:type="dxa"/>
            <w:vAlign w:val="bottom"/>
          </w:tcPr>
          <w:p>
            <w:pPr>
              <w:tabs>
                <w:tab w:val="decimal" w:pos="835"/>
              </w:tabs>
              <w:spacing w:line="380" w:lineRule="exact"/>
              <w:rPr>
                <w:rFonts w:ascii="Arial" w:hAnsi="Arial" w:cs="Arial"/>
                <w:sz w:val="16"/>
                <w:szCs w:val="16"/>
              </w:rPr>
            </w:pPr>
          </w:p>
        </w:tc>
        <w:tc>
          <w:tcPr>
            <w:tcW w:w="1140" w:type="dxa"/>
            <w:vAlign w:val="bottom"/>
          </w:tcPr>
          <w:p>
            <w:pPr>
              <w:pBdr>
                <w:bottom w:val="double" w:color="auto" w:sz="4" w:space="1"/>
              </w:pBdr>
              <w:tabs>
                <w:tab w:val="decimal" w:pos="835"/>
              </w:tabs>
              <w:spacing w:line="380" w:lineRule="exact"/>
              <w:rPr>
                <w:rFonts w:ascii="Arial" w:hAnsi="Arial" w:cs="Arial"/>
                <w:sz w:val="16"/>
                <w:szCs w:val="16"/>
              </w:rPr>
            </w:pPr>
            <w:r>
              <w:rPr>
                <w:rFonts w:ascii="Arial" w:hAnsi="Arial" w:cs="Arial"/>
                <w:sz w:val="16"/>
                <w:szCs w:val="16"/>
              </w:rPr>
              <w:t>4,865</w:t>
            </w:r>
          </w:p>
        </w:tc>
        <w:tc>
          <w:tcPr>
            <w:tcW w:w="1140" w:type="dxa"/>
            <w:vAlign w:val="bottom"/>
          </w:tcPr>
          <w:p>
            <w:pPr>
              <w:pBdr>
                <w:bottom w:val="double" w:color="auto" w:sz="4" w:space="1"/>
              </w:pBdr>
              <w:tabs>
                <w:tab w:val="decimal" w:pos="835"/>
              </w:tabs>
              <w:spacing w:line="380" w:lineRule="exact"/>
              <w:rPr>
                <w:rFonts w:ascii="Arial" w:hAnsi="Arial" w:cs="Arial"/>
                <w:sz w:val="16"/>
                <w:szCs w:val="16"/>
              </w:rPr>
            </w:pPr>
            <w:r>
              <w:rPr>
                <w:rFonts w:ascii="Arial" w:hAnsi="Arial" w:cs="Arial"/>
                <w:sz w:val="16"/>
                <w:szCs w:val="16"/>
              </w:rPr>
              <w:t>-</w:t>
            </w:r>
          </w:p>
        </w:tc>
      </w:tr>
    </w:tbl>
    <w:p>
      <w:pPr>
        <w:spacing w:before="240" w:after="120" w:line="380" w:lineRule="exact"/>
        <w:ind w:left="547"/>
        <w:jc w:val="thaiDistribute"/>
        <w:rPr>
          <w:rFonts w:ascii="Arial" w:hAnsi="Arial" w:cs="Arial"/>
          <w:sz w:val="22"/>
          <w:szCs w:val="22"/>
          <w:u w:val="single"/>
        </w:rPr>
      </w:pPr>
      <w:r>
        <w:rPr>
          <w:rFonts w:ascii="Arial" w:hAnsi="Arial" w:cs="Arial"/>
          <w:sz w:val="22"/>
          <w:szCs w:val="22"/>
          <w:u w:val="single"/>
        </w:rPr>
        <w:t>DD-Twinone Company Limited (“DD-Twinone”)</w:t>
      </w:r>
    </w:p>
    <w:p>
      <w:pPr>
        <w:spacing w:before="120" w:after="120" w:line="380" w:lineRule="exact"/>
        <w:ind w:left="547"/>
        <w:jc w:val="thaiDistribute"/>
        <w:rPr>
          <w:rFonts w:ascii="Arial" w:hAnsi="Arial" w:cs="Arial"/>
          <w:sz w:val="22"/>
          <w:szCs w:val="22"/>
        </w:rPr>
      </w:pPr>
      <w:r>
        <w:rPr>
          <w:rFonts w:ascii="Arial" w:hAnsi="Arial" w:cs="Arial"/>
          <w:sz w:val="22"/>
          <w:szCs w:val="22"/>
        </w:rPr>
        <w:t xml:space="preserve">On 6 May 2022, the Company’s Board of Directors passed a resolution approving an acquisition of ordinary shares in DD-Twinone which is engaged in the business of dietary supplements, amounting to 49,800 shares, equivalent to 99.60 percent of the total paid-up shares. The Company entered into a share purchase and sale agreement with the sellers, whereby the total purchase price was to be Baht 4.98 million, and the Company had an option to sell back all shares to the sellers under conditions as specified in the agreement. Subsequently, </w:t>
      </w:r>
      <w:r>
        <w:rPr>
          <w:rFonts w:ascii="Arial" w:hAnsi="Arial" w:cs="Browallia New"/>
          <w:sz w:val="22"/>
          <w:szCs w:val="28"/>
        </w:rPr>
        <w:t>o</w:t>
      </w:r>
      <w:r>
        <w:rPr>
          <w:rFonts w:ascii="Arial" w:hAnsi="Arial" w:cs="Arial"/>
          <w:sz w:val="22"/>
          <w:szCs w:val="22"/>
        </w:rPr>
        <w:t xml:space="preserve">n 28 July 2022 (the acquisition date) , the Company received a transfer of ordinary shares from the sellers. </w:t>
      </w:r>
    </w:p>
    <w:p>
      <w:pPr>
        <w:spacing w:before="120" w:after="120" w:line="380" w:lineRule="exact"/>
        <w:ind w:left="547"/>
        <w:jc w:val="thaiDistribute"/>
        <w:rPr>
          <w:rFonts w:ascii="Arial" w:hAnsi="Arial" w:cs="Arial"/>
          <w:sz w:val="22"/>
          <w:szCs w:val="22"/>
        </w:rPr>
      </w:pPr>
      <w:r>
        <w:rPr>
          <w:rFonts w:ascii="Arial" w:hAnsi="Arial" w:cs="Arial"/>
          <w:sz w:val="22"/>
          <w:szCs w:val="22"/>
        </w:rPr>
        <w:t>The fair values of the identifiable assets and liabilities of DD-Twinone at the acquisition date ware summarised below.</w:t>
      </w:r>
    </w:p>
    <w:tbl>
      <w:tblPr>
        <w:tblStyle w:val="24"/>
        <w:tblW w:w="9140"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30"/>
        <w:gridCol w:w="1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9140" w:type="dxa"/>
            <w:gridSpan w:val="2"/>
            <w:vAlign w:val="bottom"/>
          </w:tcPr>
          <w:p>
            <w:pPr>
              <w:spacing w:line="380" w:lineRule="exact"/>
              <w:jc w:val="right"/>
              <w:rPr>
                <w:rFonts w:ascii="Arial" w:hAnsi="Arial" w:cs="Arial"/>
                <w:sz w:val="22"/>
                <w:szCs w:val="22"/>
              </w:rPr>
            </w:pPr>
            <w:r>
              <w:rPr>
                <w:rFonts w:ascii="Arial" w:hAnsi="Arial" w:cs="Arial"/>
                <w:sz w:val="22"/>
                <w:szCs w:val="22"/>
              </w:rPr>
              <w:br w:type="page"/>
            </w:r>
            <w:r>
              <w:rPr>
                <w:rFonts w:ascii="Arial" w:hAnsi="Arial" w:cs="Arial"/>
                <w:sz w:val="22"/>
                <w:szCs w:val="22"/>
              </w:rPr>
              <w:t>(Unit: Thousand Baht)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r>
              <w:rPr>
                <w:rFonts w:ascii="Arial" w:hAnsi="Arial" w:cs="Arial"/>
                <w:sz w:val="22"/>
                <w:szCs w:val="22"/>
              </w:rPr>
              <w:t>Cash and cash equivalents</w:t>
            </w:r>
          </w:p>
        </w:tc>
        <w:tc>
          <w:tcPr>
            <w:tcW w:w="1710" w:type="dxa"/>
            <w:vAlign w:val="bottom"/>
          </w:tcPr>
          <w:p>
            <w:pPr>
              <w:tabs>
                <w:tab w:val="decimal" w:pos="1244"/>
              </w:tabs>
              <w:spacing w:line="380" w:lineRule="exact"/>
              <w:rPr>
                <w:rFonts w:ascii="Arial" w:hAnsi="Arial" w:cs="Arial"/>
                <w:sz w:val="22"/>
                <w:szCs w:val="22"/>
              </w:rPr>
            </w:pPr>
            <w:r>
              <w:rPr>
                <w:rFonts w:ascii="Arial" w:hAnsi="Arial" w:cs="Arial"/>
                <w:sz w:val="22"/>
                <w:szCs w:val="22"/>
              </w:rPr>
              <w:t>573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r>
              <w:rPr>
                <w:rFonts w:ascii="Arial" w:hAnsi="Arial" w:cs="Arial"/>
                <w:sz w:val="22"/>
                <w:szCs w:val="22"/>
              </w:rPr>
              <w:t>Trade and other receivables</w:t>
            </w:r>
          </w:p>
        </w:tc>
        <w:tc>
          <w:tcPr>
            <w:tcW w:w="1710" w:type="dxa"/>
            <w:vAlign w:val="bottom"/>
          </w:tcPr>
          <w:p>
            <w:pPr>
              <w:tabs>
                <w:tab w:val="decimal" w:pos="1244"/>
              </w:tabs>
              <w:spacing w:line="380" w:lineRule="exact"/>
              <w:rPr>
                <w:rFonts w:ascii="Arial" w:hAnsi="Arial" w:cs="Arial"/>
                <w:sz w:val="22"/>
                <w:szCs w:val="22"/>
              </w:rPr>
            </w:pPr>
            <w:r>
              <w:rPr>
                <w:rFonts w:ascii="Arial" w:hAnsi="Arial" w:cs="Arial"/>
                <w:sz w:val="22"/>
                <w:szCs w:val="22"/>
              </w:rPr>
              <w:t>3,347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r>
              <w:rPr>
                <w:rFonts w:ascii="Arial" w:hAnsi="Arial" w:cs="Arial"/>
                <w:sz w:val="22"/>
                <w:szCs w:val="22"/>
              </w:rPr>
              <w:t>Inventories</w:t>
            </w:r>
          </w:p>
        </w:tc>
        <w:tc>
          <w:tcPr>
            <w:tcW w:w="1710" w:type="dxa"/>
            <w:vAlign w:val="bottom"/>
          </w:tcPr>
          <w:p>
            <w:pPr>
              <w:tabs>
                <w:tab w:val="decimal" w:pos="1244"/>
              </w:tabs>
              <w:spacing w:line="380" w:lineRule="exact"/>
              <w:rPr>
                <w:rFonts w:ascii="Arial" w:hAnsi="Arial" w:cs="Arial"/>
                <w:sz w:val="22"/>
                <w:szCs w:val="22"/>
              </w:rPr>
            </w:pPr>
            <w:r>
              <w:rPr>
                <w:rFonts w:ascii="Arial" w:hAnsi="Arial" w:cs="Arial"/>
                <w:sz w:val="22"/>
                <w:szCs w:val="22"/>
              </w:rPr>
              <w:t>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r>
              <w:rPr>
                <w:rFonts w:ascii="Arial" w:hAnsi="Arial" w:cs="Arial"/>
                <w:sz w:val="22"/>
                <w:szCs w:val="22"/>
              </w:rPr>
              <w:t>Investment in associate (Mutelu Leaw Ruai Co., Ltd.)</w:t>
            </w:r>
          </w:p>
        </w:tc>
        <w:tc>
          <w:tcPr>
            <w:tcW w:w="1710" w:type="dxa"/>
            <w:vAlign w:val="bottom"/>
          </w:tcPr>
          <w:p>
            <w:pPr>
              <w:tabs>
                <w:tab w:val="decimal" w:pos="1244"/>
              </w:tabs>
              <w:spacing w:line="380" w:lineRule="exact"/>
              <w:rPr>
                <w:rFonts w:ascii="Arial" w:hAnsi="Arial" w:cs="Arial"/>
                <w:sz w:val="22"/>
                <w:szCs w:val="22"/>
              </w:rPr>
            </w:pPr>
            <w:r>
              <w:rPr>
                <w:rFonts w:ascii="Arial" w:hAnsi="Arial" w:cs="Arial"/>
                <w:sz w:val="22"/>
                <w:szCs w:val="22"/>
              </w:rPr>
              <w:t>3,251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overflowPunct/>
              <w:autoSpaceDE/>
              <w:autoSpaceDN/>
              <w:adjustRightInd/>
              <w:spacing w:line="380" w:lineRule="exact"/>
              <w:textAlignment w:val="auto"/>
              <w:rPr>
                <w:rFonts w:ascii="Arial" w:hAnsi="Arial" w:cstheme="minorBidi"/>
                <w:sz w:val="22"/>
                <w:szCs w:val="22"/>
                <w:cs/>
              </w:rPr>
            </w:pPr>
            <w:r>
              <w:rPr>
                <w:rFonts w:ascii="Arial" w:hAnsi="Arial" w:cs="Arial"/>
                <w:sz w:val="22"/>
                <w:szCs w:val="22"/>
              </w:rPr>
              <w:t>Equipment</w:t>
            </w:r>
          </w:p>
        </w:tc>
        <w:tc>
          <w:tcPr>
            <w:tcW w:w="1710" w:type="dxa"/>
            <w:vAlign w:val="bottom"/>
          </w:tcPr>
          <w:p>
            <w:pPr>
              <w:tabs>
                <w:tab w:val="decimal" w:pos="1244"/>
              </w:tabs>
              <w:spacing w:line="380" w:lineRule="exact"/>
              <w:rPr>
                <w:rFonts w:ascii="Arial" w:hAnsi="Arial" w:cs="Arial"/>
                <w:sz w:val="22"/>
                <w:szCs w:val="22"/>
              </w:rPr>
            </w:pPr>
            <w:r>
              <w:rPr>
                <w:rFonts w:ascii="Arial" w:hAnsi="Arial" w:cs="Arial"/>
                <w:sz w:val="22"/>
                <w:szCs w:val="22"/>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r>
              <w:rPr>
                <w:rFonts w:ascii="Arial" w:hAnsi="Arial" w:cs="Arial"/>
                <w:sz w:val="22"/>
                <w:szCs w:val="22"/>
              </w:rPr>
              <w:t>Intangible assets</w:t>
            </w:r>
          </w:p>
        </w:tc>
        <w:tc>
          <w:tcPr>
            <w:tcW w:w="1710" w:type="dxa"/>
            <w:vAlign w:val="bottom"/>
          </w:tcPr>
          <w:p>
            <w:pPr>
              <w:tabs>
                <w:tab w:val="decimal" w:pos="1244"/>
              </w:tabs>
              <w:spacing w:line="380" w:lineRule="exact"/>
              <w:rPr>
                <w:rFonts w:ascii="Arial" w:hAnsi="Arial" w:cs="Arial"/>
                <w:sz w:val="22"/>
                <w:szCs w:val="22"/>
              </w:rPr>
            </w:pPr>
            <w:r>
              <w:rPr>
                <w:rFonts w:ascii="Arial" w:hAnsi="Arial" w:cs="Arial"/>
                <w:sz w:val="22"/>
                <w:szCs w:val="22"/>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r>
              <w:rPr>
                <w:rFonts w:ascii="Arial" w:hAnsi="Arial" w:cs="Arial"/>
                <w:sz w:val="22"/>
                <w:szCs w:val="22"/>
              </w:rPr>
              <w:t>Deferred tax assets</w:t>
            </w:r>
          </w:p>
        </w:tc>
        <w:tc>
          <w:tcPr>
            <w:tcW w:w="1710" w:type="dxa"/>
            <w:vAlign w:val="bottom"/>
          </w:tcPr>
          <w:p>
            <w:pPr>
              <w:tabs>
                <w:tab w:val="decimal" w:pos="1244"/>
              </w:tabs>
              <w:spacing w:line="380" w:lineRule="exact"/>
              <w:rPr>
                <w:rFonts w:ascii="Arial" w:hAnsi="Arial" w:cs="Arial"/>
                <w:sz w:val="22"/>
                <w:szCs w:val="22"/>
              </w:rPr>
            </w:pPr>
            <w:r>
              <w:rPr>
                <w:rFonts w:ascii="Arial" w:hAnsi="Arial" w:cs="Arial"/>
                <w:sz w:val="22"/>
                <w:szCs w:val="22"/>
              </w:rPr>
              <w:t>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r>
              <w:rPr>
                <w:rFonts w:ascii="Arial" w:hAnsi="Arial" w:cs="Arial"/>
                <w:sz w:val="22"/>
                <w:szCs w:val="22"/>
              </w:rPr>
              <w:t>Trade and other payables</w:t>
            </w:r>
          </w:p>
        </w:tc>
        <w:tc>
          <w:tcPr>
            <w:tcW w:w="1710" w:type="dxa"/>
            <w:vAlign w:val="bottom"/>
          </w:tcPr>
          <w:p>
            <w:pPr>
              <w:pBdr>
                <w:bottom w:val="single" w:color="auto" w:sz="4" w:space="1"/>
              </w:pBdr>
              <w:tabs>
                <w:tab w:val="decimal" w:pos="1244"/>
              </w:tabs>
              <w:spacing w:line="380" w:lineRule="exact"/>
              <w:rPr>
                <w:rFonts w:ascii="Arial" w:hAnsi="Arial" w:cstheme="minorBidi"/>
                <w:sz w:val="22"/>
                <w:szCs w:val="22"/>
                <w:cs/>
              </w:rPr>
            </w:pPr>
            <w:r>
              <w:rPr>
                <w:rFonts w:ascii="Arial" w:hAnsi="Arial" w:cs="Arial"/>
                <w:sz w:val="22"/>
                <w:szCs w:val="22"/>
              </w:rPr>
              <w:t>(3,339)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r>
              <w:rPr>
                <w:rFonts w:ascii="Arial" w:hAnsi="Arial" w:cs="Arial"/>
                <w:sz w:val="22"/>
                <w:szCs w:val="22"/>
              </w:rPr>
              <w:t>Total identifiable net assets</w:t>
            </w:r>
          </w:p>
        </w:tc>
        <w:tc>
          <w:tcPr>
            <w:tcW w:w="1710" w:type="dxa"/>
            <w:vAlign w:val="bottom"/>
          </w:tcPr>
          <w:p>
            <w:pPr>
              <w:tabs>
                <w:tab w:val="decimal" w:pos="1244"/>
              </w:tabs>
              <w:spacing w:line="380" w:lineRule="exact"/>
              <w:rPr>
                <w:rFonts w:ascii="Arial" w:hAnsi="Arial" w:cs="Arial"/>
                <w:sz w:val="22"/>
                <w:szCs w:val="22"/>
              </w:rPr>
            </w:pPr>
            <w:r>
              <w:rPr>
                <w:rFonts w:ascii="Arial" w:hAnsi="Arial" w:cs="Arial"/>
                <w:sz w:val="22"/>
                <w:szCs w:val="22"/>
              </w:rPr>
              <w:t>5,145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tabs>
                <w:tab w:val="left" w:pos="691"/>
              </w:tabs>
              <w:spacing w:line="380" w:lineRule="exact"/>
              <w:ind w:left="864" w:hanging="864"/>
              <w:rPr>
                <w:rFonts w:ascii="Arial" w:hAnsi="Arial" w:cs="Arial"/>
                <w:sz w:val="22"/>
                <w:szCs w:val="22"/>
              </w:rPr>
            </w:pPr>
            <w:r>
              <w:rPr>
                <w:rFonts w:ascii="Arial" w:hAnsi="Arial" w:cs="Arial"/>
                <w:sz w:val="22"/>
                <w:szCs w:val="22"/>
              </w:rPr>
              <w:t>Less:</w:t>
            </w:r>
            <w:r>
              <w:rPr>
                <w:rFonts w:ascii="Arial" w:hAnsi="Arial" w:cs="Arial"/>
                <w:sz w:val="22"/>
                <w:szCs w:val="22"/>
              </w:rPr>
              <w:tab/>
            </w:r>
            <w:r>
              <w:rPr>
                <w:rFonts w:ascii="Arial" w:hAnsi="Arial" w:cs="Arial"/>
                <w:sz w:val="22"/>
                <w:szCs w:val="22"/>
              </w:rPr>
              <w:t>Gain from a bargain purchase</w:t>
            </w:r>
          </w:p>
        </w:tc>
        <w:tc>
          <w:tcPr>
            <w:tcW w:w="1710" w:type="dxa"/>
            <w:vAlign w:val="bottom"/>
          </w:tcPr>
          <w:p>
            <w:pPr>
              <w:pBdr>
                <w:bottom w:val="single" w:color="auto" w:sz="4" w:space="1"/>
              </w:pBdr>
              <w:tabs>
                <w:tab w:val="decimal" w:pos="1244"/>
              </w:tabs>
              <w:spacing w:line="380" w:lineRule="exact"/>
              <w:rPr>
                <w:rFonts w:ascii="Arial" w:hAnsi="Arial" w:cs="Arial"/>
                <w:sz w:val="22"/>
                <w:szCs w:val="22"/>
              </w:rPr>
            </w:pPr>
            <w:r>
              <w:rPr>
                <w:rFonts w:ascii="Arial" w:hAnsi="Arial" w:cs="Arial"/>
                <w:sz w:val="22"/>
                <w:szCs w:val="22"/>
              </w:rPr>
              <w:t>(280)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r>
              <w:rPr>
                <w:rFonts w:ascii="Arial" w:hAnsi="Arial" w:cs="Arial"/>
                <w:sz w:val="22"/>
                <w:szCs w:val="22"/>
              </w:rPr>
              <w:t>Cash paid for purchase of investment in subsidiary</w:t>
            </w:r>
          </w:p>
        </w:tc>
        <w:tc>
          <w:tcPr>
            <w:tcW w:w="1710" w:type="dxa"/>
            <w:vAlign w:val="bottom"/>
          </w:tcPr>
          <w:p>
            <w:pPr>
              <w:pBdr>
                <w:bottom w:val="double" w:color="auto" w:sz="4" w:space="1"/>
              </w:pBdr>
              <w:tabs>
                <w:tab w:val="decimal" w:pos="1244"/>
              </w:tabs>
              <w:spacing w:line="380" w:lineRule="exact"/>
              <w:rPr>
                <w:rFonts w:ascii="Arial" w:hAnsi="Arial" w:cs="Arial"/>
                <w:sz w:val="22"/>
                <w:szCs w:val="22"/>
              </w:rPr>
            </w:pPr>
            <w:r>
              <w:rPr>
                <w:rFonts w:ascii="Arial" w:hAnsi="Arial" w:cs="Arial"/>
                <w:sz w:val="22"/>
                <w:szCs w:val="22"/>
              </w:rPr>
              <w:t>4,865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p>
        </w:tc>
        <w:tc>
          <w:tcPr>
            <w:tcW w:w="1710" w:type="dxa"/>
            <w:vAlign w:val="bottom"/>
          </w:tcPr>
          <w:p>
            <w:pPr>
              <w:tabs>
                <w:tab w:val="decimal" w:pos="1244"/>
              </w:tabs>
              <w:spacing w:line="380" w:lineRule="exact"/>
              <w:rPr>
                <w:rFonts w:ascii="Arial" w:hAnsi="Arial" w:cs="Arial"/>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r>
              <w:rPr>
                <w:rFonts w:ascii="Arial" w:hAnsi="Arial" w:cs="Arial"/>
                <w:sz w:val="22"/>
                <w:szCs w:val="22"/>
              </w:rPr>
              <w:t xml:space="preserve">Cash and cash equivalents of the subsidiary </w:t>
            </w:r>
          </w:p>
        </w:tc>
        <w:tc>
          <w:tcPr>
            <w:tcW w:w="1710" w:type="dxa"/>
            <w:vAlign w:val="bottom"/>
          </w:tcPr>
          <w:p>
            <w:pPr>
              <w:tabs>
                <w:tab w:val="decimal" w:pos="1244"/>
              </w:tabs>
              <w:spacing w:line="380" w:lineRule="exact"/>
              <w:rPr>
                <w:rFonts w:ascii="Arial" w:hAnsi="Arial" w:cs="Arial"/>
                <w:sz w:val="22"/>
                <w:szCs w:val="22"/>
                <w:cs/>
              </w:rPr>
            </w:pPr>
            <w:r>
              <w:rPr>
                <w:rFonts w:ascii="Arial" w:hAnsi="Arial" w:cs="Arial"/>
                <w:sz w:val="22"/>
                <w:szCs w:val="22"/>
              </w:rPr>
              <w:t>573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tabs>
                <w:tab w:val="left" w:pos="691"/>
              </w:tabs>
              <w:spacing w:line="380" w:lineRule="exact"/>
              <w:ind w:left="864" w:hanging="864"/>
              <w:rPr>
                <w:rFonts w:ascii="Arial" w:hAnsi="Arial" w:cs="Arial"/>
                <w:sz w:val="22"/>
                <w:szCs w:val="22"/>
              </w:rPr>
            </w:pPr>
            <w:r>
              <w:rPr>
                <w:rFonts w:ascii="Arial" w:hAnsi="Arial" w:cs="Arial"/>
                <w:sz w:val="22"/>
                <w:szCs w:val="22"/>
              </w:rPr>
              <w:t>Less:</w:t>
            </w:r>
            <w:r>
              <w:rPr>
                <w:rFonts w:ascii="Arial" w:hAnsi="Arial" w:cs="Arial"/>
                <w:sz w:val="22"/>
                <w:szCs w:val="22"/>
              </w:rPr>
              <w:tab/>
            </w:r>
            <w:r>
              <w:rPr>
                <w:rFonts w:ascii="Arial" w:hAnsi="Arial" w:cs="Arial"/>
                <w:sz w:val="22"/>
                <w:szCs w:val="22"/>
              </w:rPr>
              <w:t>Cash paid for purchase of investment in subsidiary</w:t>
            </w:r>
          </w:p>
        </w:tc>
        <w:tc>
          <w:tcPr>
            <w:tcW w:w="1710" w:type="dxa"/>
            <w:vAlign w:val="bottom"/>
          </w:tcPr>
          <w:p>
            <w:pPr>
              <w:pBdr>
                <w:bottom w:val="single" w:color="auto" w:sz="4" w:space="1"/>
              </w:pBdr>
              <w:tabs>
                <w:tab w:val="decimal" w:pos="1244"/>
              </w:tabs>
              <w:spacing w:line="380" w:lineRule="exact"/>
              <w:rPr>
                <w:rFonts w:ascii="Arial" w:hAnsi="Arial" w:cs="Arial"/>
                <w:sz w:val="22"/>
                <w:szCs w:val="22"/>
                <w:cs/>
              </w:rPr>
            </w:pPr>
            <w:r>
              <w:rPr>
                <w:rFonts w:ascii="Arial" w:hAnsi="Arial" w:cs="Arial"/>
                <w:sz w:val="22"/>
                <w:szCs w:val="22"/>
              </w:rPr>
              <w:t>(4,865)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7430" w:type="dxa"/>
            <w:vAlign w:val="bottom"/>
          </w:tcPr>
          <w:p>
            <w:pPr>
              <w:spacing w:line="380" w:lineRule="exact"/>
              <w:ind w:left="173" w:hanging="173"/>
              <w:rPr>
                <w:rFonts w:ascii="Arial" w:hAnsi="Arial" w:cs="Arial"/>
                <w:sz w:val="22"/>
                <w:szCs w:val="22"/>
              </w:rPr>
            </w:pPr>
            <w:r>
              <w:rPr>
                <w:rFonts w:ascii="Arial" w:hAnsi="Arial" w:cs="Arial"/>
                <w:sz w:val="22"/>
                <w:szCs w:val="22"/>
              </w:rPr>
              <w:t>Net cash paid for purchase of investment in subsidiary</w:t>
            </w:r>
          </w:p>
        </w:tc>
        <w:tc>
          <w:tcPr>
            <w:tcW w:w="1710" w:type="dxa"/>
            <w:vAlign w:val="bottom"/>
          </w:tcPr>
          <w:p>
            <w:pPr>
              <w:pBdr>
                <w:bottom w:val="double" w:color="auto" w:sz="4" w:space="1"/>
              </w:pBdr>
              <w:tabs>
                <w:tab w:val="decimal" w:pos="1244"/>
              </w:tabs>
              <w:spacing w:line="380" w:lineRule="exact"/>
              <w:rPr>
                <w:rFonts w:ascii="Arial" w:hAnsi="Arial" w:cs="Arial"/>
                <w:sz w:val="22"/>
                <w:szCs w:val="22"/>
                <w:cs/>
              </w:rPr>
            </w:pPr>
            <w:r>
              <w:rPr>
                <w:rFonts w:ascii="Arial" w:hAnsi="Arial" w:cs="Arial"/>
                <w:sz w:val="22"/>
                <w:szCs w:val="22"/>
              </w:rPr>
              <w:t>(4,292)</w:t>
            </w:r>
          </w:p>
        </w:tc>
      </w:tr>
    </w:tbl>
    <w:p>
      <w:pPr>
        <w:spacing w:before="240" w:after="120" w:line="380" w:lineRule="exact"/>
        <w:ind w:left="547"/>
        <w:jc w:val="thaiDistribute"/>
        <w:rPr>
          <w:rFonts w:ascii="Arial" w:hAnsi="Arial" w:cstheme="minorBidi"/>
          <w:sz w:val="22"/>
          <w:szCs w:val="22"/>
        </w:rPr>
      </w:pPr>
      <w:r>
        <w:rPr>
          <w:rFonts w:ascii="Arial" w:hAnsi="Arial" w:cstheme="minorBidi"/>
          <w:sz w:val="22"/>
          <w:szCs w:val="22"/>
        </w:rPr>
        <w:t xml:space="preserve">The Company’s management is in the process of measuring the acquisition date fair value of the identifiable assets acquired and liabilities assumed of </w:t>
      </w:r>
      <w:r>
        <w:rPr>
          <w:rFonts w:ascii="Arial" w:hAnsi="Arial" w:cs="Arial"/>
          <w:sz w:val="22"/>
          <w:szCs w:val="22"/>
        </w:rPr>
        <w:t>DD-Twinone.</w:t>
      </w:r>
    </w:p>
    <w:p>
      <w:pPr>
        <w:spacing w:before="120" w:after="120" w:line="380" w:lineRule="exact"/>
        <w:ind w:left="547"/>
        <w:jc w:val="thaiDistribute"/>
        <w:rPr>
          <w:rFonts w:ascii="Arial" w:hAnsi="Arial" w:cs="Arial"/>
          <w:sz w:val="22"/>
          <w:szCs w:val="22"/>
        </w:rPr>
      </w:pPr>
      <w:r>
        <w:rPr>
          <w:rFonts w:ascii="Arial" w:hAnsi="Arial" w:cs="Arial"/>
          <w:sz w:val="22"/>
          <w:szCs w:val="22"/>
        </w:rPr>
        <w:t>Revenues and profit before tax of DD-Twinone as from the acquisition date were included in the consolidated statements of comprehensive income are as follows;</w:t>
      </w:r>
    </w:p>
    <w:tbl>
      <w:tblPr>
        <w:tblStyle w:val="8"/>
        <w:tblW w:w="9180" w:type="dxa"/>
        <w:tblInd w:w="450" w:type="dxa"/>
        <w:tblLayout w:type="fixed"/>
        <w:tblCellMar>
          <w:top w:w="0" w:type="dxa"/>
          <w:left w:w="108" w:type="dxa"/>
          <w:bottom w:w="0" w:type="dxa"/>
          <w:right w:w="108" w:type="dxa"/>
        </w:tblCellMar>
      </w:tblPr>
      <w:tblGrid>
        <w:gridCol w:w="6120"/>
        <w:gridCol w:w="3060"/>
      </w:tblGrid>
      <w:tr>
        <w:tblPrEx>
          <w:tblCellMar>
            <w:top w:w="0" w:type="dxa"/>
            <w:left w:w="108" w:type="dxa"/>
            <w:bottom w:w="0" w:type="dxa"/>
            <w:right w:w="108" w:type="dxa"/>
          </w:tblCellMar>
        </w:tblPrEx>
        <w:trPr>
          <w:trHeight w:val="377" w:hRule="atLeast"/>
        </w:trPr>
        <w:tc>
          <w:tcPr>
            <w:tcW w:w="9180" w:type="dxa"/>
            <w:gridSpan w:val="2"/>
            <w:vAlign w:val="bottom"/>
          </w:tcPr>
          <w:p>
            <w:pPr>
              <w:spacing w:line="380" w:lineRule="exact"/>
              <w:jc w:val="right"/>
              <w:rPr>
                <w:rFonts w:ascii="Arial" w:hAnsi="Arial" w:cs="Arial"/>
                <w:spacing w:val="-4"/>
                <w:sz w:val="22"/>
                <w:szCs w:val="22"/>
              </w:rPr>
            </w:pPr>
            <w:r>
              <w:rPr>
                <w:rFonts w:ascii="Arial" w:hAnsi="Arial" w:cs="Arial"/>
                <w:spacing w:val="-4"/>
                <w:sz w:val="22"/>
                <w:szCs w:val="22"/>
              </w:rPr>
              <w:t xml:space="preserve">(Unit: </w:t>
            </w:r>
            <w:r>
              <w:rPr>
                <w:rFonts w:ascii="Arial" w:hAnsi="Arial" w:cs="Arial"/>
                <w:sz w:val="22"/>
                <w:szCs w:val="22"/>
              </w:rPr>
              <w:t>Thousand</w:t>
            </w:r>
            <w:r>
              <w:rPr>
                <w:rFonts w:ascii="Arial" w:hAnsi="Arial" w:cs="Arial"/>
                <w:spacing w:val="-4"/>
                <w:sz w:val="22"/>
                <w:szCs w:val="22"/>
              </w:rPr>
              <w:t xml:space="preserve"> Baht)</w:t>
            </w:r>
          </w:p>
        </w:tc>
      </w:tr>
      <w:tr>
        <w:tblPrEx>
          <w:tblCellMar>
            <w:top w:w="0" w:type="dxa"/>
            <w:left w:w="108" w:type="dxa"/>
            <w:bottom w:w="0" w:type="dxa"/>
            <w:right w:w="108" w:type="dxa"/>
          </w:tblCellMar>
        </w:tblPrEx>
        <w:trPr>
          <w:trHeight w:val="450" w:hRule="atLeast"/>
        </w:trPr>
        <w:tc>
          <w:tcPr>
            <w:tcW w:w="6120" w:type="dxa"/>
          </w:tcPr>
          <w:p>
            <w:pPr>
              <w:tabs>
                <w:tab w:val="decimal" w:pos="702"/>
                <w:tab w:val="center" w:pos="4153"/>
                <w:tab w:val="right" w:pos="8306"/>
              </w:tabs>
              <w:spacing w:line="380" w:lineRule="exact"/>
              <w:ind w:left="162" w:hanging="108"/>
              <w:jc w:val="center"/>
              <w:rPr>
                <w:rFonts w:ascii="Arial" w:hAnsi="Arial" w:cs="Arial"/>
                <w:sz w:val="22"/>
                <w:szCs w:val="22"/>
                <w:cs/>
              </w:rPr>
            </w:pPr>
          </w:p>
        </w:tc>
        <w:tc>
          <w:tcPr>
            <w:tcW w:w="3060" w:type="dxa"/>
          </w:tcPr>
          <w:p>
            <w:pPr>
              <w:pBdr>
                <w:bottom w:val="single" w:color="auto" w:sz="4" w:space="1"/>
              </w:pBdr>
              <w:spacing w:line="380" w:lineRule="exact"/>
              <w:jc w:val="center"/>
              <w:rPr>
                <w:rFonts w:ascii="Arial" w:hAnsi="Arial" w:cs="Arial"/>
                <w:sz w:val="22"/>
                <w:szCs w:val="22"/>
                <w:cs/>
              </w:rPr>
            </w:pPr>
            <w:r>
              <w:rPr>
                <w:rFonts w:ascii="Arial" w:hAnsi="Arial" w:cs="Arial"/>
                <w:sz w:val="22"/>
                <w:szCs w:val="22"/>
              </w:rPr>
              <w:t>For</w:t>
            </w:r>
            <w:r>
              <w:rPr>
                <w:rFonts w:hint="cs" w:ascii="Arial" w:hAnsi="Arial" w:cs="Angsana New"/>
                <w:sz w:val="22"/>
                <w:szCs w:val="22"/>
                <w:cs/>
              </w:rPr>
              <w:t xml:space="preserve"> </w:t>
            </w:r>
            <w:r>
              <w:rPr>
                <w:rFonts w:ascii="Arial" w:hAnsi="Arial" w:cs="Arial"/>
                <w:sz w:val="22"/>
                <w:szCs w:val="22"/>
              </w:rPr>
              <w:t>the three-month and</w:t>
            </w:r>
            <w:r>
              <w:rPr>
                <w:rFonts w:hint="cs" w:ascii="Arial" w:hAnsi="Arial" w:cs="Angsana New"/>
                <w:sz w:val="22"/>
                <w:szCs w:val="22"/>
                <w:cs/>
              </w:rPr>
              <w:t xml:space="preserve"> </w:t>
            </w:r>
            <w:r>
              <w:rPr>
                <w:rFonts w:ascii="Arial" w:hAnsi="Arial" w:cs="Arial"/>
                <w:sz w:val="22"/>
                <w:szCs w:val="22"/>
              </w:rPr>
              <w:t>nine-month</w:t>
            </w:r>
            <w:r>
              <w:rPr>
                <w:rFonts w:hint="cs" w:ascii="Arial" w:hAnsi="Arial" w:cs="Angsana New"/>
                <w:sz w:val="22"/>
                <w:szCs w:val="22"/>
                <w:cs/>
              </w:rPr>
              <w:t xml:space="preserve"> </w:t>
            </w:r>
            <w:r>
              <w:rPr>
                <w:rFonts w:ascii="Arial" w:hAnsi="Arial" w:cs="Arial"/>
                <w:sz w:val="22"/>
                <w:szCs w:val="22"/>
              </w:rPr>
              <w:t xml:space="preserve">periods ended </w:t>
            </w:r>
            <w:r>
              <w:rPr>
                <w:rFonts w:ascii="Arial" w:hAnsi="Arial" w:cs="Arial"/>
                <w:sz w:val="22"/>
                <w:szCs w:val="22"/>
              </w:rPr>
              <w:br w:type="textWrapping"/>
            </w:r>
            <w:r>
              <w:rPr>
                <w:rFonts w:ascii="Arial" w:hAnsi="Arial" w:cs="Arial"/>
                <w:sz w:val="22"/>
                <w:szCs w:val="22"/>
              </w:rPr>
              <w:t>30 September 2022</w:t>
            </w:r>
          </w:p>
        </w:tc>
      </w:tr>
      <w:tr>
        <w:tblPrEx>
          <w:tblCellMar>
            <w:top w:w="0" w:type="dxa"/>
            <w:left w:w="108" w:type="dxa"/>
            <w:bottom w:w="0" w:type="dxa"/>
            <w:right w:w="108" w:type="dxa"/>
          </w:tblCellMar>
        </w:tblPrEx>
        <w:trPr>
          <w:trHeight w:val="70" w:hRule="atLeast"/>
        </w:trPr>
        <w:tc>
          <w:tcPr>
            <w:tcW w:w="6120" w:type="dxa"/>
            <w:vAlign w:val="center"/>
          </w:tcPr>
          <w:p>
            <w:pPr>
              <w:spacing w:line="380" w:lineRule="exact"/>
              <w:ind w:left="173" w:hanging="197"/>
              <w:rPr>
                <w:rFonts w:ascii="Arial" w:hAnsi="Arial" w:cs="Arial"/>
                <w:sz w:val="22"/>
                <w:szCs w:val="22"/>
                <w:cs/>
              </w:rPr>
            </w:pPr>
            <w:r>
              <w:rPr>
                <w:rFonts w:ascii="Arial" w:hAnsi="Arial" w:cs="Arial"/>
                <w:sz w:val="22"/>
                <w:szCs w:val="22"/>
              </w:rPr>
              <w:t>Revenues</w:t>
            </w:r>
          </w:p>
        </w:tc>
        <w:tc>
          <w:tcPr>
            <w:tcW w:w="3060" w:type="dxa"/>
            <w:vAlign w:val="bottom"/>
          </w:tcPr>
          <w:p>
            <w:pPr>
              <w:tabs>
                <w:tab w:val="decimal" w:pos="2055"/>
              </w:tabs>
              <w:spacing w:line="380" w:lineRule="exact"/>
              <w:rPr>
                <w:rFonts w:ascii="Arial" w:hAnsi="Arial" w:cstheme="minorBidi"/>
                <w:sz w:val="22"/>
                <w:szCs w:val="22"/>
              </w:rPr>
            </w:pPr>
            <w:r>
              <w:rPr>
                <w:rFonts w:ascii="Arial" w:hAnsi="Arial" w:cstheme="minorBidi"/>
                <w:sz w:val="22"/>
                <w:szCs w:val="22"/>
              </w:rPr>
              <w:t>13,044</w:t>
            </w:r>
          </w:p>
        </w:tc>
      </w:tr>
      <w:tr>
        <w:tblPrEx>
          <w:tblCellMar>
            <w:top w:w="0" w:type="dxa"/>
            <w:left w:w="108" w:type="dxa"/>
            <w:bottom w:w="0" w:type="dxa"/>
            <w:right w:w="108" w:type="dxa"/>
          </w:tblCellMar>
        </w:tblPrEx>
        <w:trPr>
          <w:trHeight w:val="70" w:hRule="atLeast"/>
        </w:trPr>
        <w:tc>
          <w:tcPr>
            <w:tcW w:w="6120" w:type="dxa"/>
            <w:vAlign w:val="center"/>
          </w:tcPr>
          <w:p>
            <w:pPr>
              <w:spacing w:line="380" w:lineRule="exact"/>
              <w:ind w:left="173" w:hanging="197"/>
              <w:rPr>
                <w:rFonts w:ascii="Arial" w:hAnsi="Arial" w:cs="Arial"/>
                <w:sz w:val="22"/>
                <w:szCs w:val="22"/>
                <w:cs/>
              </w:rPr>
            </w:pPr>
            <w:r>
              <w:rPr>
                <w:rFonts w:ascii="Arial" w:hAnsi="Arial" w:cs="Arial"/>
                <w:sz w:val="22"/>
                <w:szCs w:val="22"/>
              </w:rPr>
              <w:t>Profit</w:t>
            </w:r>
            <w:r>
              <w:rPr>
                <w:rFonts w:hint="cs" w:ascii="Arial" w:hAnsi="Arial" w:cs="Angsana New"/>
                <w:sz w:val="22"/>
                <w:szCs w:val="22"/>
                <w:cs/>
              </w:rPr>
              <w:t xml:space="preserve"> </w:t>
            </w:r>
            <w:r>
              <w:rPr>
                <w:rFonts w:ascii="Arial" w:hAnsi="Arial" w:cs="Angsana New"/>
                <w:sz w:val="22"/>
                <w:szCs w:val="22"/>
              </w:rPr>
              <w:t>before tax</w:t>
            </w:r>
          </w:p>
        </w:tc>
        <w:tc>
          <w:tcPr>
            <w:tcW w:w="3060" w:type="dxa"/>
            <w:vAlign w:val="bottom"/>
          </w:tcPr>
          <w:p>
            <w:pPr>
              <w:tabs>
                <w:tab w:val="decimal" w:pos="2055"/>
              </w:tabs>
              <w:spacing w:line="380" w:lineRule="exact"/>
              <w:rPr>
                <w:rFonts w:ascii="Arial" w:hAnsi="Arial" w:cs="Arial"/>
                <w:sz w:val="22"/>
                <w:szCs w:val="22"/>
              </w:rPr>
            </w:pPr>
            <w:r>
              <w:rPr>
                <w:rFonts w:ascii="Arial" w:hAnsi="Arial" w:cs="Arial"/>
                <w:sz w:val="22"/>
                <w:szCs w:val="22"/>
              </w:rPr>
              <w:t>5,209</w:t>
            </w:r>
          </w:p>
        </w:tc>
      </w:tr>
    </w:tbl>
    <w:p>
      <w:pPr>
        <w:tabs>
          <w:tab w:val="left" w:pos="1440"/>
          <w:tab w:val="left" w:pos="1800"/>
          <w:tab w:val="left" w:pos="3960"/>
          <w:tab w:val="center" w:pos="6570"/>
          <w:tab w:val="right" w:pos="9360"/>
        </w:tabs>
        <w:spacing w:before="240" w:after="120" w:line="380" w:lineRule="exact"/>
        <w:ind w:left="547" w:hanging="547"/>
        <w:jc w:val="both"/>
        <w:rPr>
          <w:rFonts w:ascii="Arial" w:hAnsi="Arial" w:cs="Arial"/>
          <w:b/>
          <w:bCs/>
          <w:sz w:val="22"/>
          <w:szCs w:val="22"/>
        </w:rPr>
      </w:pPr>
      <w:r>
        <w:rPr>
          <w:rFonts w:ascii="Arial" w:hAnsi="Arial" w:cs="Arial"/>
          <w:b/>
          <w:bCs/>
          <w:sz w:val="22"/>
          <w:szCs w:val="22"/>
        </w:rPr>
        <w:t>6.</w:t>
      </w:r>
      <w:r>
        <w:rPr>
          <w:rFonts w:ascii="Arial" w:hAnsi="Arial" w:cs="Arial"/>
          <w:b/>
          <w:bCs/>
          <w:sz w:val="22"/>
          <w:szCs w:val="22"/>
        </w:rPr>
        <w:tab/>
      </w:r>
      <w:r>
        <w:rPr>
          <w:rFonts w:ascii="Arial" w:hAnsi="Arial" w:cs="Arial"/>
          <w:b/>
          <w:bCs/>
          <w:sz w:val="22"/>
          <w:szCs w:val="22"/>
        </w:rPr>
        <w:t>Investments in associates</w:t>
      </w:r>
    </w:p>
    <w:tbl>
      <w:tblPr>
        <w:tblStyle w:val="8"/>
        <w:tblW w:w="9342" w:type="dxa"/>
        <w:tblInd w:w="468" w:type="dxa"/>
        <w:tblLayout w:type="fixed"/>
        <w:tblCellMar>
          <w:top w:w="0" w:type="dxa"/>
          <w:left w:w="108" w:type="dxa"/>
          <w:bottom w:w="0" w:type="dxa"/>
          <w:right w:w="108" w:type="dxa"/>
        </w:tblCellMar>
      </w:tblPr>
      <w:tblGrid>
        <w:gridCol w:w="3402"/>
        <w:gridCol w:w="2340"/>
        <w:gridCol w:w="1800"/>
        <w:gridCol w:w="1800"/>
      </w:tblGrid>
      <w:tr>
        <w:tblPrEx>
          <w:tblCellMar>
            <w:top w:w="0" w:type="dxa"/>
            <w:left w:w="108" w:type="dxa"/>
            <w:bottom w:w="0" w:type="dxa"/>
            <w:right w:w="108" w:type="dxa"/>
          </w:tblCellMar>
        </w:tblPrEx>
        <w:trPr>
          <w:tblHeader/>
        </w:trPr>
        <w:tc>
          <w:tcPr>
            <w:tcW w:w="3402" w:type="dxa"/>
          </w:tcPr>
          <w:p>
            <w:pPr>
              <w:spacing w:line="380" w:lineRule="exact"/>
              <w:ind w:right="-108"/>
              <w:rPr>
                <w:rFonts w:ascii="Arial" w:hAnsi="Arial"/>
                <w:sz w:val="19"/>
                <w:szCs w:val="19"/>
              </w:rPr>
            </w:pPr>
          </w:p>
        </w:tc>
        <w:tc>
          <w:tcPr>
            <w:tcW w:w="5940" w:type="dxa"/>
            <w:gridSpan w:val="3"/>
          </w:tcPr>
          <w:p>
            <w:pPr>
              <w:tabs>
                <w:tab w:val="center" w:pos="8100"/>
              </w:tabs>
              <w:spacing w:line="380" w:lineRule="exact"/>
              <w:ind w:left="-29" w:right="-29"/>
              <w:jc w:val="right"/>
              <w:rPr>
                <w:rFonts w:ascii="Arial" w:hAnsi="Arial"/>
                <w:sz w:val="19"/>
                <w:szCs w:val="19"/>
                <w:u w:val="single"/>
              </w:rPr>
            </w:pPr>
            <w:r>
              <w:rPr>
                <w:rFonts w:ascii="Arial" w:hAnsi="Arial"/>
                <w:sz w:val="19"/>
                <w:szCs w:val="19"/>
              </w:rPr>
              <w:t>(Unit: Thousand Baht)</w:t>
            </w:r>
          </w:p>
        </w:tc>
      </w:tr>
      <w:tr>
        <w:tblPrEx>
          <w:tblCellMar>
            <w:top w:w="0" w:type="dxa"/>
            <w:left w:w="108" w:type="dxa"/>
            <w:bottom w:w="0" w:type="dxa"/>
            <w:right w:w="108" w:type="dxa"/>
          </w:tblCellMar>
        </w:tblPrEx>
        <w:trPr>
          <w:tblHeader/>
        </w:trPr>
        <w:tc>
          <w:tcPr>
            <w:tcW w:w="3402" w:type="dxa"/>
          </w:tcPr>
          <w:p>
            <w:pPr>
              <w:spacing w:line="380" w:lineRule="exact"/>
              <w:ind w:right="-108"/>
              <w:rPr>
                <w:rFonts w:ascii="Arial" w:hAnsi="Arial"/>
                <w:sz w:val="19"/>
                <w:szCs w:val="19"/>
              </w:rPr>
            </w:pPr>
          </w:p>
        </w:tc>
        <w:tc>
          <w:tcPr>
            <w:tcW w:w="2340" w:type="dxa"/>
          </w:tcPr>
          <w:p>
            <w:pPr>
              <w:pBdr>
                <w:bottom w:val="single" w:color="auto" w:sz="4" w:space="1"/>
              </w:pBdr>
              <w:tabs>
                <w:tab w:val="center" w:pos="8100"/>
              </w:tabs>
              <w:spacing w:line="380" w:lineRule="exact"/>
              <w:ind w:left="-29" w:right="-29"/>
              <w:jc w:val="center"/>
              <w:rPr>
                <w:rFonts w:ascii="Arial" w:hAnsi="Arial"/>
                <w:spacing w:val="-2"/>
                <w:sz w:val="19"/>
                <w:szCs w:val="19"/>
              </w:rPr>
            </w:pPr>
            <w:r>
              <w:rPr>
                <w:rFonts w:ascii="Arial" w:hAnsi="Arial"/>
                <w:spacing w:val="-2"/>
                <w:sz w:val="19"/>
                <w:szCs w:val="19"/>
              </w:rPr>
              <w:t>Consolidated</w:t>
            </w:r>
          </w:p>
          <w:p>
            <w:pPr>
              <w:pBdr>
                <w:bottom w:val="single" w:color="auto" w:sz="4" w:space="1"/>
              </w:pBdr>
              <w:tabs>
                <w:tab w:val="center" w:pos="8100"/>
              </w:tabs>
              <w:spacing w:line="380" w:lineRule="exact"/>
              <w:ind w:left="-29" w:right="-29"/>
              <w:jc w:val="center"/>
              <w:rPr>
                <w:rFonts w:ascii="Arial" w:hAnsi="Arial"/>
                <w:spacing w:val="-2"/>
                <w:sz w:val="19"/>
                <w:szCs w:val="19"/>
              </w:rPr>
            </w:pPr>
            <w:r>
              <w:rPr>
                <w:rFonts w:ascii="Arial" w:hAnsi="Arial"/>
                <w:spacing w:val="-2"/>
                <w:sz w:val="19"/>
                <w:szCs w:val="19"/>
              </w:rPr>
              <w:t xml:space="preserve">financial statements </w:t>
            </w:r>
          </w:p>
        </w:tc>
        <w:tc>
          <w:tcPr>
            <w:tcW w:w="3600" w:type="dxa"/>
            <w:gridSpan w:val="2"/>
          </w:tcPr>
          <w:p>
            <w:pPr>
              <w:pStyle w:val="6"/>
              <w:pBdr>
                <w:bottom w:val="single" w:color="auto" w:sz="4" w:space="1"/>
              </w:pBdr>
              <w:spacing w:line="380" w:lineRule="exact"/>
              <w:ind w:left="-29" w:right="-29"/>
              <w:jc w:val="center"/>
              <w:rPr>
                <w:rFonts w:ascii="Arial" w:hAnsi="Arial"/>
                <w:b w:val="0"/>
                <w:bCs w:val="0"/>
                <w:i/>
                <w:iCs/>
                <w:sz w:val="19"/>
                <w:szCs w:val="19"/>
                <w:u w:val="none"/>
              </w:rPr>
            </w:pPr>
            <w:r>
              <w:rPr>
                <w:rFonts w:ascii="Arial" w:hAnsi="Arial"/>
                <w:b w:val="0"/>
                <w:bCs w:val="0"/>
                <w:sz w:val="19"/>
                <w:szCs w:val="19"/>
                <w:u w:val="none"/>
              </w:rPr>
              <w:t>Separate</w:t>
            </w:r>
          </w:p>
          <w:p>
            <w:pPr>
              <w:pStyle w:val="6"/>
              <w:pBdr>
                <w:bottom w:val="single" w:color="auto" w:sz="4" w:space="1"/>
              </w:pBdr>
              <w:spacing w:line="380" w:lineRule="exact"/>
              <w:ind w:left="-29" w:right="-29"/>
              <w:jc w:val="center"/>
              <w:rPr>
                <w:rFonts w:ascii="Arial" w:hAnsi="Arial"/>
                <w:b w:val="0"/>
                <w:bCs w:val="0"/>
                <w:sz w:val="19"/>
                <w:szCs w:val="19"/>
                <w:u w:val="none"/>
              </w:rPr>
            </w:pPr>
            <w:r>
              <w:rPr>
                <w:rFonts w:ascii="Arial" w:hAnsi="Arial"/>
                <w:b w:val="0"/>
                <w:bCs w:val="0"/>
                <w:sz w:val="19"/>
                <w:szCs w:val="19"/>
                <w:u w:val="none"/>
              </w:rPr>
              <w:t>financial statements</w:t>
            </w:r>
          </w:p>
        </w:tc>
      </w:tr>
      <w:tr>
        <w:tblPrEx>
          <w:tblCellMar>
            <w:top w:w="0" w:type="dxa"/>
            <w:left w:w="108" w:type="dxa"/>
            <w:bottom w:w="0" w:type="dxa"/>
            <w:right w:w="108" w:type="dxa"/>
          </w:tblCellMar>
        </w:tblPrEx>
        <w:trPr>
          <w:tblHeader/>
        </w:trPr>
        <w:tc>
          <w:tcPr>
            <w:tcW w:w="3402" w:type="dxa"/>
          </w:tcPr>
          <w:p>
            <w:pPr>
              <w:pBdr>
                <w:bottom w:val="single" w:color="auto" w:sz="4" w:space="1"/>
              </w:pBdr>
              <w:tabs>
                <w:tab w:val="center" w:pos="8100"/>
              </w:tabs>
              <w:spacing w:line="380" w:lineRule="exact"/>
              <w:ind w:left="-29" w:right="-29"/>
              <w:jc w:val="center"/>
              <w:rPr>
                <w:rFonts w:ascii="Arial" w:hAnsi="Arial"/>
                <w:sz w:val="19"/>
                <w:szCs w:val="19"/>
              </w:rPr>
            </w:pPr>
          </w:p>
          <w:p>
            <w:pPr>
              <w:pBdr>
                <w:bottom w:val="single" w:color="auto" w:sz="4" w:space="1"/>
              </w:pBdr>
              <w:tabs>
                <w:tab w:val="center" w:pos="8100"/>
              </w:tabs>
              <w:spacing w:line="380" w:lineRule="exact"/>
              <w:ind w:left="-29" w:right="-29"/>
              <w:jc w:val="center"/>
              <w:rPr>
                <w:rFonts w:ascii="Arial" w:hAnsi="Arial"/>
                <w:sz w:val="19"/>
                <w:szCs w:val="19"/>
              </w:rPr>
            </w:pPr>
            <w:r>
              <w:rPr>
                <w:rFonts w:ascii="Arial" w:hAnsi="Arial"/>
                <w:sz w:val="19"/>
                <w:szCs w:val="19"/>
              </w:rPr>
              <w:t>Company’s name</w:t>
            </w:r>
          </w:p>
        </w:tc>
        <w:tc>
          <w:tcPr>
            <w:tcW w:w="2340" w:type="dxa"/>
          </w:tcPr>
          <w:p>
            <w:pPr>
              <w:pBdr>
                <w:bottom w:val="single" w:color="auto" w:sz="4" w:space="1"/>
              </w:pBdr>
              <w:tabs>
                <w:tab w:val="center" w:pos="8100"/>
              </w:tabs>
              <w:spacing w:line="380" w:lineRule="exact"/>
              <w:ind w:left="-29" w:right="-29"/>
              <w:jc w:val="center"/>
              <w:rPr>
                <w:rFonts w:ascii="Arial" w:hAnsi="Arial"/>
                <w:sz w:val="19"/>
                <w:szCs w:val="19"/>
                <w:u w:val="single"/>
              </w:rPr>
            </w:pPr>
            <w:r>
              <w:rPr>
                <w:rFonts w:ascii="Arial" w:hAnsi="Arial"/>
                <w:sz w:val="19"/>
                <w:szCs w:val="19"/>
              </w:rPr>
              <w:t>Carrying amounts based                    on equity method</w:t>
            </w:r>
          </w:p>
        </w:tc>
        <w:tc>
          <w:tcPr>
            <w:tcW w:w="3600" w:type="dxa"/>
            <w:gridSpan w:val="2"/>
          </w:tcPr>
          <w:p>
            <w:pPr>
              <w:pBdr>
                <w:bottom w:val="single" w:color="auto" w:sz="4" w:space="1"/>
              </w:pBdr>
              <w:tabs>
                <w:tab w:val="center" w:pos="8100"/>
              </w:tabs>
              <w:spacing w:line="380" w:lineRule="exact"/>
              <w:ind w:left="-29" w:right="-29"/>
              <w:jc w:val="center"/>
              <w:rPr>
                <w:rFonts w:ascii="Arial" w:hAnsi="Arial"/>
                <w:sz w:val="19"/>
                <w:szCs w:val="19"/>
                <w:u w:val="single"/>
              </w:rPr>
            </w:pPr>
            <w:r>
              <w:rPr>
                <w:rFonts w:ascii="Arial" w:hAnsi="Arial"/>
                <w:sz w:val="19"/>
                <w:szCs w:val="19"/>
              </w:rPr>
              <w:t xml:space="preserve">Carrying amounts based                                   on cost method </w:t>
            </w:r>
          </w:p>
        </w:tc>
      </w:tr>
      <w:tr>
        <w:tblPrEx>
          <w:tblCellMar>
            <w:top w:w="0" w:type="dxa"/>
            <w:left w:w="108" w:type="dxa"/>
            <w:bottom w:w="0" w:type="dxa"/>
            <w:right w:w="108" w:type="dxa"/>
          </w:tblCellMar>
        </w:tblPrEx>
        <w:trPr>
          <w:tblHeader/>
        </w:trPr>
        <w:tc>
          <w:tcPr>
            <w:tcW w:w="3402" w:type="dxa"/>
          </w:tcPr>
          <w:p>
            <w:pPr>
              <w:spacing w:line="380" w:lineRule="exact"/>
              <w:ind w:right="-108"/>
              <w:rPr>
                <w:rFonts w:ascii="Arial" w:hAnsi="Arial"/>
                <w:sz w:val="19"/>
                <w:szCs w:val="19"/>
              </w:rPr>
            </w:pPr>
          </w:p>
        </w:tc>
        <w:tc>
          <w:tcPr>
            <w:tcW w:w="2340" w:type="dxa"/>
            <w:vAlign w:val="bottom"/>
          </w:tcPr>
          <w:p>
            <w:pPr>
              <w:pBdr>
                <w:bottom w:val="single" w:color="auto" w:sz="4" w:space="1"/>
              </w:pBdr>
              <w:tabs>
                <w:tab w:val="center" w:pos="8100"/>
              </w:tabs>
              <w:spacing w:line="380" w:lineRule="exact"/>
              <w:ind w:left="-29" w:right="-29"/>
              <w:jc w:val="center"/>
              <w:rPr>
                <w:rFonts w:ascii="Arial" w:hAnsi="Arial"/>
                <w:sz w:val="19"/>
                <w:szCs w:val="19"/>
                <w:u w:val="single"/>
              </w:rPr>
            </w:pPr>
            <w:r>
              <w:rPr>
                <w:rFonts w:ascii="Arial" w:hAnsi="Arial" w:cs="Arial"/>
                <w:sz w:val="19"/>
                <w:szCs w:val="19"/>
              </w:rPr>
              <w:t>30 September 2022</w:t>
            </w:r>
          </w:p>
        </w:tc>
        <w:tc>
          <w:tcPr>
            <w:tcW w:w="1800" w:type="dxa"/>
            <w:vAlign w:val="bottom"/>
          </w:tcPr>
          <w:p>
            <w:pPr>
              <w:pBdr>
                <w:bottom w:val="single" w:color="auto" w:sz="4" w:space="1"/>
              </w:pBdr>
              <w:tabs>
                <w:tab w:val="center" w:pos="8100"/>
              </w:tabs>
              <w:spacing w:line="380" w:lineRule="exact"/>
              <w:ind w:left="-29" w:right="-29"/>
              <w:jc w:val="center"/>
              <w:rPr>
                <w:rFonts w:ascii="Arial" w:hAnsi="Arial"/>
                <w:spacing w:val="-4"/>
                <w:sz w:val="19"/>
                <w:szCs w:val="19"/>
                <w:u w:val="single"/>
              </w:rPr>
            </w:pPr>
            <w:r>
              <w:rPr>
                <w:rFonts w:ascii="Arial" w:hAnsi="Arial" w:cs="Arial"/>
                <w:spacing w:val="-4"/>
                <w:sz w:val="19"/>
                <w:szCs w:val="19"/>
              </w:rPr>
              <w:t>30 September 2022</w:t>
            </w:r>
          </w:p>
        </w:tc>
        <w:tc>
          <w:tcPr>
            <w:tcW w:w="1800" w:type="dxa"/>
            <w:vAlign w:val="bottom"/>
          </w:tcPr>
          <w:p>
            <w:pPr>
              <w:pBdr>
                <w:bottom w:val="single" w:color="auto" w:sz="4" w:space="1"/>
              </w:pBdr>
              <w:tabs>
                <w:tab w:val="center" w:pos="8100"/>
              </w:tabs>
              <w:spacing w:line="380" w:lineRule="exact"/>
              <w:ind w:left="-29" w:right="-29"/>
              <w:jc w:val="center"/>
              <w:rPr>
                <w:rFonts w:ascii="Arial" w:hAnsi="Arial"/>
                <w:spacing w:val="-6"/>
                <w:sz w:val="19"/>
                <w:szCs w:val="19"/>
                <w:u w:val="single"/>
              </w:rPr>
            </w:pPr>
            <w:r>
              <w:rPr>
                <w:rFonts w:ascii="Arial" w:hAnsi="Arial" w:cs="Arial"/>
                <w:spacing w:val="-6"/>
                <w:sz w:val="19"/>
                <w:szCs w:val="19"/>
              </w:rPr>
              <w:t>31 December 2021</w:t>
            </w:r>
          </w:p>
        </w:tc>
      </w:tr>
      <w:tr>
        <w:tblPrEx>
          <w:tblCellMar>
            <w:top w:w="0" w:type="dxa"/>
            <w:left w:w="108" w:type="dxa"/>
            <w:bottom w:w="0" w:type="dxa"/>
            <w:right w:w="108" w:type="dxa"/>
          </w:tblCellMar>
        </w:tblPrEx>
        <w:tc>
          <w:tcPr>
            <w:tcW w:w="3402" w:type="dxa"/>
            <w:shd w:val="clear" w:color="auto" w:fill="auto"/>
          </w:tcPr>
          <w:p>
            <w:pPr>
              <w:spacing w:line="380" w:lineRule="exact"/>
              <w:ind w:right="-108"/>
              <w:rPr>
                <w:rFonts w:ascii="Arial" w:hAnsi="Arial" w:cs="Arial"/>
                <w:sz w:val="19"/>
                <w:szCs w:val="19"/>
              </w:rPr>
            </w:pPr>
          </w:p>
        </w:tc>
        <w:tc>
          <w:tcPr>
            <w:tcW w:w="2340" w:type="dxa"/>
          </w:tcPr>
          <w:p>
            <w:pPr>
              <w:tabs>
                <w:tab w:val="decimal" w:pos="618"/>
              </w:tabs>
              <w:spacing w:line="380" w:lineRule="exact"/>
              <w:ind w:left="-29" w:right="-29"/>
              <w:rPr>
                <w:rFonts w:ascii="Arial" w:hAnsi="Arial"/>
                <w:sz w:val="19"/>
                <w:szCs w:val="19"/>
              </w:rPr>
            </w:pPr>
          </w:p>
        </w:tc>
        <w:tc>
          <w:tcPr>
            <w:tcW w:w="1800" w:type="dxa"/>
          </w:tcPr>
          <w:p>
            <w:pPr>
              <w:tabs>
                <w:tab w:val="decimal" w:pos="618"/>
              </w:tabs>
              <w:spacing w:line="380" w:lineRule="exact"/>
              <w:ind w:left="-29" w:right="-29"/>
              <w:rPr>
                <w:rFonts w:ascii="Arial" w:hAnsi="Arial"/>
                <w:sz w:val="19"/>
                <w:szCs w:val="19"/>
              </w:rPr>
            </w:pPr>
          </w:p>
        </w:tc>
        <w:tc>
          <w:tcPr>
            <w:tcW w:w="1800" w:type="dxa"/>
          </w:tcPr>
          <w:p>
            <w:pPr>
              <w:tabs>
                <w:tab w:val="decimal" w:pos="618"/>
              </w:tabs>
              <w:spacing w:line="380" w:lineRule="exact"/>
              <w:ind w:left="-29" w:right="-29"/>
              <w:jc w:val="center"/>
              <w:rPr>
                <w:rFonts w:ascii="Arial" w:hAnsi="Arial"/>
                <w:sz w:val="19"/>
                <w:szCs w:val="19"/>
              </w:rPr>
            </w:pPr>
            <w:r>
              <w:rPr>
                <w:rFonts w:ascii="Arial" w:hAnsi="Arial"/>
                <w:sz w:val="19"/>
                <w:szCs w:val="19"/>
              </w:rPr>
              <w:t>(Audited)</w:t>
            </w:r>
          </w:p>
        </w:tc>
      </w:tr>
      <w:tr>
        <w:tblPrEx>
          <w:tblCellMar>
            <w:top w:w="0" w:type="dxa"/>
            <w:left w:w="108" w:type="dxa"/>
            <w:bottom w:w="0" w:type="dxa"/>
            <w:right w:w="108" w:type="dxa"/>
          </w:tblCellMar>
        </w:tblPrEx>
        <w:tc>
          <w:tcPr>
            <w:tcW w:w="3402" w:type="dxa"/>
            <w:shd w:val="clear" w:color="auto" w:fill="auto"/>
          </w:tcPr>
          <w:p>
            <w:pPr>
              <w:spacing w:line="380" w:lineRule="exact"/>
              <w:ind w:right="-108"/>
              <w:rPr>
                <w:rFonts w:ascii="Arial" w:hAnsi="Arial"/>
                <w:sz w:val="19"/>
                <w:szCs w:val="19"/>
                <w:u w:val="single"/>
              </w:rPr>
            </w:pPr>
            <w:r>
              <w:rPr>
                <w:rFonts w:ascii="Arial" w:hAnsi="Arial" w:cs="Arial"/>
                <w:sz w:val="19"/>
                <w:szCs w:val="19"/>
              </w:rPr>
              <w:t>Infinity To Infinity Company Limited</w:t>
            </w:r>
          </w:p>
        </w:tc>
        <w:tc>
          <w:tcPr>
            <w:tcW w:w="2340" w:type="dxa"/>
            <w:vAlign w:val="bottom"/>
          </w:tcPr>
          <w:p>
            <w:pPr>
              <w:tabs>
                <w:tab w:val="decimal" w:pos="1776"/>
              </w:tabs>
              <w:spacing w:line="380" w:lineRule="exact"/>
              <w:ind w:left="-29" w:right="-29"/>
              <w:rPr>
                <w:rFonts w:ascii="Arial" w:hAnsi="Arial"/>
                <w:sz w:val="19"/>
                <w:szCs w:val="19"/>
              </w:rPr>
            </w:pPr>
            <w:r>
              <w:rPr>
                <w:rFonts w:ascii="Arial" w:hAnsi="Arial"/>
                <w:sz w:val="19"/>
                <w:szCs w:val="19"/>
              </w:rPr>
              <w:t>17,453</w:t>
            </w:r>
          </w:p>
        </w:tc>
        <w:tc>
          <w:tcPr>
            <w:tcW w:w="1800" w:type="dxa"/>
            <w:vAlign w:val="bottom"/>
          </w:tcPr>
          <w:p>
            <w:pPr>
              <w:tabs>
                <w:tab w:val="decimal" w:pos="1146"/>
              </w:tabs>
              <w:spacing w:line="380" w:lineRule="exact"/>
              <w:ind w:left="-29" w:right="-29"/>
              <w:rPr>
                <w:rFonts w:ascii="Arial" w:hAnsi="Arial"/>
                <w:sz w:val="19"/>
                <w:szCs w:val="19"/>
              </w:rPr>
            </w:pPr>
            <w:r>
              <w:rPr>
                <w:rFonts w:ascii="Arial" w:hAnsi="Arial"/>
                <w:sz w:val="19"/>
                <w:szCs w:val="19"/>
              </w:rPr>
              <w:t>19,519</w:t>
            </w:r>
          </w:p>
        </w:tc>
        <w:tc>
          <w:tcPr>
            <w:tcW w:w="1800" w:type="dxa"/>
            <w:vAlign w:val="bottom"/>
          </w:tcPr>
          <w:p>
            <w:pPr>
              <w:tabs>
                <w:tab w:val="decimal" w:pos="1146"/>
              </w:tabs>
              <w:spacing w:line="380" w:lineRule="exact"/>
              <w:ind w:left="-29" w:right="-29"/>
              <w:rPr>
                <w:rFonts w:ascii="Arial" w:hAnsi="Arial"/>
                <w:sz w:val="19"/>
                <w:szCs w:val="19"/>
              </w:rPr>
            </w:pPr>
            <w:r>
              <w:rPr>
                <w:rFonts w:ascii="Arial" w:hAnsi="Arial"/>
                <w:sz w:val="19"/>
                <w:szCs w:val="19"/>
              </w:rPr>
              <w:t>-</w:t>
            </w:r>
          </w:p>
        </w:tc>
      </w:tr>
      <w:tr>
        <w:tblPrEx>
          <w:tblCellMar>
            <w:top w:w="0" w:type="dxa"/>
            <w:left w:w="108" w:type="dxa"/>
            <w:bottom w:w="0" w:type="dxa"/>
            <w:right w:w="108" w:type="dxa"/>
          </w:tblCellMar>
        </w:tblPrEx>
        <w:tc>
          <w:tcPr>
            <w:tcW w:w="3402" w:type="dxa"/>
            <w:shd w:val="clear" w:color="auto" w:fill="auto"/>
          </w:tcPr>
          <w:p>
            <w:pPr>
              <w:spacing w:line="380" w:lineRule="exact"/>
              <w:ind w:left="150" w:right="-108" w:hanging="150"/>
              <w:rPr>
                <w:rFonts w:ascii="Arial" w:hAnsi="Arial" w:cstheme="minorBidi"/>
                <w:sz w:val="19"/>
                <w:szCs w:val="19"/>
              </w:rPr>
            </w:pPr>
            <w:r>
              <w:rPr>
                <w:rFonts w:ascii="Arial" w:hAnsi="Arial" w:cstheme="minorBidi"/>
                <w:sz w:val="19"/>
                <w:szCs w:val="19"/>
              </w:rPr>
              <w:t>Mutelu Leaw Ruai Company Limited</w:t>
            </w:r>
          </w:p>
        </w:tc>
        <w:tc>
          <w:tcPr>
            <w:tcW w:w="2340" w:type="dxa"/>
            <w:vAlign w:val="bottom"/>
          </w:tcPr>
          <w:p>
            <w:pPr>
              <w:pBdr>
                <w:bottom w:val="single" w:color="auto" w:sz="4" w:space="1"/>
              </w:pBdr>
              <w:tabs>
                <w:tab w:val="decimal" w:pos="1776"/>
              </w:tabs>
              <w:spacing w:line="380" w:lineRule="exact"/>
              <w:ind w:left="-29" w:right="-29"/>
              <w:rPr>
                <w:rFonts w:ascii="Arial" w:hAnsi="Arial"/>
                <w:sz w:val="19"/>
                <w:szCs w:val="19"/>
              </w:rPr>
            </w:pPr>
            <w:r>
              <w:rPr>
                <w:rFonts w:ascii="Arial" w:hAnsi="Arial"/>
                <w:sz w:val="19"/>
                <w:szCs w:val="19"/>
              </w:rPr>
              <w:t>2,062</w:t>
            </w:r>
          </w:p>
        </w:tc>
        <w:tc>
          <w:tcPr>
            <w:tcW w:w="1800" w:type="dxa"/>
            <w:vAlign w:val="bottom"/>
          </w:tcPr>
          <w:p>
            <w:pPr>
              <w:pBdr>
                <w:bottom w:val="single" w:color="auto" w:sz="4" w:space="1"/>
              </w:pBdr>
              <w:tabs>
                <w:tab w:val="decimal" w:pos="1146"/>
              </w:tabs>
              <w:spacing w:line="380" w:lineRule="exact"/>
              <w:ind w:left="-29" w:right="-29"/>
              <w:rPr>
                <w:rFonts w:ascii="Arial" w:hAnsi="Arial"/>
                <w:sz w:val="19"/>
                <w:szCs w:val="19"/>
              </w:rPr>
            </w:pPr>
            <w:r>
              <w:rPr>
                <w:rFonts w:ascii="Arial" w:hAnsi="Arial"/>
                <w:sz w:val="19"/>
                <w:szCs w:val="19"/>
              </w:rPr>
              <w:t>-</w:t>
            </w:r>
          </w:p>
        </w:tc>
        <w:tc>
          <w:tcPr>
            <w:tcW w:w="1800" w:type="dxa"/>
            <w:vAlign w:val="bottom"/>
          </w:tcPr>
          <w:p>
            <w:pPr>
              <w:pBdr>
                <w:bottom w:val="single" w:color="auto" w:sz="4" w:space="1"/>
              </w:pBdr>
              <w:tabs>
                <w:tab w:val="decimal" w:pos="1146"/>
              </w:tabs>
              <w:spacing w:line="380" w:lineRule="exact"/>
              <w:ind w:left="-29" w:right="-29"/>
              <w:rPr>
                <w:rFonts w:ascii="Arial" w:hAnsi="Arial"/>
                <w:sz w:val="19"/>
                <w:szCs w:val="19"/>
              </w:rPr>
            </w:pPr>
            <w:r>
              <w:rPr>
                <w:rFonts w:ascii="Arial" w:hAnsi="Arial"/>
                <w:sz w:val="19"/>
                <w:szCs w:val="19"/>
              </w:rPr>
              <w:t>-</w:t>
            </w:r>
          </w:p>
        </w:tc>
      </w:tr>
      <w:tr>
        <w:tblPrEx>
          <w:tblCellMar>
            <w:top w:w="0" w:type="dxa"/>
            <w:left w:w="108" w:type="dxa"/>
            <w:bottom w:w="0" w:type="dxa"/>
            <w:right w:w="108" w:type="dxa"/>
          </w:tblCellMar>
        </w:tblPrEx>
        <w:tc>
          <w:tcPr>
            <w:tcW w:w="3402" w:type="dxa"/>
          </w:tcPr>
          <w:p>
            <w:pPr>
              <w:spacing w:line="380" w:lineRule="exact"/>
              <w:ind w:left="150" w:right="-108" w:hanging="150"/>
              <w:rPr>
                <w:rFonts w:ascii="Arial" w:hAnsi="Arial" w:cstheme="minorBidi"/>
                <w:sz w:val="19"/>
                <w:szCs w:val="19"/>
                <w:highlight w:val="cyan"/>
              </w:rPr>
            </w:pPr>
            <w:r>
              <w:rPr>
                <w:rFonts w:ascii="Arial" w:hAnsi="Arial" w:cstheme="minorBidi"/>
                <w:sz w:val="19"/>
                <w:szCs w:val="19"/>
              </w:rPr>
              <w:t xml:space="preserve">Total </w:t>
            </w:r>
          </w:p>
        </w:tc>
        <w:tc>
          <w:tcPr>
            <w:tcW w:w="2340" w:type="dxa"/>
            <w:vAlign w:val="bottom"/>
          </w:tcPr>
          <w:p>
            <w:pPr>
              <w:pBdr>
                <w:bottom w:val="double" w:color="auto" w:sz="4" w:space="1"/>
              </w:pBdr>
              <w:tabs>
                <w:tab w:val="decimal" w:pos="1776"/>
              </w:tabs>
              <w:spacing w:line="380" w:lineRule="exact"/>
              <w:ind w:left="-29" w:right="-29"/>
              <w:rPr>
                <w:rFonts w:ascii="Arial" w:hAnsi="Arial"/>
                <w:sz w:val="19"/>
                <w:szCs w:val="19"/>
              </w:rPr>
            </w:pPr>
            <w:r>
              <w:rPr>
                <w:rFonts w:ascii="Arial" w:hAnsi="Arial"/>
                <w:sz w:val="19"/>
                <w:szCs w:val="19"/>
              </w:rPr>
              <w:t>19,515</w:t>
            </w:r>
          </w:p>
        </w:tc>
        <w:tc>
          <w:tcPr>
            <w:tcW w:w="1800" w:type="dxa"/>
            <w:vAlign w:val="bottom"/>
          </w:tcPr>
          <w:p>
            <w:pPr>
              <w:pBdr>
                <w:bottom w:val="double" w:color="auto" w:sz="4" w:space="1"/>
              </w:pBdr>
              <w:tabs>
                <w:tab w:val="decimal" w:pos="1146"/>
              </w:tabs>
              <w:spacing w:line="380" w:lineRule="exact"/>
              <w:ind w:left="-29" w:right="-29"/>
              <w:rPr>
                <w:rFonts w:ascii="Arial" w:hAnsi="Arial"/>
                <w:sz w:val="19"/>
                <w:szCs w:val="19"/>
              </w:rPr>
            </w:pPr>
            <w:r>
              <w:rPr>
                <w:rFonts w:ascii="Arial" w:hAnsi="Arial"/>
                <w:sz w:val="19"/>
                <w:szCs w:val="19"/>
              </w:rPr>
              <w:t>19,519</w:t>
            </w:r>
          </w:p>
        </w:tc>
        <w:tc>
          <w:tcPr>
            <w:tcW w:w="1800" w:type="dxa"/>
            <w:vAlign w:val="bottom"/>
          </w:tcPr>
          <w:p>
            <w:pPr>
              <w:pBdr>
                <w:bottom w:val="double" w:color="auto" w:sz="4" w:space="1"/>
              </w:pBdr>
              <w:tabs>
                <w:tab w:val="decimal" w:pos="1146"/>
              </w:tabs>
              <w:spacing w:line="380" w:lineRule="exact"/>
              <w:ind w:left="-29" w:right="-29"/>
              <w:rPr>
                <w:rFonts w:ascii="Arial" w:hAnsi="Arial"/>
                <w:sz w:val="19"/>
                <w:szCs w:val="19"/>
              </w:rPr>
            </w:pPr>
            <w:r>
              <w:rPr>
                <w:rFonts w:ascii="Arial" w:hAnsi="Arial"/>
                <w:sz w:val="19"/>
                <w:szCs w:val="19"/>
              </w:rPr>
              <w:t>-</w:t>
            </w:r>
          </w:p>
        </w:tc>
      </w:tr>
    </w:tbl>
    <w:p>
      <w:pPr>
        <w:tabs>
          <w:tab w:val="left" w:pos="1440"/>
          <w:tab w:val="left" w:pos="1800"/>
          <w:tab w:val="left" w:pos="3960"/>
          <w:tab w:val="center" w:pos="6570"/>
          <w:tab w:val="right" w:pos="9360"/>
        </w:tabs>
        <w:spacing w:before="120" w:after="120" w:line="380" w:lineRule="exact"/>
        <w:ind w:left="547" w:right="-43" w:hanging="547"/>
        <w:rPr>
          <w:rFonts w:ascii="Arial" w:hAnsi="Arial" w:cs="Arial"/>
          <w:sz w:val="22"/>
          <w:szCs w:val="22"/>
        </w:rPr>
      </w:pPr>
      <w:r>
        <w:rPr>
          <w:rFonts w:ascii="Arial" w:hAnsi="Arial" w:cs="Arial"/>
          <w:sz w:val="22"/>
          <w:szCs w:val="22"/>
        </w:rPr>
        <w:tab/>
      </w:r>
    </w:p>
    <w:p>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pPr>
        <w:tabs>
          <w:tab w:val="left" w:pos="1440"/>
          <w:tab w:val="left" w:pos="1800"/>
          <w:tab w:val="left" w:pos="3960"/>
          <w:tab w:val="center" w:pos="6570"/>
          <w:tab w:val="right" w:pos="936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Movement of investments in associates during the nine-month period ended 30 September 2022 are summarised below.</w:t>
      </w:r>
    </w:p>
    <w:tbl>
      <w:tblPr>
        <w:tblStyle w:val="8"/>
        <w:tblW w:w="9360" w:type="dxa"/>
        <w:tblInd w:w="450" w:type="dxa"/>
        <w:shd w:val="clear" w:color="auto" w:fill="FFFFFF" w:themeFill="background1"/>
        <w:tblLayout w:type="fixed"/>
        <w:tblCellMar>
          <w:top w:w="0" w:type="dxa"/>
          <w:left w:w="108" w:type="dxa"/>
          <w:bottom w:w="0" w:type="dxa"/>
          <w:right w:w="108" w:type="dxa"/>
        </w:tblCellMar>
      </w:tblPr>
      <w:tblGrid>
        <w:gridCol w:w="2250"/>
        <w:gridCol w:w="2610"/>
        <w:gridCol w:w="2250"/>
        <w:gridCol w:w="2250"/>
      </w:tblGrid>
      <w:tr>
        <w:tblPrEx>
          <w:tblCellMar>
            <w:top w:w="0" w:type="dxa"/>
            <w:left w:w="108" w:type="dxa"/>
            <w:bottom w:w="0" w:type="dxa"/>
            <w:right w:w="108" w:type="dxa"/>
          </w:tblCellMar>
        </w:tblPrEx>
        <w:trPr>
          <w:trHeight w:val="74" w:hRule="atLeast"/>
        </w:trPr>
        <w:tc>
          <w:tcPr>
            <w:tcW w:w="2250" w:type="dxa"/>
            <w:shd w:val="clear" w:color="auto" w:fill="FFFFFF" w:themeFill="background1"/>
          </w:tcPr>
          <w:p>
            <w:pPr>
              <w:pStyle w:val="20"/>
              <w:spacing w:line="380" w:lineRule="exact"/>
              <w:jc w:val="right"/>
              <w:rPr>
                <w:rFonts w:ascii="Arial" w:hAnsi="Arial" w:cs="Arial"/>
                <w:sz w:val="22"/>
                <w:szCs w:val="22"/>
              </w:rPr>
            </w:pPr>
          </w:p>
        </w:tc>
        <w:tc>
          <w:tcPr>
            <w:tcW w:w="7110" w:type="dxa"/>
            <w:gridSpan w:val="3"/>
            <w:shd w:val="clear" w:color="auto" w:fill="auto"/>
            <w:vAlign w:val="bottom"/>
          </w:tcPr>
          <w:p>
            <w:pPr>
              <w:pStyle w:val="20"/>
              <w:spacing w:line="380" w:lineRule="exact"/>
              <w:jc w:val="right"/>
              <w:rPr>
                <w:rFonts w:ascii="Arial" w:hAnsi="Arial" w:cs="Arial"/>
                <w:sz w:val="22"/>
                <w:szCs w:val="22"/>
              </w:rPr>
            </w:pPr>
            <w:r>
              <w:rPr>
                <w:rFonts w:ascii="Arial" w:hAnsi="Arial" w:cs="Arial"/>
                <w:sz w:val="22"/>
                <w:szCs w:val="22"/>
              </w:rPr>
              <w:t>(Unit: Thousand Baht)</w:t>
            </w:r>
          </w:p>
        </w:tc>
      </w:tr>
      <w:tr>
        <w:tblPrEx>
          <w:shd w:val="clear" w:color="auto" w:fill="FFFFFF" w:themeFill="background1"/>
          <w:tblCellMar>
            <w:top w:w="0" w:type="dxa"/>
            <w:left w:w="108" w:type="dxa"/>
            <w:bottom w:w="0" w:type="dxa"/>
            <w:right w:w="108" w:type="dxa"/>
          </w:tblCellMar>
        </w:tblPrEx>
        <w:trPr>
          <w:trHeight w:val="74" w:hRule="atLeast"/>
        </w:trPr>
        <w:tc>
          <w:tcPr>
            <w:tcW w:w="4860" w:type="dxa"/>
            <w:gridSpan w:val="2"/>
            <w:shd w:val="clear" w:color="auto" w:fill="auto"/>
          </w:tcPr>
          <w:p>
            <w:pPr>
              <w:spacing w:line="380" w:lineRule="exact"/>
              <w:rPr>
                <w:rFonts w:ascii="Arial" w:hAnsi="Arial" w:cstheme="minorBidi"/>
                <w:sz w:val="22"/>
                <w:szCs w:val="22"/>
                <w:cs/>
                <w:lang w:val="en-GB"/>
              </w:rPr>
            </w:pPr>
          </w:p>
        </w:tc>
        <w:tc>
          <w:tcPr>
            <w:tcW w:w="2250" w:type="dxa"/>
            <w:shd w:val="clear" w:color="auto" w:fill="FFFFFF" w:themeFill="background1"/>
          </w:tcPr>
          <w:p>
            <w:pPr>
              <w:pBdr>
                <w:bottom w:val="single" w:color="auto" w:sz="4" w:space="1"/>
              </w:pBdr>
              <w:spacing w:line="380" w:lineRule="exact"/>
              <w:jc w:val="center"/>
              <w:rPr>
                <w:rFonts w:ascii="Arial" w:hAnsi="Arial" w:cs="Arial"/>
                <w:sz w:val="22"/>
                <w:szCs w:val="22"/>
              </w:rPr>
            </w:pPr>
            <w:r>
              <w:rPr>
                <w:rFonts w:ascii="Arial" w:hAnsi="Arial" w:cs="Arial"/>
                <w:sz w:val="22"/>
                <w:szCs w:val="22"/>
              </w:rPr>
              <w:t>Consolidated</w:t>
            </w:r>
          </w:p>
          <w:p>
            <w:pPr>
              <w:pBdr>
                <w:bottom w:val="single" w:color="auto" w:sz="4" w:space="1"/>
              </w:pBdr>
              <w:spacing w:line="380" w:lineRule="exact"/>
              <w:rPr>
                <w:rFonts w:ascii="Arial" w:hAnsi="Arial" w:cs="Arial"/>
                <w:sz w:val="22"/>
                <w:szCs w:val="22"/>
              </w:rPr>
            </w:pPr>
            <w:r>
              <w:rPr>
                <w:rFonts w:ascii="Arial" w:hAnsi="Arial" w:cs="Arial"/>
                <w:sz w:val="22"/>
                <w:szCs w:val="22"/>
              </w:rPr>
              <w:t xml:space="preserve">financial statements </w:t>
            </w:r>
          </w:p>
        </w:tc>
        <w:tc>
          <w:tcPr>
            <w:tcW w:w="2250" w:type="dxa"/>
            <w:shd w:val="clear" w:color="auto" w:fill="FFFFFF" w:themeFill="background1"/>
          </w:tcPr>
          <w:p>
            <w:pPr>
              <w:pStyle w:val="6"/>
              <w:pBdr>
                <w:bottom w:val="single" w:color="auto" w:sz="4" w:space="1"/>
              </w:pBdr>
              <w:spacing w:line="380" w:lineRule="exact"/>
              <w:jc w:val="center"/>
              <w:rPr>
                <w:rFonts w:ascii="Arial" w:hAnsi="Arial" w:cs="Arial"/>
                <w:b w:val="0"/>
                <w:bCs w:val="0"/>
                <w:sz w:val="22"/>
                <w:szCs w:val="22"/>
                <w:u w:val="none"/>
              </w:rPr>
            </w:pPr>
            <w:r>
              <w:rPr>
                <w:rFonts w:ascii="Arial" w:hAnsi="Arial" w:cs="Arial"/>
                <w:b w:val="0"/>
                <w:bCs w:val="0"/>
                <w:sz w:val="22"/>
                <w:szCs w:val="22"/>
                <w:u w:val="none"/>
              </w:rPr>
              <w:t>Separate</w:t>
            </w:r>
          </w:p>
          <w:p>
            <w:pPr>
              <w:pStyle w:val="6"/>
              <w:pBdr>
                <w:bottom w:val="single" w:color="auto" w:sz="4" w:space="1"/>
              </w:pBdr>
              <w:spacing w:line="380" w:lineRule="exact"/>
              <w:jc w:val="left"/>
              <w:rPr>
                <w:rFonts w:ascii="Arial" w:hAnsi="Arial" w:cs="Arial"/>
                <w:b w:val="0"/>
                <w:bCs w:val="0"/>
                <w:sz w:val="22"/>
                <w:szCs w:val="22"/>
                <w:u w:val="none"/>
              </w:rPr>
            </w:pPr>
            <w:r>
              <w:rPr>
                <w:rFonts w:ascii="Arial" w:hAnsi="Arial" w:cs="Arial"/>
                <w:b w:val="0"/>
                <w:bCs w:val="0"/>
                <w:sz w:val="22"/>
                <w:szCs w:val="22"/>
                <w:u w:val="none"/>
              </w:rPr>
              <w:t>financial statements</w:t>
            </w:r>
          </w:p>
        </w:tc>
      </w:tr>
      <w:tr>
        <w:tblPrEx>
          <w:shd w:val="clear" w:color="auto" w:fill="FFFFFF" w:themeFill="background1"/>
          <w:tblCellMar>
            <w:top w:w="0" w:type="dxa"/>
            <w:left w:w="108" w:type="dxa"/>
            <w:bottom w:w="0" w:type="dxa"/>
            <w:right w:w="108" w:type="dxa"/>
          </w:tblCellMar>
        </w:tblPrEx>
        <w:trPr>
          <w:trHeight w:val="74" w:hRule="atLeast"/>
        </w:trPr>
        <w:tc>
          <w:tcPr>
            <w:tcW w:w="4860" w:type="dxa"/>
            <w:gridSpan w:val="2"/>
            <w:shd w:val="clear" w:color="auto" w:fill="auto"/>
          </w:tcPr>
          <w:p>
            <w:pPr>
              <w:spacing w:line="380" w:lineRule="exact"/>
              <w:rPr>
                <w:rFonts w:ascii="Arial" w:hAnsi="Arial" w:cs="Arial"/>
                <w:sz w:val="22"/>
                <w:szCs w:val="22"/>
              </w:rPr>
            </w:pPr>
            <w:r>
              <w:rPr>
                <w:rFonts w:ascii="Arial" w:hAnsi="Arial" w:cs="Arial"/>
                <w:sz w:val="22"/>
                <w:szCs w:val="22"/>
              </w:rPr>
              <w:t>Net book value as at 1 January 2022</w:t>
            </w:r>
          </w:p>
        </w:tc>
        <w:tc>
          <w:tcPr>
            <w:tcW w:w="2250" w:type="dxa"/>
            <w:shd w:val="clear" w:color="auto" w:fill="FFFFFF" w:themeFill="background1"/>
          </w:tcPr>
          <w:p>
            <w:pPr>
              <w:tabs>
                <w:tab w:val="decimal" w:pos="1599"/>
              </w:tabs>
              <w:spacing w:line="380" w:lineRule="exact"/>
              <w:rPr>
                <w:rFonts w:ascii="Arial" w:hAnsi="Arial" w:cs="Browallia New"/>
                <w:sz w:val="22"/>
                <w:szCs w:val="22"/>
                <w:lang w:val="en-GB"/>
              </w:rPr>
            </w:pPr>
            <w:r>
              <w:rPr>
                <w:rFonts w:ascii="Arial" w:hAnsi="Arial" w:cs="Browallia New"/>
                <w:sz w:val="22"/>
                <w:szCs w:val="22"/>
                <w:lang w:val="en-GB"/>
              </w:rPr>
              <w:t>-</w:t>
            </w:r>
          </w:p>
        </w:tc>
        <w:tc>
          <w:tcPr>
            <w:tcW w:w="2250" w:type="dxa"/>
            <w:shd w:val="clear" w:color="auto" w:fill="auto"/>
            <w:vAlign w:val="bottom"/>
          </w:tcPr>
          <w:p>
            <w:pPr>
              <w:tabs>
                <w:tab w:val="decimal" w:pos="1599"/>
              </w:tabs>
              <w:spacing w:line="380" w:lineRule="exact"/>
              <w:rPr>
                <w:rFonts w:ascii="Arial" w:hAnsi="Arial" w:cs="Browallia New"/>
                <w:sz w:val="22"/>
                <w:szCs w:val="22"/>
                <w:lang w:val="en-GB"/>
              </w:rPr>
            </w:pPr>
            <w:r>
              <w:rPr>
                <w:rFonts w:ascii="Arial" w:hAnsi="Arial" w:cs="Browallia New"/>
                <w:sz w:val="22"/>
                <w:szCs w:val="22"/>
                <w:lang w:val="en-GB"/>
              </w:rPr>
              <w:t>-</w:t>
            </w:r>
          </w:p>
        </w:tc>
      </w:tr>
      <w:tr>
        <w:tblPrEx>
          <w:shd w:val="clear" w:color="auto" w:fill="FFFFFF" w:themeFill="background1"/>
          <w:tblCellMar>
            <w:top w:w="0" w:type="dxa"/>
            <w:left w:w="108" w:type="dxa"/>
            <w:bottom w:w="0" w:type="dxa"/>
            <w:right w:w="108" w:type="dxa"/>
          </w:tblCellMar>
        </w:tblPrEx>
        <w:trPr>
          <w:trHeight w:val="70" w:hRule="atLeast"/>
        </w:trPr>
        <w:tc>
          <w:tcPr>
            <w:tcW w:w="4860" w:type="dxa"/>
            <w:gridSpan w:val="2"/>
            <w:shd w:val="clear" w:color="auto" w:fill="FFFFFF" w:themeFill="background1"/>
            <w:vAlign w:val="bottom"/>
          </w:tcPr>
          <w:p>
            <w:pPr>
              <w:spacing w:line="380" w:lineRule="exact"/>
              <w:rPr>
                <w:rFonts w:ascii="Arial" w:hAnsi="Arial" w:cs="Arial"/>
                <w:sz w:val="22"/>
                <w:szCs w:val="22"/>
                <w:lang w:val="en-GB"/>
              </w:rPr>
            </w:pPr>
            <w:r>
              <w:rPr>
                <w:rFonts w:ascii="Arial" w:hAnsi="Arial" w:cs="Arial"/>
                <w:sz w:val="22"/>
                <w:szCs w:val="22"/>
              </w:rPr>
              <w:t>P</w:t>
            </w:r>
            <w:r>
              <w:rPr>
                <w:rFonts w:ascii="Arial" w:hAnsi="Arial" w:cs="Arial"/>
                <w:sz w:val="22"/>
                <w:szCs w:val="22"/>
                <w:lang w:val="en-GB"/>
              </w:rPr>
              <w:t>urchase of investment in associate</w:t>
            </w:r>
          </w:p>
        </w:tc>
        <w:tc>
          <w:tcPr>
            <w:tcW w:w="2250" w:type="dxa"/>
            <w:shd w:val="clear" w:color="auto" w:fill="FFFFFF" w:themeFill="background1"/>
          </w:tcPr>
          <w:p>
            <w:pPr>
              <w:tabs>
                <w:tab w:val="decimal" w:pos="1599"/>
              </w:tabs>
              <w:spacing w:line="380" w:lineRule="exact"/>
              <w:rPr>
                <w:rFonts w:ascii="Arial" w:hAnsi="Arial" w:cs="Arial"/>
                <w:sz w:val="22"/>
                <w:szCs w:val="22"/>
                <w:cs/>
                <w:lang w:val="en-GB"/>
              </w:rPr>
            </w:pPr>
            <w:r>
              <w:rPr>
                <w:rFonts w:ascii="Arial" w:hAnsi="Arial" w:cs="Arial"/>
                <w:sz w:val="22"/>
                <w:szCs w:val="22"/>
                <w:lang w:val="en-GB"/>
              </w:rPr>
              <w:t>19,519</w:t>
            </w:r>
          </w:p>
        </w:tc>
        <w:tc>
          <w:tcPr>
            <w:tcW w:w="2250" w:type="dxa"/>
            <w:shd w:val="clear" w:color="auto" w:fill="auto"/>
          </w:tcPr>
          <w:p>
            <w:pPr>
              <w:tabs>
                <w:tab w:val="decimal" w:pos="1599"/>
              </w:tabs>
              <w:spacing w:line="380" w:lineRule="exact"/>
              <w:rPr>
                <w:rFonts w:ascii="Arial" w:hAnsi="Arial" w:cs="Arial"/>
                <w:sz w:val="22"/>
                <w:szCs w:val="22"/>
                <w:cs/>
                <w:lang w:val="en-GB"/>
              </w:rPr>
            </w:pPr>
            <w:r>
              <w:rPr>
                <w:rFonts w:ascii="Arial" w:hAnsi="Arial" w:cs="Arial"/>
                <w:sz w:val="22"/>
                <w:szCs w:val="22"/>
                <w:lang w:val="en-GB"/>
              </w:rPr>
              <w:t>19,519</w:t>
            </w:r>
          </w:p>
        </w:tc>
      </w:tr>
      <w:tr>
        <w:tblPrEx>
          <w:shd w:val="clear" w:color="auto" w:fill="FFFFFF" w:themeFill="background1"/>
          <w:tblCellMar>
            <w:top w:w="0" w:type="dxa"/>
            <w:left w:w="108" w:type="dxa"/>
            <w:bottom w:w="0" w:type="dxa"/>
            <w:right w:w="108" w:type="dxa"/>
          </w:tblCellMar>
        </w:tblPrEx>
        <w:trPr>
          <w:trHeight w:val="70" w:hRule="atLeast"/>
        </w:trPr>
        <w:tc>
          <w:tcPr>
            <w:tcW w:w="4860" w:type="dxa"/>
            <w:gridSpan w:val="2"/>
            <w:shd w:val="clear" w:color="auto" w:fill="FFFFFF" w:themeFill="background1"/>
            <w:vAlign w:val="bottom"/>
          </w:tcPr>
          <w:p>
            <w:pPr>
              <w:spacing w:line="380" w:lineRule="exact"/>
              <w:rPr>
                <w:rFonts w:ascii="Arial" w:hAnsi="Arial" w:cs="Arial"/>
                <w:sz w:val="22"/>
                <w:szCs w:val="22"/>
                <w:lang w:val="en-GB"/>
              </w:rPr>
            </w:pPr>
            <w:r>
              <w:rPr>
                <w:rFonts w:ascii="Arial" w:hAnsi="Arial" w:cs="Arial"/>
                <w:sz w:val="22"/>
                <w:szCs w:val="22"/>
                <w:lang w:val="en-GB"/>
              </w:rPr>
              <w:t>Increase from acquisition of subsidiary (Note 5)</w:t>
            </w:r>
          </w:p>
        </w:tc>
        <w:tc>
          <w:tcPr>
            <w:tcW w:w="2250" w:type="dxa"/>
            <w:shd w:val="clear" w:color="auto" w:fill="FFFFFF" w:themeFill="background1"/>
          </w:tcPr>
          <w:p>
            <w:pPr>
              <w:tabs>
                <w:tab w:val="decimal" w:pos="1599"/>
              </w:tabs>
              <w:spacing w:line="380" w:lineRule="exact"/>
              <w:rPr>
                <w:rFonts w:ascii="Arial" w:hAnsi="Arial" w:cs="Arial"/>
                <w:sz w:val="22"/>
                <w:szCs w:val="22"/>
                <w:cs/>
              </w:rPr>
            </w:pPr>
            <w:r>
              <w:rPr>
                <w:rFonts w:ascii="Arial" w:hAnsi="Arial" w:cs="Arial"/>
                <w:sz w:val="22"/>
                <w:szCs w:val="22"/>
              </w:rPr>
              <w:t>3,251</w:t>
            </w:r>
          </w:p>
        </w:tc>
        <w:tc>
          <w:tcPr>
            <w:tcW w:w="2250" w:type="dxa"/>
            <w:shd w:val="clear" w:color="auto" w:fill="auto"/>
          </w:tcPr>
          <w:p>
            <w:pPr>
              <w:tabs>
                <w:tab w:val="decimal" w:pos="1599"/>
              </w:tabs>
              <w:spacing w:line="380" w:lineRule="exact"/>
              <w:rPr>
                <w:rFonts w:ascii="Arial" w:hAnsi="Arial" w:cs="Arial"/>
                <w:sz w:val="22"/>
                <w:szCs w:val="22"/>
                <w:cs/>
                <w:lang w:val="en-GB"/>
              </w:rPr>
            </w:pPr>
            <w:r>
              <w:rPr>
                <w:rFonts w:ascii="Arial" w:hAnsi="Arial" w:cs="Arial"/>
                <w:sz w:val="22"/>
                <w:szCs w:val="22"/>
                <w:lang w:val="en-GB"/>
              </w:rPr>
              <w:t>-</w:t>
            </w:r>
          </w:p>
        </w:tc>
      </w:tr>
      <w:tr>
        <w:tblPrEx>
          <w:shd w:val="clear" w:color="auto" w:fill="FFFFFF" w:themeFill="background1"/>
          <w:tblCellMar>
            <w:top w:w="0" w:type="dxa"/>
            <w:left w:w="108" w:type="dxa"/>
            <w:bottom w:w="0" w:type="dxa"/>
            <w:right w:w="108" w:type="dxa"/>
          </w:tblCellMar>
        </w:tblPrEx>
        <w:trPr>
          <w:trHeight w:val="70" w:hRule="atLeast"/>
        </w:trPr>
        <w:tc>
          <w:tcPr>
            <w:tcW w:w="4860" w:type="dxa"/>
            <w:gridSpan w:val="2"/>
            <w:shd w:val="clear" w:color="auto" w:fill="FFFFFF" w:themeFill="background1"/>
            <w:vAlign w:val="bottom"/>
          </w:tcPr>
          <w:p>
            <w:pPr>
              <w:spacing w:line="380" w:lineRule="exact"/>
              <w:rPr>
                <w:rFonts w:ascii="Arial" w:hAnsi="Arial" w:cs="Arial"/>
                <w:sz w:val="22"/>
                <w:szCs w:val="22"/>
                <w:lang w:val="en-GB"/>
              </w:rPr>
            </w:pPr>
            <w:r>
              <w:rPr>
                <w:rFonts w:ascii="Arial" w:hAnsi="Arial" w:cs="Arial"/>
                <w:sz w:val="22"/>
                <w:szCs w:val="22"/>
                <w:lang w:val="en-GB"/>
              </w:rPr>
              <w:t>Share of loss from investments in associates</w:t>
            </w:r>
          </w:p>
        </w:tc>
        <w:tc>
          <w:tcPr>
            <w:tcW w:w="2250" w:type="dxa"/>
            <w:shd w:val="clear" w:color="auto" w:fill="FFFFFF" w:themeFill="background1"/>
          </w:tcPr>
          <w:p>
            <w:pPr>
              <w:tabs>
                <w:tab w:val="decimal" w:pos="1599"/>
              </w:tabs>
              <w:spacing w:line="380" w:lineRule="exact"/>
              <w:rPr>
                <w:rFonts w:ascii="Arial" w:hAnsi="Arial" w:cs="Arial"/>
                <w:sz w:val="22"/>
                <w:szCs w:val="22"/>
                <w:cs/>
                <w:lang w:val="en-GB"/>
              </w:rPr>
            </w:pPr>
            <w:r>
              <w:rPr>
                <w:rFonts w:ascii="Arial" w:hAnsi="Arial" w:cs="Arial"/>
                <w:sz w:val="22"/>
                <w:szCs w:val="22"/>
                <w:lang w:val="en-GB"/>
              </w:rPr>
              <w:t>(1,255)</w:t>
            </w:r>
          </w:p>
        </w:tc>
        <w:tc>
          <w:tcPr>
            <w:tcW w:w="2250" w:type="dxa"/>
            <w:shd w:val="clear" w:color="auto" w:fill="auto"/>
          </w:tcPr>
          <w:p>
            <w:pPr>
              <w:tabs>
                <w:tab w:val="decimal" w:pos="1599"/>
              </w:tabs>
              <w:spacing w:line="380" w:lineRule="exact"/>
              <w:rPr>
                <w:rFonts w:ascii="Arial" w:hAnsi="Arial" w:cs="Arial"/>
                <w:sz w:val="22"/>
                <w:szCs w:val="22"/>
                <w:cs/>
                <w:lang w:val="en-GB"/>
              </w:rPr>
            </w:pPr>
            <w:r>
              <w:rPr>
                <w:rFonts w:ascii="Arial" w:hAnsi="Arial" w:cs="Arial"/>
                <w:sz w:val="22"/>
                <w:szCs w:val="22"/>
                <w:lang w:val="en-GB"/>
              </w:rPr>
              <w:t>-</w:t>
            </w:r>
          </w:p>
        </w:tc>
      </w:tr>
      <w:tr>
        <w:tblPrEx>
          <w:shd w:val="clear" w:color="auto" w:fill="FFFFFF" w:themeFill="background1"/>
          <w:tblCellMar>
            <w:top w:w="0" w:type="dxa"/>
            <w:left w:w="108" w:type="dxa"/>
            <w:bottom w:w="0" w:type="dxa"/>
            <w:right w:w="108" w:type="dxa"/>
          </w:tblCellMar>
        </w:tblPrEx>
        <w:trPr>
          <w:trHeight w:val="70" w:hRule="atLeast"/>
        </w:trPr>
        <w:tc>
          <w:tcPr>
            <w:tcW w:w="4860" w:type="dxa"/>
            <w:gridSpan w:val="2"/>
            <w:shd w:val="clear" w:color="auto" w:fill="FFFFFF" w:themeFill="background1"/>
            <w:vAlign w:val="bottom"/>
          </w:tcPr>
          <w:p>
            <w:pPr>
              <w:spacing w:line="380" w:lineRule="exact"/>
              <w:rPr>
                <w:rFonts w:ascii="Arial" w:hAnsi="Arial" w:cs="Arial"/>
                <w:sz w:val="22"/>
                <w:szCs w:val="22"/>
                <w:lang w:val="en-GB"/>
              </w:rPr>
            </w:pPr>
            <w:r>
              <w:rPr>
                <w:rFonts w:ascii="Arial" w:hAnsi="Arial" w:cs="Arial"/>
                <w:sz w:val="22"/>
                <w:szCs w:val="22"/>
              </w:rPr>
              <w:t>Dividend received</w:t>
            </w:r>
          </w:p>
        </w:tc>
        <w:tc>
          <w:tcPr>
            <w:tcW w:w="2250" w:type="dxa"/>
            <w:shd w:val="clear" w:color="auto" w:fill="FFFFFF" w:themeFill="background1"/>
          </w:tcPr>
          <w:p>
            <w:pPr>
              <w:pBdr>
                <w:bottom w:val="single" w:color="auto" w:sz="4" w:space="1"/>
              </w:pBdr>
              <w:tabs>
                <w:tab w:val="decimal" w:pos="1599"/>
              </w:tabs>
              <w:spacing w:line="380" w:lineRule="exact"/>
              <w:rPr>
                <w:rFonts w:ascii="Arial" w:hAnsi="Arial" w:cs="Arial"/>
                <w:sz w:val="22"/>
                <w:szCs w:val="22"/>
                <w:cs/>
                <w:lang w:val="en-GB"/>
              </w:rPr>
            </w:pPr>
            <w:r>
              <w:rPr>
                <w:rFonts w:ascii="Arial" w:hAnsi="Arial" w:cs="Arial"/>
                <w:sz w:val="22"/>
                <w:szCs w:val="22"/>
                <w:lang w:val="en-GB"/>
              </w:rPr>
              <w:t>(2,000)</w:t>
            </w:r>
          </w:p>
        </w:tc>
        <w:tc>
          <w:tcPr>
            <w:tcW w:w="2250" w:type="dxa"/>
            <w:shd w:val="clear" w:color="auto" w:fill="auto"/>
          </w:tcPr>
          <w:p>
            <w:pPr>
              <w:pBdr>
                <w:bottom w:val="single" w:color="auto" w:sz="4" w:space="1"/>
              </w:pBdr>
              <w:tabs>
                <w:tab w:val="decimal" w:pos="1599"/>
              </w:tabs>
              <w:spacing w:line="380" w:lineRule="exact"/>
              <w:rPr>
                <w:rFonts w:ascii="Arial" w:hAnsi="Arial" w:cs="Arial"/>
                <w:sz w:val="22"/>
                <w:szCs w:val="22"/>
                <w:cs/>
                <w:lang w:val="en-GB"/>
              </w:rPr>
            </w:pPr>
            <w:r>
              <w:rPr>
                <w:rFonts w:ascii="Arial" w:hAnsi="Arial" w:cs="Arial"/>
                <w:sz w:val="22"/>
                <w:szCs w:val="22"/>
                <w:lang w:val="en-GB"/>
              </w:rPr>
              <w:t>-</w:t>
            </w:r>
          </w:p>
        </w:tc>
      </w:tr>
      <w:tr>
        <w:tblPrEx>
          <w:shd w:val="clear" w:color="auto" w:fill="FFFFFF" w:themeFill="background1"/>
          <w:tblCellMar>
            <w:top w:w="0" w:type="dxa"/>
            <w:left w:w="108" w:type="dxa"/>
            <w:bottom w:w="0" w:type="dxa"/>
            <w:right w:w="108" w:type="dxa"/>
          </w:tblCellMar>
        </w:tblPrEx>
        <w:trPr>
          <w:trHeight w:val="403" w:hRule="atLeast"/>
        </w:trPr>
        <w:tc>
          <w:tcPr>
            <w:tcW w:w="4860" w:type="dxa"/>
            <w:gridSpan w:val="2"/>
            <w:shd w:val="clear" w:color="auto" w:fill="FFFFFF" w:themeFill="background1"/>
            <w:vAlign w:val="bottom"/>
          </w:tcPr>
          <w:p>
            <w:pPr>
              <w:spacing w:line="380" w:lineRule="exact"/>
              <w:rPr>
                <w:rFonts w:ascii="Arial" w:hAnsi="Arial" w:cs="Arial"/>
                <w:sz w:val="22"/>
                <w:szCs w:val="22"/>
                <w:lang w:val="en-GB"/>
              </w:rPr>
            </w:pPr>
            <w:r>
              <w:rPr>
                <w:rFonts w:ascii="Arial" w:hAnsi="Arial" w:cs="Arial"/>
                <w:sz w:val="22"/>
                <w:szCs w:val="22"/>
              </w:rPr>
              <w:t>Net book value as at 30 September 2022</w:t>
            </w:r>
          </w:p>
        </w:tc>
        <w:tc>
          <w:tcPr>
            <w:tcW w:w="2250" w:type="dxa"/>
            <w:shd w:val="clear" w:color="auto" w:fill="FFFFFF" w:themeFill="background1"/>
          </w:tcPr>
          <w:p>
            <w:pPr>
              <w:pBdr>
                <w:bottom w:val="double" w:color="auto" w:sz="4" w:space="1"/>
              </w:pBdr>
              <w:tabs>
                <w:tab w:val="decimal" w:pos="1599"/>
              </w:tabs>
              <w:spacing w:line="380" w:lineRule="exact"/>
              <w:rPr>
                <w:rFonts w:ascii="Arial" w:hAnsi="Arial" w:cstheme="minorBidi"/>
                <w:sz w:val="22"/>
                <w:szCs w:val="22"/>
                <w:cs/>
                <w:lang w:val="en-GB"/>
              </w:rPr>
            </w:pPr>
            <w:r>
              <w:rPr>
                <w:rFonts w:ascii="Arial" w:hAnsi="Arial" w:cstheme="minorBidi"/>
                <w:sz w:val="22"/>
                <w:szCs w:val="22"/>
                <w:lang w:val="en-GB"/>
              </w:rPr>
              <w:t>19,515</w:t>
            </w:r>
          </w:p>
        </w:tc>
        <w:tc>
          <w:tcPr>
            <w:tcW w:w="2250" w:type="dxa"/>
            <w:shd w:val="clear" w:color="auto" w:fill="FFFFFF" w:themeFill="background1"/>
          </w:tcPr>
          <w:p>
            <w:pPr>
              <w:pBdr>
                <w:bottom w:val="double" w:color="auto" w:sz="4" w:space="1"/>
              </w:pBdr>
              <w:tabs>
                <w:tab w:val="decimal" w:pos="1599"/>
              </w:tabs>
              <w:spacing w:line="380" w:lineRule="exact"/>
              <w:rPr>
                <w:rFonts w:ascii="Arial" w:hAnsi="Arial" w:cstheme="minorBidi"/>
                <w:sz w:val="22"/>
                <w:szCs w:val="22"/>
                <w:cs/>
                <w:lang w:val="en-GB"/>
              </w:rPr>
            </w:pPr>
            <w:r>
              <w:rPr>
                <w:rFonts w:ascii="Arial" w:hAnsi="Arial" w:cstheme="minorBidi"/>
                <w:sz w:val="22"/>
                <w:szCs w:val="22"/>
                <w:lang w:val="en-GB"/>
              </w:rPr>
              <w:t>19,519</w:t>
            </w:r>
          </w:p>
        </w:tc>
      </w:tr>
    </w:tbl>
    <w:p>
      <w:pPr>
        <w:tabs>
          <w:tab w:val="left" w:pos="1440"/>
          <w:tab w:val="left" w:pos="1800"/>
          <w:tab w:val="left" w:pos="3960"/>
          <w:tab w:val="center" w:pos="6570"/>
          <w:tab w:val="right" w:pos="9360"/>
        </w:tabs>
        <w:spacing w:before="240" w:after="120" w:line="380" w:lineRule="exact"/>
        <w:ind w:left="547" w:right="-43" w:hanging="547"/>
        <w:rPr>
          <w:rFonts w:ascii="Arial" w:hAnsi="Arial" w:cs="Arial"/>
          <w:sz w:val="22"/>
          <w:szCs w:val="22"/>
          <w:u w:val="single"/>
        </w:rPr>
      </w:pPr>
      <w:r>
        <w:rPr>
          <w:rFonts w:ascii="Arial" w:hAnsi="Arial" w:cs="Arial"/>
          <w:sz w:val="22"/>
          <w:szCs w:val="22"/>
        </w:rPr>
        <w:tab/>
      </w:r>
      <w:r>
        <w:rPr>
          <w:rFonts w:ascii="Arial" w:hAnsi="Arial" w:cs="Arial"/>
          <w:sz w:val="22"/>
          <w:szCs w:val="22"/>
          <w:u w:val="single"/>
        </w:rPr>
        <w:t>Infinity To Infinity Company Limited (“Infinity”)</w:t>
      </w:r>
    </w:p>
    <w:p>
      <w:pPr>
        <w:tabs>
          <w:tab w:val="left" w:pos="1440"/>
          <w:tab w:val="left" w:pos="1800"/>
          <w:tab w:val="left" w:pos="3960"/>
          <w:tab w:val="center" w:pos="6570"/>
          <w:tab w:val="right" w:pos="936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 xml:space="preserve">On 6 May 2022, the Company’s Board of Directors passed a resolution approving an acquisition of ordinary shares in Infinity To Infinity Company Limited, which is principally engaged in operating a business relating to computer information security, amounting to 16,000 shares, equivalent to 40 percent of the total paid-up shares. The Company entered into a share purchase and sale agreement with the sellers, whereby the total purchase price was to be Baht 20 million, and the Company had an option to sell back all shares to the sellers under conditions as specified in the agreement. </w:t>
      </w:r>
    </w:p>
    <w:p>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Pr>
          <w:rFonts w:ascii="Arial" w:hAnsi="Arial" w:cs="Arial"/>
          <w:sz w:val="22"/>
          <w:szCs w:val="22"/>
        </w:rPr>
        <w:t>On 2 June 2022, the Company received a transfer of ordinary shares from the sellers. The fair value as at the acquisition date of the identifiable net assets of Infinity, in proportion to the Company, amounted to Baht 1.8 million.</w:t>
      </w:r>
    </w:p>
    <w:p>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sz w:val="22"/>
          <w:szCs w:val="22"/>
        </w:rPr>
      </w:pPr>
      <w:r>
        <w:rPr>
          <w:rFonts w:ascii="Arial" w:hAnsi="Arial" w:cs="Arial"/>
          <w:b/>
          <w:bCs/>
          <w:sz w:val="22"/>
          <w:szCs w:val="22"/>
        </w:rPr>
        <w:t>7.</w:t>
      </w:r>
      <w:r>
        <w:rPr>
          <w:rFonts w:ascii="Arial" w:hAnsi="Arial" w:cs="Arial"/>
          <w:sz w:val="22"/>
          <w:szCs w:val="22"/>
        </w:rPr>
        <w:tab/>
      </w:r>
      <w:r>
        <w:rPr>
          <w:rFonts w:ascii="Arial" w:hAnsi="Arial" w:cs="Arial"/>
          <w:b/>
          <w:bCs/>
          <w:sz w:val="22"/>
          <w:szCs w:val="22"/>
        </w:rPr>
        <w:t>Property, plant and equipment</w:t>
      </w:r>
    </w:p>
    <w:p>
      <w:pPr>
        <w:pStyle w:val="10"/>
        <w:tabs>
          <w:tab w:val="center" w:pos="6840"/>
          <w:tab w:val="center" w:pos="8280"/>
          <w:tab w:val="clear" w:pos="7200"/>
        </w:tabs>
        <w:ind w:left="547" w:hanging="547"/>
        <w:jc w:val="both"/>
        <w:rPr>
          <w:rFonts w:ascii="Arial" w:hAnsi="Arial" w:cstheme="minorBidi"/>
          <w:sz w:val="22"/>
          <w:szCs w:val="22"/>
        </w:rPr>
      </w:pPr>
      <w:r>
        <w:rPr>
          <w:rFonts w:ascii="Arial" w:hAnsi="Arial" w:cs="Arial"/>
          <w:sz w:val="22"/>
          <w:szCs w:val="22"/>
        </w:rPr>
        <w:tab/>
      </w:r>
      <w:r>
        <w:rPr>
          <w:rFonts w:ascii="Arial" w:hAnsi="Arial" w:cs="Arial"/>
          <w:sz w:val="22"/>
          <w:szCs w:val="22"/>
        </w:rPr>
        <w:t>Movements of the property, plant and equipment account during the</w:t>
      </w:r>
      <w:r>
        <w:rPr>
          <w:rFonts w:ascii="Arial" w:hAnsi="Arial" w:cs="Arial"/>
          <w:sz w:val="22"/>
          <w:szCs w:val="22"/>
          <w:cs/>
        </w:rPr>
        <w:t xml:space="preserve"> </w:t>
      </w:r>
      <w:r>
        <w:rPr>
          <w:rFonts w:ascii="Arial" w:hAnsi="Arial" w:cs="Arial"/>
          <w:sz w:val="22"/>
          <w:szCs w:val="22"/>
        </w:rPr>
        <w:t>nine-month period ended 30 September 2022 are summarised below.</w:t>
      </w:r>
    </w:p>
    <w:tbl>
      <w:tblPr>
        <w:tblStyle w:val="8"/>
        <w:tblW w:w="9270" w:type="dxa"/>
        <w:tblInd w:w="450" w:type="dxa"/>
        <w:shd w:val="clear" w:color="auto" w:fill="FFFFFF" w:themeFill="background1"/>
        <w:tblLayout w:type="fixed"/>
        <w:tblCellMar>
          <w:top w:w="0" w:type="dxa"/>
          <w:left w:w="108" w:type="dxa"/>
          <w:bottom w:w="0" w:type="dxa"/>
          <w:right w:w="108" w:type="dxa"/>
        </w:tblCellMar>
      </w:tblPr>
      <w:tblGrid>
        <w:gridCol w:w="2250"/>
        <w:gridCol w:w="2520"/>
        <w:gridCol w:w="2250"/>
        <w:gridCol w:w="2250"/>
      </w:tblGrid>
      <w:tr>
        <w:tblPrEx>
          <w:shd w:val="clear" w:color="auto" w:fill="FFFFFF" w:themeFill="background1"/>
          <w:tblCellMar>
            <w:top w:w="0" w:type="dxa"/>
            <w:left w:w="108" w:type="dxa"/>
            <w:bottom w:w="0" w:type="dxa"/>
            <w:right w:w="108" w:type="dxa"/>
          </w:tblCellMar>
        </w:tblPrEx>
        <w:trPr>
          <w:trHeight w:val="74" w:hRule="atLeast"/>
        </w:trPr>
        <w:tc>
          <w:tcPr>
            <w:tcW w:w="2250" w:type="dxa"/>
            <w:shd w:val="clear" w:color="auto" w:fill="FFFFFF" w:themeFill="background1"/>
          </w:tcPr>
          <w:p>
            <w:pPr>
              <w:pStyle w:val="20"/>
              <w:spacing w:line="380" w:lineRule="exact"/>
              <w:jc w:val="right"/>
              <w:rPr>
                <w:rFonts w:ascii="Arial" w:hAnsi="Arial" w:cs="Arial"/>
                <w:sz w:val="22"/>
                <w:szCs w:val="22"/>
              </w:rPr>
            </w:pPr>
          </w:p>
        </w:tc>
        <w:tc>
          <w:tcPr>
            <w:tcW w:w="7020" w:type="dxa"/>
            <w:gridSpan w:val="3"/>
            <w:shd w:val="clear" w:color="auto" w:fill="auto"/>
            <w:vAlign w:val="bottom"/>
          </w:tcPr>
          <w:p>
            <w:pPr>
              <w:pStyle w:val="20"/>
              <w:spacing w:line="380" w:lineRule="exact"/>
              <w:jc w:val="right"/>
              <w:rPr>
                <w:rFonts w:ascii="Arial" w:hAnsi="Arial" w:cs="Arial"/>
                <w:sz w:val="22"/>
                <w:szCs w:val="22"/>
              </w:rPr>
            </w:pPr>
            <w:r>
              <w:rPr>
                <w:rFonts w:ascii="Arial" w:hAnsi="Arial" w:cs="Arial"/>
                <w:sz w:val="22"/>
                <w:szCs w:val="22"/>
              </w:rPr>
              <w:t>(Unit: Thousand Baht)</w:t>
            </w:r>
          </w:p>
        </w:tc>
      </w:tr>
      <w:tr>
        <w:tblPrEx>
          <w:shd w:val="clear" w:color="auto" w:fill="FFFFFF" w:themeFill="background1"/>
          <w:tblCellMar>
            <w:top w:w="0" w:type="dxa"/>
            <w:left w:w="108" w:type="dxa"/>
            <w:bottom w:w="0" w:type="dxa"/>
            <w:right w:w="108" w:type="dxa"/>
          </w:tblCellMar>
        </w:tblPrEx>
        <w:trPr>
          <w:trHeight w:val="74" w:hRule="atLeast"/>
        </w:trPr>
        <w:tc>
          <w:tcPr>
            <w:tcW w:w="4770" w:type="dxa"/>
            <w:gridSpan w:val="2"/>
            <w:shd w:val="clear" w:color="auto" w:fill="auto"/>
          </w:tcPr>
          <w:p>
            <w:pPr>
              <w:spacing w:line="380" w:lineRule="exact"/>
              <w:rPr>
                <w:rFonts w:ascii="Arial" w:hAnsi="Arial" w:cs="Arial"/>
                <w:sz w:val="22"/>
                <w:szCs w:val="22"/>
                <w:lang w:val="en-GB"/>
              </w:rPr>
            </w:pPr>
          </w:p>
        </w:tc>
        <w:tc>
          <w:tcPr>
            <w:tcW w:w="2250" w:type="dxa"/>
            <w:shd w:val="clear" w:color="auto" w:fill="FFFFFF" w:themeFill="background1"/>
          </w:tcPr>
          <w:p>
            <w:pPr>
              <w:pBdr>
                <w:bottom w:val="single" w:color="auto" w:sz="4" w:space="1"/>
              </w:pBdr>
              <w:spacing w:line="380" w:lineRule="exact"/>
              <w:jc w:val="center"/>
              <w:rPr>
                <w:rFonts w:ascii="Arial" w:hAnsi="Arial" w:cs="Arial"/>
                <w:sz w:val="22"/>
                <w:szCs w:val="22"/>
              </w:rPr>
            </w:pPr>
            <w:r>
              <w:rPr>
                <w:rFonts w:ascii="Arial" w:hAnsi="Arial" w:cs="Arial"/>
                <w:sz w:val="22"/>
                <w:szCs w:val="22"/>
              </w:rPr>
              <w:t>Consolidated</w:t>
            </w:r>
          </w:p>
          <w:p>
            <w:pPr>
              <w:pBdr>
                <w:bottom w:val="single" w:color="auto" w:sz="4" w:space="1"/>
              </w:pBdr>
              <w:spacing w:line="380" w:lineRule="exact"/>
              <w:rPr>
                <w:rFonts w:ascii="Arial" w:hAnsi="Arial" w:cs="Arial"/>
                <w:sz w:val="22"/>
                <w:szCs w:val="22"/>
              </w:rPr>
            </w:pPr>
            <w:r>
              <w:rPr>
                <w:rFonts w:ascii="Arial" w:hAnsi="Arial" w:cs="Arial"/>
                <w:sz w:val="22"/>
                <w:szCs w:val="22"/>
              </w:rPr>
              <w:t xml:space="preserve">financial statements </w:t>
            </w:r>
          </w:p>
        </w:tc>
        <w:tc>
          <w:tcPr>
            <w:tcW w:w="2250" w:type="dxa"/>
            <w:shd w:val="clear" w:color="auto" w:fill="FFFFFF" w:themeFill="background1"/>
          </w:tcPr>
          <w:p>
            <w:pPr>
              <w:pStyle w:val="6"/>
              <w:pBdr>
                <w:bottom w:val="single" w:color="auto" w:sz="4" w:space="1"/>
              </w:pBdr>
              <w:spacing w:line="380" w:lineRule="exact"/>
              <w:jc w:val="center"/>
              <w:rPr>
                <w:rFonts w:ascii="Arial" w:hAnsi="Arial" w:cs="Arial"/>
                <w:b w:val="0"/>
                <w:bCs w:val="0"/>
                <w:sz w:val="22"/>
                <w:szCs w:val="22"/>
                <w:u w:val="none"/>
              </w:rPr>
            </w:pPr>
            <w:r>
              <w:rPr>
                <w:rFonts w:ascii="Arial" w:hAnsi="Arial" w:cs="Arial"/>
                <w:b w:val="0"/>
                <w:bCs w:val="0"/>
                <w:sz w:val="22"/>
                <w:szCs w:val="22"/>
                <w:u w:val="none"/>
              </w:rPr>
              <w:t>Separate</w:t>
            </w:r>
          </w:p>
          <w:p>
            <w:pPr>
              <w:pStyle w:val="6"/>
              <w:pBdr>
                <w:bottom w:val="single" w:color="auto" w:sz="4" w:space="1"/>
              </w:pBdr>
              <w:spacing w:line="380" w:lineRule="exact"/>
              <w:jc w:val="left"/>
              <w:rPr>
                <w:rFonts w:ascii="Arial" w:hAnsi="Arial" w:cs="Arial"/>
                <w:b w:val="0"/>
                <w:bCs w:val="0"/>
                <w:sz w:val="22"/>
                <w:szCs w:val="22"/>
                <w:u w:val="none"/>
              </w:rPr>
            </w:pPr>
            <w:r>
              <w:rPr>
                <w:rFonts w:ascii="Arial" w:hAnsi="Arial" w:cs="Arial"/>
                <w:b w:val="0"/>
                <w:bCs w:val="0"/>
                <w:sz w:val="22"/>
                <w:szCs w:val="22"/>
                <w:u w:val="none"/>
              </w:rPr>
              <w:t>financial statements</w:t>
            </w:r>
          </w:p>
        </w:tc>
      </w:tr>
      <w:tr>
        <w:tblPrEx>
          <w:shd w:val="clear" w:color="auto" w:fill="FFFFFF" w:themeFill="background1"/>
          <w:tblCellMar>
            <w:top w:w="0" w:type="dxa"/>
            <w:left w:w="108" w:type="dxa"/>
            <w:bottom w:w="0" w:type="dxa"/>
            <w:right w:w="108" w:type="dxa"/>
          </w:tblCellMar>
        </w:tblPrEx>
        <w:trPr>
          <w:trHeight w:val="74" w:hRule="atLeast"/>
        </w:trPr>
        <w:tc>
          <w:tcPr>
            <w:tcW w:w="4770" w:type="dxa"/>
            <w:gridSpan w:val="2"/>
            <w:shd w:val="clear" w:color="auto" w:fill="auto"/>
          </w:tcPr>
          <w:p>
            <w:pPr>
              <w:spacing w:line="380" w:lineRule="exact"/>
              <w:rPr>
                <w:rFonts w:ascii="Arial" w:hAnsi="Arial" w:cs="Arial"/>
                <w:sz w:val="22"/>
                <w:szCs w:val="22"/>
              </w:rPr>
            </w:pPr>
            <w:r>
              <w:rPr>
                <w:rFonts w:ascii="Arial" w:hAnsi="Arial" w:cs="Arial"/>
                <w:sz w:val="22"/>
                <w:szCs w:val="22"/>
              </w:rPr>
              <w:t>Net book value as at 1 January 2022</w:t>
            </w:r>
          </w:p>
        </w:tc>
        <w:tc>
          <w:tcPr>
            <w:tcW w:w="2250" w:type="dxa"/>
            <w:shd w:val="clear" w:color="auto" w:fill="FFFFFF" w:themeFill="background1"/>
          </w:tcPr>
          <w:p>
            <w:pPr>
              <w:tabs>
                <w:tab w:val="decimal" w:pos="1599"/>
              </w:tabs>
              <w:spacing w:line="380" w:lineRule="exact"/>
              <w:rPr>
                <w:rFonts w:ascii="Arial" w:hAnsi="Arial" w:cs="Browallia New"/>
                <w:sz w:val="22"/>
                <w:szCs w:val="22"/>
                <w:lang w:val="en-GB"/>
              </w:rPr>
            </w:pPr>
            <w:r>
              <w:rPr>
                <w:rFonts w:ascii="Arial" w:hAnsi="Arial" w:cs="Browallia New"/>
                <w:sz w:val="22"/>
                <w:szCs w:val="22"/>
                <w:lang w:val="en-GB"/>
              </w:rPr>
              <w:t>46,356</w:t>
            </w:r>
          </w:p>
        </w:tc>
        <w:tc>
          <w:tcPr>
            <w:tcW w:w="2250" w:type="dxa"/>
            <w:shd w:val="clear" w:color="auto" w:fill="auto"/>
            <w:vAlign w:val="bottom"/>
          </w:tcPr>
          <w:p>
            <w:pPr>
              <w:tabs>
                <w:tab w:val="decimal" w:pos="1599"/>
              </w:tabs>
              <w:spacing w:line="380" w:lineRule="exact"/>
              <w:rPr>
                <w:rFonts w:ascii="Arial" w:hAnsi="Arial" w:cs="Browallia New"/>
                <w:sz w:val="22"/>
                <w:szCs w:val="22"/>
                <w:lang w:val="en-GB"/>
              </w:rPr>
            </w:pPr>
            <w:r>
              <w:rPr>
                <w:rFonts w:ascii="Arial" w:hAnsi="Arial" w:cs="Browallia New"/>
                <w:sz w:val="22"/>
                <w:szCs w:val="22"/>
                <w:lang w:val="en-GB"/>
              </w:rPr>
              <w:t>46,356</w:t>
            </w:r>
          </w:p>
        </w:tc>
      </w:tr>
      <w:tr>
        <w:tblPrEx>
          <w:shd w:val="clear" w:color="auto" w:fill="FFFFFF" w:themeFill="background1"/>
          <w:tblCellMar>
            <w:top w:w="0" w:type="dxa"/>
            <w:left w:w="108" w:type="dxa"/>
            <w:bottom w:w="0" w:type="dxa"/>
            <w:right w:w="108" w:type="dxa"/>
          </w:tblCellMar>
        </w:tblPrEx>
        <w:trPr>
          <w:trHeight w:val="70" w:hRule="atLeast"/>
        </w:trPr>
        <w:tc>
          <w:tcPr>
            <w:tcW w:w="4770" w:type="dxa"/>
            <w:gridSpan w:val="2"/>
            <w:shd w:val="clear" w:color="auto" w:fill="FFFFFF" w:themeFill="background1"/>
            <w:vAlign w:val="bottom"/>
          </w:tcPr>
          <w:p>
            <w:pPr>
              <w:spacing w:line="380" w:lineRule="exact"/>
              <w:rPr>
                <w:rFonts w:ascii="Arial" w:hAnsi="Arial" w:cs="Arial"/>
                <w:sz w:val="22"/>
                <w:szCs w:val="22"/>
                <w:lang w:val="en-GB"/>
              </w:rPr>
            </w:pPr>
            <w:r>
              <w:rPr>
                <w:rFonts w:ascii="Arial" w:hAnsi="Arial" w:cs="Arial"/>
                <w:sz w:val="22"/>
                <w:szCs w:val="22"/>
                <w:lang w:val="en-GB"/>
              </w:rPr>
              <w:t>Acquisitions during the period - at cost</w:t>
            </w:r>
          </w:p>
        </w:tc>
        <w:tc>
          <w:tcPr>
            <w:tcW w:w="2250" w:type="dxa"/>
            <w:shd w:val="clear" w:color="auto" w:fill="FFFFFF" w:themeFill="background1"/>
          </w:tcPr>
          <w:p>
            <w:pPr>
              <w:tabs>
                <w:tab w:val="decimal" w:pos="1599"/>
              </w:tabs>
              <w:spacing w:line="380" w:lineRule="exact"/>
              <w:rPr>
                <w:rFonts w:ascii="Arial" w:hAnsi="Arial" w:cs="Arial"/>
                <w:sz w:val="22"/>
                <w:szCs w:val="22"/>
                <w:cs/>
              </w:rPr>
            </w:pPr>
            <w:r>
              <w:rPr>
                <w:rFonts w:ascii="Arial" w:hAnsi="Arial" w:cs="Arial"/>
                <w:sz w:val="22"/>
                <w:szCs w:val="22"/>
                <w:lang w:val="en-GB"/>
              </w:rPr>
              <w:t>261</w:t>
            </w:r>
          </w:p>
        </w:tc>
        <w:tc>
          <w:tcPr>
            <w:tcW w:w="2250" w:type="dxa"/>
            <w:shd w:val="clear" w:color="auto" w:fill="auto"/>
          </w:tcPr>
          <w:p>
            <w:pPr>
              <w:tabs>
                <w:tab w:val="decimal" w:pos="1599"/>
              </w:tabs>
              <w:spacing w:line="380" w:lineRule="exact"/>
              <w:rPr>
                <w:rFonts w:ascii="Arial" w:hAnsi="Arial" w:cs="Arial"/>
                <w:sz w:val="22"/>
                <w:szCs w:val="22"/>
                <w:cs/>
                <w:lang w:val="en-GB"/>
              </w:rPr>
            </w:pPr>
            <w:r>
              <w:rPr>
                <w:rFonts w:ascii="Arial" w:hAnsi="Arial" w:cs="Arial"/>
                <w:sz w:val="22"/>
                <w:szCs w:val="22"/>
                <w:lang w:val="en-GB"/>
              </w:rPr>
              <w:t>235</w:t>
            </w:r>
          </w:p>
        </w:tc>
      </w:tr>
      <w:tr>
        <w:tblPrEx>
          <w:shd w:val="clear" w:color="auto" w:fill="FFFFFF" w:themeFill="background1"/>
          <w:tblCellMar>
            <w:top w:w="0" w:type="dxa"/>
            <w:left w:w="108" w:type="dxa"/>
            <w:bottom w:w="0" w:type="dxa"/>
            <w:right w:w="108" w:type="dxa"/>
          </w:tblCellMar>
        </w:tblPrEx>
        <w:trPr>
          <w:trHeight w:val="70" w:hRule="atLeast"/>
        </w:trPr>
        <w:tc>
          <w:tcPr>
            <w:tcW w:w="4770" w:type="dxa"/>
            <w:gridSpan w:val="2"/>
            <w:shd w:val="clear" w:color="auto" w:fill="FFFFFF" w:themeFill="background1"/>
            <w:vAlign w:val="bottom"/>
          </w:tcPr>
          <w:p>
            <w:pPr>
              <w:spacing w:line="380" w:lineRule="exact"/>
              <w:rPr>
                <w:rFonts w:ascii="Arial" w:hAnsi="Arial" w:cs="Arial"/>
                <w:sz w:val="22"/>
                <w:szCs w:val="22"/>
                <w:lang w:val="en-GB"/>
              </w:rPr>
            </w:pPr>
            <w:r>
              <w:rPr>
                <w:rFonts w:ascii="Arial" w:hAnsi="Arial" w:cs="Arial"/>
                <w:sz w:val="22"/>
                <w:szCs w:val="22"/>
                <w:lang w:val="en-GB"/>
              </w:rPr>
              <w:t>Increase from acquisition of subsidiary</w:t>
            </w:r>
          </w:p>
        </w:tc>
        <w:tc>
          <w:tcPr>
            <w:tcW w:w="2250" w:type="dxa"/>
            <w:shd w:val="clear" w:color="auto" w:fill="FFFFFF" w:themeFill="background1"/>
          </w:tcPr>
          <w:p>
            <w:pPr>
              <w:tabs>
                <w:tab w:val="decimal" w:pos="1599"/>
              </w:tabs>
              <w:spacing w:line="380" w:lineRule="exact"/>
              <w:rPr>
                <w:rFonts w:ascii="Arial" w:hAnsi="Arial" w:cs="Arial"/>
                <w:sz w:val="22"/>
                <w:szCs w:val="22"/>
                <w:cs/>
                <w:lang w:val="en-GB"/>
              </w:rPr>
            </w:pPr>
            <w:r>
              <w:rPr>
                <w:rFonts w:ascii="Arial" w:hAnsi="Arial" w:cs="Arial"/>
                <w:sz w:val="22"/>
                <w:szCs w:val="22"/>
                <w:lang w:val="en-GB"/>
              </w:rPr>
              <w:t>21</w:t>
            </w:r>
          </w:p>
        </w:tc>
        <w:tc>
          <w:tcPr>
            <w:tcW w:w="2250" w:type="dxa"/>
            <w:shd w:val="clear" w:color="auto" w:fill="auto"/>
          </w:tcPr>
          <w:p>
            <w:pPr>
              <w:tabs>
                <w:tab w:val="decimal" w:pos="1599"/>
              </w:tabs>
              <w:spacing w:line="380" w:lineRule="exact"/>
              <w:rPr>
                <w:rFonts w:ascii="Arial" w:hAnsi="Arial" w:cs="Arial"/>
                <w:sz w:val="22"/>
                <w:szCs w:val="22"/>
                <w:cs/>
                <w:lang w:val="en-GB"/>
              </w:rPr>
            </w:pPr>
            <w:r>
              <w:rPr>
                <w:rFonts w:ascii="Arial" w:hAnsi="Arial" w:cs="Arial"/>
                <w:sz w:val="22"/>
                <w:szCs w:val="22"/>
                <w:lang w:val="en-GB"/>
              </w:rPr>
              <w:t>-</w:t>
            </w:r>
          </w:p>
        </w:tc>
      </w:tr>
      <w:tr>
        <w:tblPrEx>
          <w:shd w:val="clear" w:color="auto" w:fill="FFFFFF" w:themeFill="background1"/>
          <w:tblCellMar>
            <w:top w:w="0" w:type="dxa"/>
            <w:left w:w="108" w:type="dxa"/>
            <w:bottom w:w="0" w:type="dxa"/>
            <w:right w:w="108" w:type="dxa"/>
          </w:tblCellMar>
        </w:tblPrEx>
        <w:trPr>
          <w:trHeight w:val="70" w:hRule="atLeast"/>
        </w:trPr>
        <w:tc>
          <w:tcPr>
            <w:tcW w:w="4770" w:type="dxa"/>
            <w:gridSpan w:val="2"/>
            <w:shd w:val="clear" w:color="auto" w:fill="FFFFFF" w:themeFill="background1"/>
            <w:vAlign w:val="bottom"/>
          </w:tcPr>
          <w:p>
            <w:pPr>
              <w:spacing w:line="380" w:lineRule="exact"/>
              <w:rPr>
                <w:rFonts w:ascii="Arial" w:hAnsi="Arial" w:cs="Arial"/>
                <w:sz w:val="22"/>
                <w:szCs w:val="22"/>
                <w:lang w:val="en-GB"/>
              </w:rPr>
            </w:pPr>
            <w:r>
              <w:rPr>
                <w:rFonts w:ascii="Arial" w:hAnsi="Arial" w:cs="Arial"/>
                <w:sz w:val="22"/>
                <w:szCs w:val="22"/>
              </w:rPr>
              <w:t>Depreciation for the period</w:t>
            </w:r>
          </w:p>
        </w:tc>
        <w:tc>
          <w:tcPr>
            <w:tcW w:w="2250" w:type="dxa"/>
            <w:shd w:val="clear" w:color="auto" w:fill="FFFFFF" w:themeFill="background1"/>
          </w:tcPr>
          <w:p>
            <w:pPr>
              <w:pBdr>
                <w:bottom w:val="single" w:color="auto" w:sz="4" w:space="1"/>
              </w:pBdr>
              <w:tabs>
                <w:tab w:val="decimal" w:pos="1599"/>
              </w:tabs>
              <w:spacing w:line="380" w:lineRule="exact"/>
              <w:rPr>
                <w:rFonts w:ascii="Arial" w:hAnsi="Arial" w:cs="Arial"/>
                <w:sz w:val="22"/>
                <w:szCs w:val="22"/>
                <w:cs/>
                <w:lang w:val="en-GB"/>
              </w:rPr>
            </w:pPr>
            <w:r>
              <w:rPr>
                <w:rFonts w:ascii="Arial" w:hAnsi="Arial" w:cs="Arial"/>
                <w:sz w:val="22"/>
                <w:szCs w:val="22"/>
                <w:lang w:val="en-GB"/>
              </w:rPr>
              <w:t>(1,149)</w:t>
            </w:r>
          </w:p>
        </w:tc>
        <w:tc>
          <w:tcPr>
            <w:tcW w:w="2250" w:type="dxa"/>
            <w:shd w:val="clear" w:color="auto" w:fill="auto"/>
          </w:tcPr>
          <w:p>
            <w:pPr>
              <w:pBdr>
                <w:bottom w:val="single" w:color="auto" w:sz="4" w:space="1"/>
              </w:pBdr>
              <w:tabs>
                <w:tab w:val="decimal" w:pos="1599"/>
              </w:tabs>
              <w:spacing w:line="380" w:lineRule="exact"/>
              <w:rPr>
                <w:rFonts w:ascii="Arial" w:hAnsi="Arial" w:cs="Arial"/>
                <w:sz w:val="22"/>
                <w:szCs w:val="22"/>
                <w:cs/>
                <w:lang w:val="en-GB"/>
              </w:rPr>
            </w:pPr>
            <w:r>
              <w:rPr>
                <w:rFonts w:ascii="Arial" w:hAnsi="Arial" w:cs="Arial"/>
                <w:sz w:val="22"/>
                <w:szCs w:val="22"/>
                <w:lang w:val="en-GB"/>
              </w:rPr>
              <w:t>(1,147)</w:t>
            </w:r>
          </w:p>
        </w:tc>
      </w:tr>
      <w:tr>
        <w:tblPrEx>
          <w:shd w:val="clear" w:color="auto" w:fill="FFFFFF" w:themeFill="background1"/>
          <w:tblCellMar>
            <w:top w:w="0" w:type="dxa"/>
            <w:left w:w="108" w:type="dxa"/>
            <w:bottom w:w="0" w:type="dxa"/>
            <w:right w:w="108" w:type="dxa"/>
          </w:tblCellMar>
        </w:tblPrEx>
        <w:trPr>
          <w:trHeight w:val="403" w:hRule="atLeast"/>
        </w:trPr>
        <w:tc>
          <w:tcPr>
            <w:tcW w:w="4770" w:type="dxa"/>
            <w:gridSpan w:val="2"/>
            <w:shd w:val="clear" w:color="auto" w:fill="FFFFFF" w:themeFill="background1"/>
            <w:vAlign w:val="bottom"/>
          </w:tcPr>
          <w:p>
            <w:pPr>
              <w:spacing w:line="380" w:lineRule="exact"/>
              <w:rPr>
                <w:rFonts w:ascii="Arial" w:hAnsi="Arial" w:cs="Arial"/>
                <w:sz w:val="22"/>
                <w:szCs w:val="22"/>
                <w:lang w:val="en-GB"/>
              </w:rPr>
            </w:pPr>
            <w:r>
              <w:rPr>
                <w:rFonts w:ascii="Arial" w:hAnsi="Arial" w:cs="Arial"/>
                <w:sz w:val="22"/>
                <w:szCs w:val="22"/>
              </w:rPr>
              <w:t>Net book value as at 30 September 2022</w:t>
            </w:r>
          </w:p>
        </w:tc>
        <w:tc>
          <w:tcPr>
            <w:tcW w:w="2250" w:type="dxa"/>
            <w:shd w:val="clear" w:color="auto" w:fill="FFFFFF" w:themeFill="background1"/>
          </w:tcPr>
          <w:p>
            <w:pPr>
              <w:pBdr>
                <w:bottom w:val="double" w:color="auto" w:sz="4" w:space="1"/>
              </w:pBdr>
              <w:tabs>
                <w:tab w:val="decimal" w:pos="1599"/>
              </w:tabs>
              <w:spacing w:line="380" w:lineRule="exact"/>
              <w:rPr>
                <w:rFonts w:ascii="Arial" w:hAnsi="Arial" w:cstheme="minorBidi"/>
                <w:sz w:val="22"/>
                <w:szCs w:val="22"/>
                <w:cs/>
                <w:lang w:val="en-GB"/>
              </w:rPr>
            </w:pPr>
            <w:r>
              <w:rPr>
                <w:rFonts w:ascii="Arial" w:hAnsi="Arial" w:cstheme="minorBidi"/>
                <w:sz w:val="22"/>
                <w:szCs w:val="22"/>
                <w:lang w:val="en-GB"/>
              </w:rPr>
              <w:t>45,489</w:t>
            </w:r>
          </w:p>
        </w:tc>
        <w:tc>
          <w:tcPr>
            <w:tcW w:w="2250" w:type="dxa"/>
            <w:shd w:val="clear" w:color="auto" w:fill="FFFFFF" w:themeFill="background1"/>
          </w:tcPr>
          <w:p>
            <w:pPr>
              <w:pBdr>
                <w:bottom w:val="double" w:color="auto" w:sz="4" w:space="1"/>
              </w:pBdr>
              <w:tabs>
                <w:tab w:val="decimal" w:pos="1599"/>
              </w:tabs>
              <w:spacing w:line="380" w:lineRule="exact"/>
              <w:rPr>
                <w:rFonts w:ascii="Arial" w:hAnsi="Arial" w:cstheme="minorBidi"/>
                <w:sz w:val="22"/>
                <w:szCs w:val="22"/>
                <w:cs/>
                <w:lang w:val="en-GB"/>
              </w:rPr>
            </w:pPr>
            <w:r>
              <w:rPr>
                <w:rFonts w:ascii="Arial" w:hAnsi="Arial" w:cstheme="minorBidi"/>
                <w:sz w:val="22"/>
                <w:szCs w:val="22"/>
                <w:lang w:val="en-GB"/>
              </w:rPr>
              <w:t>45,444</w:t>
            </w:r>
          </w:p>
        </w:tc>
      </w:tr>
    </w:tbl>
    <w:p>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8.</w:t>
      </w:r>
      <w:r>
        <w:rPr>
          <w:rFonts w:ascii="Arial" w:hAnsi="Arial" w:cs="Arial"/>
          <w:b/>
          <w:bCs/>
          <w:sz w:val="22"/>
          <w:szCs w:val="22"/>
        </w:rPr>
        <w:tab/>
      </w:r>
      <w:r>
        <w:rPr>
          <w:rFonts w:ascii="Arial" w:hAnsi="Arial" w:cs="Arial"/>
          <w:b/>
          <w:bCs/>
          <w:sz w:val="22"/>
          <w:szCs w:val="22"/>
        </w:rPr>
        <w:t xml:space="preserve">Intangible assets </w:t>
      </w:r>
    </w:p>
    <w:p>
      <w:pPr>
        <w:pStyle w:val="10"/>
        <w:tabs>
          <w:tab w:val="center" w:pos="6840"/>
          <w:tab w:val="center" w:pos="8280"/>
          <w:tab w:val="clear" w:pos="7200"/>
        </w:tabs>
        <w:ind w:left="547" w:hanging="547"/>
        <w:jc w:val="both"/>
        <w:rPr>
          <w:rFonts w:ascii="Arial" w:hAnsi="Arial" w:cstheme="minorBidi"/>
          <w:sz w:val="22"/>
          <w:szCs w:val="22"/>
        </w:rPr>
      </w:pPr>
      <w:r>
        <w:rPr>
          <w:rFonts w:ascii="Arial" w:hAnsi="Arial" w:cs="Arial"/>
          <w:sz w:val="22"/>
          <w:szCs w:val="22"/>
        </w:rPr>
        <w:tab/>
      </w:r>
      <w:r>
        <w:rPr>
          <w:rFonts w:ascii="Arial" w:hAnsi="Arial" w:cs="Arial"/>
          <w:sz w:val="22"/>
          <w:szCs w:val="22"/>
        </w:rPr>
        <w:t>Movements of the intangible asset account during the</w:t>
      </w:r>
      <w:r>
        <w:rPr>
          <w:rFonts w:ascii="Arial" w:hAnsi="Arial" w:cs="Arial"/>
          <w:sz w:val="22"/>
          <w:szCs w:val="22"/>
          <w:cs/>
        </w:rPr>
        <w:t xml:space="preserve"> </w:t>
      </w:r>
      <w:r>
        <w:rPr>
          <w:rFonts w:ascii="Arial" w:hAnsi="Arial" w:cs="Arial"/>
          <w:sz w:val="22"/>
          <w:szCs w:val="22"/>
        </w:rPr>
        <w:t>nine-month period ended 30 September 2022 are summarised below.</w:t>
      </w:r>
    </w:p>
    <w:tbl>
      <w:tblPr>
        <w:tblStyle w:val="8"/>
        <w:tblW w:w="9270" w:type="dxa"/>
        <w:tblInd w:w="450" w:type="dxa"/>
        <w:shd w:val="clear" w:color="auto" w:fill="FFFFFF" w:themeFill="background1"/>
        <w:tblLayout w:type="fixed"/>
        <w:tblCellMar>
          <w:top w:w="0" w:type="dxa"/>
          <w:left w:w="108" w:type="dxa"/>
          <w:bottom w:w="0" w:type="dxa"/>
          <w:right w:w="108" w:type="dxa"/>
        </w:tblCellMar>
      </w:tblPr>
      <w:tblGrid>
        <w:gridCol w:w="2250"/>
        <w:gridCol w:w="2520"/>
        <w:gridCol w:w="2250"/>
        <w:gridCol w:w="2250"/>
      </w:tblGrid>
      <w:tr>
        <w:tblPrEx>
          <w:shd w:val="clear" w:color="auto" w:fill="FFFFFF" w:themeFill="background1"/>
          <w:tblCellMar>
            <w:top w:w="0" w:type="dxa"/>
            <w:left w:w="108" w:type="dxa"/>
            <w:bottom w:w="0" w:type="dxa"/>
            <w:right w:w="108" w:type="dxa"/>
          </w:tblCellMar>
        </w:tblPrEx>
        <w:trPr>
          <w:trHeight w:val="74" w:hRule="atLeast"/>
        </w:trPr>
        <w:tc>
          <w:tcPr>
            <w:tcW w:w="2250" w:type="dxa"/>
            <w:shd w:val="clear" w:color="auto" w:fill="FFFFFF" w:themeFill="background1"/>
          </w:tcPr>
          <w:p>
            <w:pPr>
              <w:pStyle w:val="20"/>
              <w:spacing w:line="380" w:lineRule="exact"/>
              <w:jc w:val="right"/>
              <w:rPr>
                <w:rFonts w:ascii="Arial" w:hAnsi="Arial" w:cs="Arial"/>
                <w:sz w:val="22"/>
                <w:szCs w:val="22"/>
              </w:rPr>
            </w:pPr>
          </w:p>
        </w:tc>
        <w:tc>
          <w:tcPr>
            <w:tcW w:w="7020" w:type="dxa"/>
            <w:gridSpan w:val="3"/>
            <w:shd w:val="clear" w:color="auto" w:fill="auto"/>
            <w:vAlign w:val="bottom"/>
          </w:tcPr>
          <w:p>
            <w:pPr>
              <w:pStyle w:val="20"/>
              <w:spacing w:line="380" w:lineRule="exact"/>
              <w:jc w:val="right"/>
              <w:rPr>
                <w:rFonts w:ascii="Arial" w:hAnsi="Arial" w:cs="Arial"/>
                <w:sz w:val="22"/>
                <w:szCs w:val="22"/>
              </w:rPr>
            </w:pPr>
            <w:r>
              <w:rPr>
                <w:rFonts w:ascii="Arial" w:hAnsi="Arial" w:cs="Arial"/>
                <w:sz w:val="22"/>
                <w:szCs w:val="22"/>
              </w:rPr>
              <w:t>(Unit: Thousand Baht)</w:t>
            </w:r>
          </w:p>
        </w:tc>
      </w:tr>
      <w:tr>
        <w:tblPrEx>
          <w:shd w:val="clear" w:color="auto" w:fill="FFFFFF" w:themeFill="background1"/>
          <w:tblCellMar>
            <w:top w:w="0" w:type="dxa"/>
            <w:left w:w="108" w:type="dxa"/>
            <w:bottom w:w="0" w:type="dxa"/>
            <w:right w:w="108" w:type="dxa"/>
          </w:tblCellMar>
        </w:tblPrEx>
        <w:trPr>
          <w:trHeight w:val="70" w:hRule="atLeast"/>
        </w:trPr>
        <w:tc>
          <w:tcPr>
            <w:tcW w:w="4770" w:type="dxa"/>
            <w:gridSpan w:val="2"/>
            <w:shd w:val="clear" w:color="auto" w:fill="auto"/>
          </w:tcPr>
          <w:p>
            <w:pPr>
              <w:spacing w:line="380" w:lineRule="exact"/>
              <w:ind w:hanging="22"/>
              <w:rPr>
                <w:rFonts w:ascii="Arial" w:hAnsi="Arial" w:cs="Arial"/>
                <w:sz w:val="22"/>
                <w:szCs w:val="22"/>
                <w:lang w:val="en-GB"/>
              </w:rPr>
            </w:pPr>
          </w:p>
        </w:tc>
        <w:tc>
          <w:tcPr>
            <w:tcW w:w="2250" w:type="dxa"/>
            <w:shd w:val="clear" w:color="auto" w:fill="FFFFFF" w:themeFill="background1"/>
          </w:tcPr>
          <w:p>
            <w:pPr>
              <w:pBdr>
                <w:bottom w:val="single" w:color="auto" w:sz="4" w:space="1"/>
              </w:pBdr>
              <w:spacing w:line="380" w:lineRule="exact"/>
              <w:jc w:val="center"/>
              <w:rPr>
                <w:rFonts w:ascii="Arial" w:hAnsi="Arial" w:cs="Arial"/>
                <w:sz w:val="22"/>
                <w:szCs w:val="22"/>
              </w:rPr>
            </w:pPr>
            <w:r>
              <w:rPr>
                <w:rFonts w:ascii="Arial" w:hAnsi="Arial" w:cs="Arial"/>
                <w:sz w:val="22"/>
                <w:szCs w:val="22"/>
              </w:rPr>
              <w:t>Consolidated</w:t>
            </w:r>
          </w:p>
          <w:p>
            <w:pPr>
              <w:pBdr>
                <w:bottom w:val="single" w:color="auto" w:sz="4" w:space="1"/>
              </w:pBdr>
              <w:spacing w:line="380" w:lineRule="exact"/>
              <w:jc w:val="center"/>
              <w:rPr>
                <w:rFonts w:ascii="Arial" w:hAnsi="Arial" w:cs="Browallia New"/>
                <w:sz w:val="22"/>
                <w:szCs w:val="22"/>
                <w:lang w:val="en-GB"/>
              </w:rPr>
            </w:pPr>
            <w:r>
              <w:rPr>
                <w:rFonts w:ascii="Arial" w:hAnsi="Arial" w:cs="Arial"/>
                <w:sz w:val="22"/>
                <w:szCs w:val="22"/>
              </w:rPr>
              <w:t xml:space="preserve">financial statements </w:t>
            </w:r>
          </w:p>
        </w:tc>
        <w:tc>
          <w:tcPr>
            <w:tcW w:w="2250" w:type="dxa"/>
            <w:shd w:val="clear" w:color="auto" w:fill="FFFFFF" w:themeFill="background1"/>
          </w:tcPr>
          <w:p>
            <w:pPr>
              <w:pStyle w:val="6"/>
              <w:pBdr>
                <w:bottom w:val="single" w:color="auto" w:sz="4" w:space="1"/>
              </w:pBdr>
              <w:spacing w:line="380" w:lineRule="exact"/>
              <w:jc w:val="center"/>
              <w:rPr>
                <w:rFonts w:ascii="Arial" w:hAnsi="Arial" w:cs="Arial"/>
                <w:b w:val="0"/>
                <w:bCs w:val="0"/>
                <w:sz w:val="22"/>
                <w:szCs w:val="22"/>
                <w:u w:val="none"/>
              </w:rPr>
            </w:pPr>
            <w:r>
              <w:rPr>
                <w:rFonts w:ascii="Arial" w:hAnsi="Arial" w:cs="Arial"/>
                <w:b w:val="0"/>
                <w:bCs w:val="0"/>
                <w:sz w:val="22"/>
                <w:szCs w:val="22"/>
                <w:u w:val="none"/>
              </w:rPr>
              <w:t>Separate</w:t>
            </w:r>
          </w:p>
          <w:p>
            <w:pPr>
              <w:pStyle w:val="6"/>
              <w:pBdr>
                <w:bottom w:val="single" w:color="auto" w:sz="4" w:space="1"/>
              </w:pBdr>
              <w:spacing w:line="380" w:lineRule="exact"/>
              <w:jc w:val="center"/>
              <w:rPr>
                <w:rFonts w:ascii="Arial" w:hAnsi="Arial" w:cs="Browallia New"/>
                <w:sz w:val="22"/>
                <w:szCs w:val="22"/>
              </w:rPr>
            </w:pPr>
            <w:r>
              <w:rPr>
                <w:rFonts w:ascii="Arial" w:hAnsi="Arial" w:cs="Arial"/>
                <w:b w:val="0"/>
                <w:bCs w:val="0"/>
                <w:sz w:val="22"/>
                <w:szCs w:val="22"/>
                <w:u w:val="none"/>
              </w:rPr>
              <w:t>financial statements</w:t>
            </w:r>
          </w:p>
        </w:tc>
      </w:tr>
      <w:tr>
        <w:tblPrEx>
          <w:shd w:val="clear" w:color="auto" w:fill="FFFFFF" w:themeFill="background1"/>
          <w:tblCellMar>
            <w:top w:w="0" w:type="dxa"/>
            <w:left w:w="108" w:type="dxa"/>
            <w:bottom w:w="0" w:type="dxa"/>
            <w:right w:w="108" w:type="dxa"/>
          </w:tblCellMar>
        </w:tblPrEx>
        <w:trPr>
          <w:trHeight w:val="70" w:hRule="atLeast"/>
        </w:trPr>
        <w:tc>
          <w:tcPr>
            <w:tcW w:w="4770" w:type="dxa"/>
            <w:gridSpan w:val="2"/>
            <w:shd w:val="clear" w:color="auto" w:fill="auto"/>
          </w:tcPr>
          <w:p>
            <w:pPr>
              <w:spacing w:line="380" w:lineRule="exact"/>
              <w:ind w:hanging="22"/>
              <w:rPr>
                <w:rFonts w:ascii="Arial" w:hAnsi="Arial" w:cs="Arial"/>
                <w:sz w:val="22"/>
                <w:szCs w:val="22"/>
              </w:rPr>
            </w:pPr>
            <w:r>
              <w:rPr>
                <w:rFonts w:ascii="Arial" w:hAnsi="Arial" w:cs="Arial"/>
                <w:sz w:val="22"/>
                <w:szCs w:val="22"/>
              </w:rPr>
              <w:t>Net book value as at 1 January 2022</w:t>
            </w:r>
          </w:p>
        </w:tc>
        <w:tc>
          <w:tcPr>
            <w:tcW w:w="2250" w:type="dxa"/>
            <w:shd w:val="clear" w:color="auto" w:fill="FFFFFF" w:themeFill="background1"/>
          </w:tcPr>
          <w:p>
            <w:pPr>
              <w:tabs>
                <w:tab w:val="decimal" w:pos="1599"/>
              </w:tabs>
              <w:spacing w:line="380" w:lineRule="exact"/>
              <w:rPr>
                <w:rFonts w:ascii="Arial" w:hAnsi="Arial" w:cs="Browallia New"/>
                <w:sz w:val="22"/>
                <w:szCs w:val="22"/>
                <w:lang w:val="en-GB"/>
              </w:rPr>
            </w:pPr>
            <w:r>
              <w:rPr>
                <w:rFonts w:ascii="Arial" w:hAnsi="Arial" w:cs="Browallia New"/>
                <w:sz w:val="22"/>
                <w:szCs w:val="22"/>
                <w:lang w:val="en-GB"/>
              </w:rPr>
              <w:t>48,191</w:t>
            </w:r>
          </w:p>
        </w:tc>
        <w:tc>
          <w:tcPr>
            <w:tcW w:w="2250" w:type="dxa"/>
            <w:shd w:val="clear" w:color="auto" w:fill="auto"/>
            <w:vAlign w:val="bottom"/>
          </w:tcPr>
          <w:p>
            <w:pPr>
              <w:tabs>
                <w:tab w:val="decimal" w:pos="1599"/>
              </w:tabs>
              <w:spacing w:line="380" w:lineRule="exact"/>
              <w:rPr>
                <w:rFonts w:ascii="Arial" w:hAnsi="Arial" w:cs="Browallia New"/>
                <w:sz w:val="22"/>
                <w:szCs w:val="22"/>
                <w:lang w:val="en-GB"/>
              </w:rPr>
            </w:pPr>
            <w:r>
              <w:rPr>
                <w:rFonts w:ascii="Arial" w:hAnsi="Arial" w:cs="Browallia New"/>
                <w:sz w:val="22"/>
                <w:szCs w:val="22"/>
                <w:lang w:val="en-GB"/>
              </w:rPr>
              <w:t>48,191</w:t>
            </w:r>
          </w:p>
        </w:tc>
      </w:tr>
      <w:tr>
        <w:tblPrEx>
          <w:tblCellMar>
            <w:top w:w="0" w:type="dxa"/>
            <w:left w:w="108" w:type="dxa"/>
            <w:bottom w:w="0" w:type="dxa"/>
            <w:right w:w="108" w:type="dxa"/>
          </w:tblCellMar>
        </w:tblPrEx>
        <w:trPr>
          <w:trHeight w:val="70" w:hRule="atLeast"/>
        </w:trPr>
        <w:tc>
          <w:tcPr>
            <w:tcW w:w="4770" w:type="dxa"/>
            <w:gridSpan w:val="2"/>
            <w:shd w:val="clear" w:color="auto" w:fill="FFFFFF" w:themeFill="background1"/>
            <w:vAlign w:val="bottom"/>
          </w:tcPr>
          <w:p>
            <w:pPr>
              <w:spacing w:line="380" w:lineRule="exact"/>
              <w:ind w:hanging="22"/>
              <w:rPr>
                <w:rFonts w:ascii="Arial" w:hAnsi="Arial" w:cs="Arial"/>
                <w:sz w:val="22"/>
                <w:szCs w:val="22"/>
                <w:lang w:val="en-GB"/>
              </w:rPr>
            </w:pPr>
            <w:r>
              <w:rPr>
                <w:rFonts w:ascii="Arial" w:hAnsi="Arial" w:cs="Arial"/>
                <w:sz w:val="22"/>
                <w:szCs w:val="22"/>
                <w:lang w:val="en-GB"/>
              </w:rPr>
              <w:t>Acquisitions during the period - at cost</w:t>
            </w:r>
          </w:p>
        </w:tc>
        <w:tc>
          <w:tcPr>
            <w:tcW w:w="2250" w:type="dxa"/>
            <w:shd w:val="clear" w:color="auto" w:fill="FFFFFF" w:themeFill="background1"/>
          </w:tcPr>
          <w:p>
            <w:pPr>
              <w:tabs>
                <w:tab w:val="decimal" w:pos="1599"/>
              </w:tabs>
              <w:spacing w:line="380" w:lineRule="exact"/>
              <w:rPr>
                <w:rFonts w:ascii="Arial" w:hAnsi="Arial" w:cstheme="minorBidi"/>
                <w:sz w:val="22"/>
                <w:szCs w:val="22"/>
              </w:rPr>
            </w:pPr>
            <w:r>
              <w:rPr>
                <w:rFonts w:ascii="Arial" w:hAnsi="Arial" w:cstheme="minorBidi"/>
                <w:sz w:val="22"/>
                <w:szCs w:val="22"/>
              </w:rPr>
              <w:t>28,457</w:t>
            </w:r>
          </w:p>
        </w:tc>
        <w:tc>
          <w:tcPr>
            <w:tcW w:w="2250" w:type="dxa"/>
            <w:shd w:val="clear" w:color="auto" w:fill="auto"/>
            <w:vAlign w:val="bottom"/>
          </w:tcPr>
          <w:p>
            <w:pPr>
              <w:tabs>
                <w:tab w:val="decimal" w:pos="1599"/>
              </w:tabs>
              <w:spacing w:line="380" w:lineRule="exact"/>
              <w:rPr>
                <w:rFonts w:ascii="Arial" w:hAnsi="Arial" w:cstheme="minorBidi"/>
                <w:sz w:val="22"/>
                <w:szCs w:val="22"/>
              </w:rPr>
            </w:pPr>
            <w:r>
              <w:rPr>
                <w:rFonts w:ascii="Arial" w:hAnsi="Arial" w:cstheme="minorBidi"/>
                <w:sz w:val="22"/>
                <w:szCs w:val="22"/>
              </w:rPr>
              <w:t>28,457</w:t>
            </w:r>
          </w:p>
        </w:tc>
      </w:tr>
      <w:tr>
        <w:tblPrEx>
          <w:shd w:val="clear" w:color="auto" w:fill="FFFFFF" w:themeFill="background1"/>
          <w:tblCellMar>
            <w:top w:w="0" w:type="dxa"/>
            <w:left w:w="108" w:type="dxa"/>
            <w:bottom w:w="0" w:type="dxa"/>
            <w:right w:w="108" w:type="dxa"/>
          </w:tblCellMar>
        </w:tblPrEx>
        <w:trPr>
          <w:trHeight w:val="70" w:hRule="atLeast"/>
        </w:trPr>
        <w:tc>
          <w:tcPr>
            <w:tcW w:w="4770" w:type="dxa"/>
            <w:gridSpan w:val="2"/>
            <w:shd w:val="clear" w:color="auto" w:fill="FFFFFF" w:themeFill="background1"/>
            <w:vAlign w:val="bottom"/>
          </w:tcPr>
          <w:p>
            <w:pPr>
              <w:spacing w:line="380" w:lineRule="exact"/>
              <w:ind w:hanging="22"/>
              <w:rPr>
                <w:rFonts w:ascii="Arial" w:hAnsi="Arial" w:cs="Arial"/>
                <w:sz w:val="22"/>
                <w:szCs w:val="22"/>
                <w:lang w:val="en-GB"/>
              </w:rPr>
            </w:pPr>
            <w:r>
              <w:rPr>
                <w:rFonts w:ascii="Arial" w:hAnsi="Arial" w:cs="Arial"/>
                <w:sz w:val="22"/>
                <w:szCs w:val="22"/>
                <w:lang w:val="en-GB"/>
              </w:rPr>
              <w:t>Increase from acquisition of subsidiary</w:t>
            </w:r>
          </w:p>
        </w:tc>
        <w:tc>
          <w:tcPr>
            <w:tcW w:w="2250" w:type="dxa"/>
            <w:shd w:val="clear" w:color="auto" w:fill="FFFFFF" w:themeFill="background1"/>
          </w:tcPr>
          <w:p>
            <w:pPr>
              <w:tabs>
                <w:tab w:val="decimal" w:pos="1599"/>
              </w:tabs>
              <w:spacing w:line="380" w:lineRule="exact"/>
              <w:rPr>
                <w:rFonts w:ascii="Arial" w:hAnsi="Arial" w:cstheme="minorBidi"/>
                <w:sz w:val="22"/>
                <w:szCs w:val="22"/>
              </w:rPr>
            </w:pPr>
            <w:r>
              <w:rPr>
                <w:rFonts w:ascii="Arial" w:hAnsi="Arial" w:cstheme="minorBidi"/>
                <w:sz w:val="22"/>
                <w:szCs w:val="22"/>
              </w:rPr>
              <w:t>44</w:t>
            </w:r>
          </w:p>
        </w:tc>
        <w:tc>
          <w:tcPr>
            <w:tcW w:w="2250" w:type="dxa"/>
            <w:shd w:val="clear" w:color="auto" w:fill="auto"/>
            <w:vAlign w:val="bottom"/>
          </w:tcPr>
          <w:p>
            <w:pPr>
              <w:tabs>
                <w:tab w:val="decimal" w:pos="1599"/>
              </w:tabs>
              <w:spacing w:line="380" w:lineRule="exact"/>
              <w:rPr>
                <w:rFonts w:ascii="Arial" w:hAnsi="Arial" w:cstheme="minorBidi"/>
                <w:sz w:val="22"/>
                <w:szCs w:val="22"/>
              </w:rPr>
            </w:pPr>
            <w:r>
              <w:rPr>
                <w:rFonts w:ascii="Arial" w:hAnsi="Arial" w:cstheme="minorBidi"/>
                <w:sz w:val="22"/>
                <w:szCs w:val="22"/>
              </w:rPr>
              <w:t>-</w:t>
            </w:r>
          </w:p>
        </w:tc>
      </w:tr>
      <w:tr>
        <w:tblPrEx>
          <w:shd w:val="clear" w:color="auto" w:fill="FFFFFF" w:themeFill="background1"/>
          <w:tblCellMar>
            <w:top w:w="0" w:type="dxa"/>
            <w:left w:w="108" w:type="dxa"/>
            <w:bottom w:w="0" w:type="dxa"/>
            <w:right w:w="108" w:type="dxa"/>
          </w:tblCellMar>
        </w:tblPrEx>
        <w:trPr>
          <w:trHeight w:val="70" w:hRule="atLeast"/>
        </w:trPr>
        <w:tc>
          <w:tcPr>
            <w:tcW w:w="4770" w:type="dxa"/>
            <w:gridSpan w:val="2"/>
            <w:shd w:val="clear" w:color="auto" w:fill="FFFFFF" w:themeFill="background1"/>
            <w:vAlign w:val="bottom"/>
          </w:tcPr>
          <w:p>
            <w:pPr>
              <w:spacing w:line="380" w:lineRule="exact"/>
              <w:ind w:hanging="22"/>
              <w:rPr>
                <w:rFonts w:ascii="Arial" w:hAnsi="Arial" w:cs="Arial"/>
                <w:sz w:val="22"/>
                <w:szCs w:val="22"/>
                <w:lang w:val="en-GB"/>
              </w:rPr>
            </w:pPr>
            <w:r>
              <w:rPr>
                <w:rFonts w:ascii="Arial" w:hAnsi="Arial" w:cs="Arial"/>
                <w:sz w:val="22"/>
                <w:szCs w:val="22"/>
              </w:rPr>
              <w:t>Amortisation for the period</w:t>
            </w:r>
          </w:p>
        </w:tc>
        <w:tc>
          <w:tcPr>
            <w:tcW w:w="2250" w:type="dxa"/>
            <w:shd w:val="clear" w:color="auto" w:fill="FFFFFF" w:themeFill="background1"/>
          </w:tcPr>
          <w:p>
            <w:pPr>
              <w:pBdr>
                <w:bottom w:val="single" w:color="auto" w:sz="4" w:space="1"/>
              </w:pBdr>
              <w:tabs>
                <w:tab w:val="decimal" w:pos="1599"/>
              </w:tabs>
              <w:spacing w:line="380" w:lineRule="exact"/>
              <w:rPr>
                <w:rFonts w:ascii="Arial" w:hAnsi="Arial" w:cs="Arial"/>
                <w:sz w:val="22"/>
                <w:szCs w:val="22"/>
                <w:cs/>
              </w:rPr>
            </w:pPr>
            <w:r>
              <w:rPr>
                <w:rFonts w:ascii="Arial" w:hAnsi="Arial" w:cs="Arial"/>
                <w:sz w:val="22"/>
                <w:szCs w:val="22"/>
              </w:rPr>
              <w:t>(14,521)</w:t>
            </w:r>
          </w:p>
        </w:tc>
        <w:tc>
          <w:tcPr>
            <w:tcW w:w="2250" w:type="dxa"/>
            <w:shd w:val="clear" w:color="auto" w:fill="auto"/>
            <w:vAlign w:val="bottom"/>
          </w:tcPr>
          <w:p>
            <w:pPr>
              <w:pBdr>
                <w:bottom w:val="single" w:color="auto" w:sz="4" w:space="1"/>
              </w:pBdr>
              <w:tabs>
                <w:tab w:val="decimal" w:pos="1599"/>
              </w:tabs>
              <w:spacing w:line="380" w:lineRule="exact"/>
              <w:rPr>
                <w:rFonts w:ascii="Arial" w:hAnsi="Arial" w:cs="Arial"/>
                <w:sz w:val="22"/>
                <w:szCs w:val="22"/>
                <w:cs/>
              </w:rPr>
            </w:pPr>
            <w:r>
              <w:rPr>
                <w:rFonts w:ascii="Arial" w:hAnsi="Arial" w:cs="Arial"/>
                <w:sz w:val="22"/>
                <w:szCs w:val="22"/>
              </w:rPr>
              <w:t>(14,520)</w:t>
            </w:r>
          </w:p>
        </w:tc>
      </w:tr>
      <w:tr>
        <w:tblPrEx>
          <w:shd w:val="clear" w:color="auto" w:fill="FFFFFF" w:themeFill="background1"/>
          <w:tblCellMar>
            <w:top w:w="0" w:type="dxa"/>
            <w:left w:w="108" w:type="dxa"/>
            <w:bottom w:w="0" w:type="dxa"/>
            <w:right w:w="108" w:type="dxa"/>
          </w:tblCellMar>
        </w:tblPrEx>
        <w:trPr>
          <w:trHeight w:val="403" w:hRule="atLeast"/>
        </w:trPr>
        <w:tc>
          <w:tcPr>
            <w:tcW w:w="4770" w:type="dxa"/>
            <w:gridSpan w:val="2"/>
            <w:shd w:val="clear" w:color="auto" w:fill="FFFFFF" w:themeFill="background1"/>
            <w:vAlign w:val="bottom"/>
          </w:tcPr>
          <w:p>
            <w:pPr>
              <w:spacing w:line="380" w:lineRule="exact"/>
              <w:ind w:hanging="22"/>
              <w:rPr>
                <w:rFonts w:ascii="Arial" w:hAnsi="Arial" w:cs="Arial"/>
                <w:sz w:val="22"/>
                <w:szCs w:val="22"/>
                <w:lang w:val="en-GB"/>
              </w:rPr>
            </w:pPr>
            <w:r>
              <w:rPr>
                <w:rFonts w:ascii="Arial" w:hAnsi="Arial" w:cs="Arial"/>
                <w:sz w:val="22"/>
                <w:szCs w:val="22"/>
              </w:rPr>
              <w:t>Net book value as at 30 September 2022</w:t>
            </w:r>
          </w:p>
        </w:tc>
        <w:tc>
          <w:tcPr>
            <w:tcW w:w="2250" w:type="dxa"/>
            <w:shd w:val="clear" w:color="auto" w:fill="FFFFFF" w:themeFill="background1"/>
          </w:tcPr>
          <w:p>
            <w:pPr>
              <w:pBdr>
                <w:bottom w:val="double" w:color="auto" w:sz="4" w:space="1"/>
              </w:pBdr>
              <w:tabs>
                <w:tab w:val="decimal" w:pos="1599"/>
              </w:tabs>
              <w:spacing w:line="380" w:lineRule="exact"/>
              <w:rPr>
                <w:rFonts w:ascii="Arial" w:hAnsi="Arial" w:cs="Arial"/>
                <w:sz w:val="22"/>
                <w:szCs w:val="22"/>
              </w:rPr>
            </w:pPr>
            <w:r>
              <w:rPr>
                <w:rFonts w:ascii="Arial" w:hAnsi="Arial" w:cs="Arial"/>
                <w:sz w:val="22"/>
                <w:szCs w:val="22"/>
              </w:rPr>
              <w:t>62,171</w:t>
            </w:r>
          </w:p>
        </w:tc>
        <w:tc>
          <w:tcPr>
            <w:tcW w:w="2250" w:type="dxa"/>
            <w:shd w:val="clear" w:color="auto" w:fill="FFFFFF" w:themeFill="background1"/>
            <w:vAlign w:val="bottom"/>
          </w:tcPr>
          <w:p>
            <w:pPr>
              <w:pBdr>
                <w:bottom w:val="double" w:color="auto" w:sz="4" w:space="1"/>
              </w:pBdr>
              <w:tabs>
                <w:tab w:val="decimal" w:pos="1599"/>
              </w:tabs>
              <w:spacing w:line="380" w:lineRule="exact"/>
              <w:rPr>
                <w:rFonts w:ascii="Arial" w:hAnsi="Arial" w:cs="Arial"/>
                <w:sz w:val="22"/>
                <w:szCs w:val="22"/>
              </w:rPr>
            </w:pPr>
            <w:r>
              <w:rPr>
                <w:rFonts w:ascii="Arial" w:hAnsi="Arial" w:cs="Arial"/>
                <w:sz w:val="22"/>
                <w:szCs w:val="22"/>
              </w:rPr>
              <w:t>62,128</w:t>
            </w:r>
          </w:p>
        </w:tc>
      </w:tr>
    </w:tbl>
    <w:p>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9.</w:t>
      </w:r>
      <w:r>
        <w:rPr>
          <w:rFonts w:ascii="Arial" w:hAnsi="Arial" w:cs="Arial"/>
          <w:b/>
          <w:bCs/>
          <w:sz w:val="22"/>
          <w:szCs w:val="22"/>
        </w:rPr>
        <w:tab/>
      </w:r>
      <w:r>
        <w:rPr>
          <w:rFonts w:ascii="Arial" w:hAnsi="Arial" w:cs="Arial"/>
          <w:b/>
          <w:bCs/>
          <w:sz w:val="22"/>
          <w:szCs w:val="22"/>
        </w:rPr>
        <w:t>Earnings per share</w:t>
      </w:r>
    </w:p>
    <w:p>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Pr>
          <w:rFonts w:ascii="Arial" w:hAnsi="Arial" w:cs="Arial"/>
          <w:b/>
          <w:bCs/>
          <w:sz w:val="22"/>
          <w:szCs w:val="22"/>
        </w:rPr>
        <w:tab/>
      </w:r>
      <w:r>
        <w:rPr>
          <w:rFonts w:ascii="Arial" w:hAnsi="Arial" w:cs="Arial"/>
          <w:b/>
          <w:bCs/>
          <w:sz w:val="22"/>
          <w:szCs w:val="22"/>
        </w:rPr>
        <w:t>Segment information</w:t>
      </w:r>
    </w:p>
    <w:p>
      <w:pPr>
        <w:tabs>
          <w:tab w:val="left" w:pos="2160"/>
          <w:tab w:val="right" w:pos="7280"/>
          <w:tab w:val="right" w:pos="8540"/>
        </w:tabs>
        <w:spacing w:before="120" w:after="120" w:line="380" w:lineRule="exact"/>
        <w:ind w:left="540"/>
        <w:jc w:val="thaiDistribute"/>
        <w:rPr>
          <w:rFonts w:ascii="Arial" w:hAnsi="Arial" w:cs="Arial"/>
          <w:sz w:val="22"/>
          <w:szCs w:val="22"/>
        </w:rPr>
      </w:pPr>
      <w:r>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assets its performance. The chief operating decision maker has been identified as Executive Chairman. During the period, there were changes in the organisation of their reportable segments due to the acquisition of investment in subsidiary as described in the Note 5 to the interim financial statements.</w:t>
      </w:r>
    </w:p>
    <w:p>
      <w:pPr>
        <w:tabs>
          <w:tab w:val="left" w:pos="2160"/>
          <w:tab w:val="right" w:pos="7280"/>
          <w:tab w:val="right" w:pos="8540"/>
        </w:tabs>
        <w:spacing w:before="120" w:after="120" w:line="380" w:lineRule="exact"/>
        <w:ind w:left="540"/>
        <w:jc w:val="thaiDistribute"/>
        <w:rPr>
          <w:rFonts w:ascii="Arial" w:hAnsi="Arial" w:cs="Arial"/>
          <w:i/>
          <w:iCs/>
          <w:sz w:val="22"/>
          <w:szCs w:val="22"/>
        </w:rPr>
      </w:pPr>
      <w:r>
        <w:rPr>
          <w:rFonts w:ascii="Arial" w:hAnsi="Arial" w:cs="Arial"/>
          <w:sz w:val="22"/>
          <w:szCs w:val="22"/>
        </w:rPr>
        <w:t>For management purposes, the Group is organised into business units based on its products and services and have two reportable segments as follows:</w:t>
      </w:r>
    </w:p>
    <w:p>
      <w:pPr>
        <w:pStyle w:val="38"/>
        <w:numPr>
          <w:ilvl w:val="0"/>
          <w:numId w:val="1"/>
        </w:numPr>
        <w:tabs>
          <w:tab w:val="left" w:pos="2160"/>
          <w:tab w:val="right" w:pos="7280"/>
          <w:tab w:val="right" w:pos="8540"/>
        </w:tabs>
        <w:overflowPunct w:val="0"/>
        <w:autoSpaceDE w:val="0"/>
        <w:autoSpaceDN w:val="0"/>
        <w:adjustRightInd w:val="0"/>
        <w:spacing w:before="120" w:after="120" w:line="380" w:lineRule="exact"/>
        <w:ind w:left="900"/>
        <w:contextualSpacing w:val="0"/>
        <w:jc w:val="thaiDistribute"/>
        <w:textAlignment w:val="baseline"/>
        <w:rPr>
          <w:rFonts w:ascii="Arial" w:hAnsi="Arial" w:cs="Arial"/>
          <w:szCs w:val="22"/>
        </w:rPr>
      </w:pPr>
      <w:r>
        <w:rPr>
          <w:rFonts w:ascii="Arial" w:hAnsi="Arial" w:cs="Arial"/>
          <w:szCs w:val="22"/>
        </w:rPr>
        <w:t>Services</w:t>
      </w:r>
      <w:r>
        <w:rPr>
          <w:rFonts w:ascii="Arial" w:hAnsi="Arial" w:cs="Browallia New"/>
        </w:rPr>
        <w:t xml:space="preserve"> segment </w:t>
      </w:r>
      <w:r>
        <w:rPr>
          <w:rFonts w:ascii="Arial" w:hAnsi="Arial" w:cs="Arial"/>
          <w:szCs w:val="22"/>
        </w:rPr>
        <w:t>related to e-commerce, i.e. trading of products of services conducted over the internet.</w:t>
      </w:r>
    </w:p>
    <w:p>
      <w:pPr>
        <w:pStyle w:val="38"/>
        <w:numPr>
          <w:ilvl w:val="0"/>
          <w:numId w:val="1"/>
        </w:numPr>
        <w:tabs>
          <w:tab w:val="left" w:pos="2160"/>
          <w:tab w:val="right" w:pos="7280"/>
          <w:tab w:val="right" w:pos="8540"/>
        </w:tabs>
        <w:overflowPunct w:val="0"/>
        <w:autoSpaceDE w:val="0"/>
        <w:autoSpaceDN w:val="0"/>
        <w:adjustRightInd w:val="0"/>
        <w:spacing w:before="120" w:after="120" w:line="380" w:lineRule="exact"/>
        <w:ind w:left="900"/>
        <w:contextualSpacing w:val="0"/>
        <w:jc w:val="thaiDistribute"/>
        <w:textAlignment w:val="baseline"/>
        <w:rPr>
          <w:rFonts w:ascii="Arial" w:hAnsi="Arial" w:cs="Arial"/>
          <w:szCs w:val="22"/>
        </w:rPr>
      </w:pPr>
      <w:r>
        <w:rPr>
          <w:rFonts w:ascii="Arial" w:hAnsi="Arial" w:cs="Arial"/>
          <w:szCs w:val="22"/>
        </w:rPr>
        <w:t>Sale segment related dietary supplement business.</w:t>
      </w:r>
    </w:p>
    <w:p>
      <w:pPr>
        <w:tabs>
          <w:tab w:val="left" w:pos="2160"/>
          <w:tab w:val="right" w:pos="7280"/>
          <w:tab w:val="right" w:pos="8540"/>
        </w:tabs>
        <w:spacing w:before="120" w:after="120" w:line="380" w:lineRule="exact"/>
        <w:ind w:left="630"/>
        <w:jc w:val="thaiDistribute"/>
        <w:rPr>
          <w:rFonts w:ascii="Arial" w:hAnsi="Arial" w:cs="Arial"/>
          <w:sz w:val="22"/>
          <w:szCs w:val="22"/>
        </w:rPr>
      </w:pPr>
      <w:r>
        <w:rPr>
          <w:rFonts w:ascii="Arial" w:hAnsi="Arial" w:cs="Arial"/>
          <w:color w:val="242424"/>
          <w:sz w:val="22"/>
          <w:szCs w:val="22"/>
          <w:shd w:val="clear" w:color="auto" w:fill="FFFFFF"/>
        </w:rPr>
        <w:t>The basis of accounting applied to any transactions between reportable segments is consistent with that applied to third party transactions.</w:t>
      </w:r>
    </w:p>
    <w:p>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pPr>
        <w:tabs>
          <w:tab w:val="left" w:pos="2160"/>
          <w:tab w:val="right" w:pos="6480"/>
          <w:tab w:val="right" w:pos="8640"/>
        </w:tabs>
        <w:spacing w:before="120" w:after="120" w:line="380" w:lineRule="exact"/>
        <w:ind w:left="547" w:hanging="547"/>
        <w:jc w:val="thaiDistribute"/>
        <w:rPr>
          <w:rFonts w:ascii="Arial" w:hAnsi="Arial" w:cstheme="minorBidi"/>
          <w:spacing w:val="-4"/>
          <w:sz w:val="22"/>
          <w:szCs w:val="22"/>
        </w:rPr>
      </w:pPr>
      <w:r>
        <w:rPr>
          <w:rFonts w:ascii="Arial" w:hAnsi="Arial" w:cs="Arial"/>
          <w:sz w:val="22"/>
          <w:szCs w:val="22"/>
        </w:rPr>
        <w:tab/>
      </w:r>
      <w:r>
        <w:rPr>
          <w:rFonts w:ascii="Arial" w:hAnsi="Arial" w:cs="Arial"/>
          <w:spacing w:val="-2"/>
          <w:sz w:val="22"/>
          <w:szCs w:val="22"/>
        </w:rPr>
        <w:t xml:space="preserve">The following table presents revenue and profit information regarding </w:t>
      </w:r>
      <w:r>
        <w:rPr>
          <w:rFonts w:ascii="Arial" w:hAnsi="Arial" w:cs="Arial"/>
          <w:sz w:val="22"/>
          <w:szCs w:val="22"/>
        </w:rPr>
        <w:t>the Group</w:t>
      </w:r>
      <w:r>
        <w:rPr>
          <w:rFonts w:ascii="Arial" w:hAnsi="Arial" w:cs="Arial"/>
          <w:spacing w:val="-4"/>
          <w:sz w:val="22"/>
          <w:szCs w:val="22"/>
        </w:rPr>
        <w:t>’s operating segments.</w:t>
      </w:r>
    </w:p>
    <w:tbl>
      <w:tblPr>
        <w:tblStyle w:val="8"/>
        <w:tblW w:w="9180" w:type="dxa"/>
        <w:tblInd w:w="450" w:type="dxa"/>
        <w:tblLayout w:type="fixed"/>
        <w:tblCellMar>
          <w:top w:w="0" w:type="dxa"/>
          <w:left w:w="108" w:type="dxa"/>
          <w:bottom w:w="0" w:type="dxa"/>
          <w:right w:w="108" w:type="dxa"/>
        </w:tblCellMar>
      </w:tblPr>
      <w:tblGrid>
        <w:gridCol w:w="2610"/>
        <w:gridCol w:w="1620"/>
        <w:gridCol w:w="1620"/>
        <w:gridCol w:w="1710"/>
        <w:gridCol w:w="1620"/>
      </w:tblGrid>
      <w:tr>
        <w:tblPrEx>
          <w:tblCellMar>
            <w:top w:w="0" w:type="dxa"/>
            <w:left w:w="108" w:type="dxa"/>
            <w:bottom w:w="0" w:type="dxa"/>
            <w:right w:w="108" w:type="dxa"/>
          </w:tblCellMar>
        </w:tblPrEx>
        <w:trPr>
          <w:cantSplit/>
        </w:trPr>
        <w:tc>
          <w:tcPr>
            <w:tcW w:w="9180" w:type="dxa"/>
            <w:gridSpan w:val="5"/>
          </w:tcPr>
          <w:p>
            <w:pPr>
              <w:spacing w:line="370" w:lineRule="exact"/>
              <w:jc w:val="right"/>
              <w:rPr>
                <w:rFonts w:ascii="Arial" w:hAnsi="Arial" w:cs="Arial"/>
                <w:sz w:val="16"/>
                <w:szCs w:val="16"/>
              </w:rPr>
            </w:pPr>
            <w:r>
              <w:rPr>
                <w:rFonts w:ascii="Arial" w:hAnsi="Arial" w:cs="Arial"/>
                <w:sz w:val="16"/>
                <w:szCs w:val="16"/>
                <w:cs/>
              </w:rPr>
              <w:t>(</w:t>
            </w:r>
            <w:r>
              <w:rPr>
                <w:rFonts w:ascii="Arial" w:hAnsi="Arial" w:cs="Arial"/>
                <w:sz w:val="16"/>
                <w:szCs w:val="16"/>
              </w:rPr>
              <w:t>Unit: Thousand Baht)</w:t>
            </w:r>
          </w:p>
        </w:tc>
      </w:tr>
      <w:tr>
        <w:tblPrEx>
          <w:tblCellMar>
            <w:top w:w="0" w:type="dxa"/>
            <w:left w:w="108" w:type="dxa"/>
            <w:bottom w:w="0" w:type="dxa"/>
            <w:right w:w="108" w:type="dxa"/>
          </w:tblCellMar>
        </w:tblPrEx>
        <w:trPr>
          <w:cantSplit/>
        </w:trPr>
        <w:tc>
          <w:tcPr>
            <w:tcW w:w="2610" w:type="dxa"/>
          </w:tcPr>
          <w:p>
            <w:pPr>
              <w:spacing w:line="370" w:lineRule="exact"/>
              <w:ind w:right="-198"/>
              <w:rPr>
                <w:rFonts w:ascii="Arial" w:hAnsi="Arial" w:cs="Arial"/>
                <w:spacing w:val="-6"/>
                <w:sz w:val="16"/>
                <w:szCs w:val="16"/>
              </w:rPr>
            </w:pPr>
            <w:r>
              <w:rPr>
                <w:rFonts w:ascii="Arial" w:hAnsi="Arial" w:cs="Arial"/>
                <w:sz w:val="16"/>
                <w:szCs w:val="16"/>
              </w:rPr>
              <w:br w:type="page"/>
            </w:r>
          </w:p>
        </w:tc>
        <w:tc>
          <w:tcPr>
            <w:tcW w:w="6570" w:type="dxa"/>
            <w:gridSpan w:val="4"/>
            <w:vAlign w:val="bottom"/>
          </w:tcPr>
          <w:p>
            <w:pPr>
              <w:pBdr>
                <w:bottom w:val="single" w:color="auto" w:sz="4" w:space="1"/>
              </w:pBdr>
              <w:spacing w:line="370" w:lineRule="exact"/>
              <w:ind w:left="-29" w:right="-29"/>
              <w:jc w:val="center"/>
              <w:rPr>
                <w:rFonts w:ascii="Arial" w:hAnsi="Arial" w:cs="Arial"/>
                <w:sz w:val="16"/>
                <w:szCs w:val="16"/>
                <w:cs/>
              </w:rPr>
            </w:pPr>
            <w:r>
              <w:rPr>
                <w:rFonts w:ascii="Arial" w:hAnsi="Arial" w:cs="Arial"/>
                <w:sz w:val="16"/>
                <w:szCs w:val="16"/>
              </w:rPr>
              <w:t>For the three-month periods ended 30 September 2022</w:t>
            </w:r>
          </w:p>
        </w:tc>
      </w:tr>
      <w:tr>
        <w:tblPrEx>
          <w:tblCellMar>
            <w:top w:w="0" w:type="dxa"/>
            <w:left w:w="108" w:type="dxa"/>
            <w:bottom w:w="0" w:type="dxa"/>
            <w:right w:w="108" w:type="dxa"/>
          </w:tblCellMar>
        </w:tblPrEx>
        <w:trPr>
          <w:cantSplit/>
        </w:trPr>
        <w:tc>
          <w:tcPr>
            <w:tcW w:w="2610" w:type="dxa"/>
          </w:tcPr>
          <w:p>
            <w:pPr>
              <w:spacing w:line="370" w:lineRule="exact"/>
              <w:ind w:right="-198"/>
              <w:rPr>
                <w:rFonts w:ascii="Arial" w:hAnsi="Arial" w:cs="Arial"/>
                <w:spacing w:val="-6"/>
                <w:sz w:val="16"/>
                <w:szCs w:val="16"/>
                <w:cs/>
              </w:rPr>
            </w:pPr>
          </w:p>
        </w:tc>
        <w:tc>
          <w:tcPr>
            <w:tcW w:w="1620" w:type="dxa"/>
            <w:vAlign w:val="bottom"/>
          </w:tcPr>
          <w:p>
            <w:pPr>
              <w:pBdr>
                <w:bottom w:val="single" w:color="auto" w:sz="4" w:space="1"/>
              </w:pBdr>
              <w:spacing w:line="370" w:lineRule="exact"/>
              <w:ind w:left="-29" w:right="-29"/>
              <w:jc w:val="center"/>
              <w:rPr>
                <w:rFonts w:ascii="Arial" w:hAnsi="Arial" w:cs="Arial"/>
                <w:sz w:val="16"/>
                <w:szCs w:val="16"/>
                <w:cs/>
              </w:rPr>
            </w:pPr>
            <w:r>
              <w:rPr>
                <w:rFonts w:ascii="Arial" w:hAnsi="Arial" w:cs="Arial"/>
                <w:sz w:val="16"/>
                <w:szCs w:val="16"/>
              </w:rPr>
              <w:t>Service segment</w:t>
            </w:r>
          </w:p>
        </w:tc>
        <w:tc>
          <w:tcPr>
            <w:tcW w:w="1620" w:type="dxa"/>
            <w:vAlign w:val="bottom"/>
          </w:tcPr>
          <w:p>
            <w:pPr>
              <w:pBdr>
                <w:bottom w:val="single" w:color="auto" w:sz="4" w:space="1"/>
              </w:pBdr>
              <w:spacing w:line="370" w:lineRule="exact"/>
              <w:ind w:left="-29" w:right="-29"/>
              <w:jc w:val="center"/>
              <w:rPr>
                <w:rFonts w:ascii="Arial" w:hAnsi="Arial" w:cs="Arial"/>
                <w:sz w:val="16"/>
                <w:szCs w:val="16"/>
                <w:cs/>
              </w:rPr>
            </w:pPr>
            <w:r>
              <w:rPr>
                <w:rFonts w:ascii="Arial" w:hAnsi="Arial" w:cs="Arial"/>
                <w:sz w:val="16"/>
                <w:szCs w:val="16"/>
              </w:rPr>
              <w:t>Sale segment</w:t>
            </w:r>
          </w:p>
        </w:tc>
        <w:tc>
          <w:tcPr>
            <w:tcW w:w="1710" w:type="dxa"/>
          </w:tcPr>
          <w:p>
            <w:pPr>
              <w:pBdr>
                <w:bottom w:val="single" w:color="auto" w:sz="4" w:space="1"/>
              </w:pBdr>
              <w:spacing w:line="370" w:lineRule="exact"/>
              <w:ind w:left="-29" w:right="-29"/>
              <w:jc w:val="center"/>
              <w:rPr>
                <w:rFonts w:ascii="Arial" w:hAnsi="Arial" w:cs="Arial"/>
                <w:spacing w:val="-6"/>
                <w:sz w:val="16"/>
                <w:szCs w:val="16"/>
              </w:rPr>
            </w:pPr>
            <w:r>
              <w:rPr>
                <w:rFonts w:ascii="Arial" w:hAnsi="Arial" w:cs="Arial"/>
                <w:spacing w:val="-6"/>
                <w:sz w:val="16"/>
                <w:szCs w:val="16"/>
              </w:rPr>
              <w:t xml:space="preserve">Elimination of </w:t>
            </w:r>
          </w:p>
          <w:p>
            <w:pPr>
              <w:pBdr>
                <w:bottom w:val="single" w:color="auto" w:sz="4" w:space="1"/>
              </w:pBdr>
              <w:spacing w:line="370" w:lineRule="exact"/>
              <w:ind w:left="-29" w:right="-29"/>
              <w:jc w:val="center"/>
              <w:rPr>
                <w:rFonts w:ascii="Arial" w:hAnsi="Arial" w:cs="Arial"/>
                <w:spacing w:val="-6"/>
                <w:sz w:val="16"/>
                <w:szCs w:val="16"/>
                <w:cs/>
              </w:rPr>
            </w:pPr>
            <w:r>
              <w:rPr>
                <w:rFonts w:ascii="Arial" w:hAnsi="Arial" w:cs="Arial"/>
                <w:spacing w:val="-6"/>
                <w:sz w:val="16"/>
                <w:szCs w:val="16"/>
              </w:rPr>
              <w:t>inter-segment revenues</w:t>
            </w:r>
          </w:p>
        </w:tc>
        <w:tc>
          <w:tcPr>
            <w:tcW w:w="1620" w:type="dxa"/>
          </w:tcPr>
          <w:p>
            <w:pPr>
              <w:pBdr>
                <w:bottom w:val="single" w:color="auto" w:sz="4" w:space="1"/>
              </w:pBdr>
              <w:spacing w:line="370" w:lineRule="exact"/>
              <w:ind w:left="-29" w:right="-29"/>
              <w:jc w:val="center"/>
              <w:rPr>
                <w:rFonts w:ascii="Arial" w:hAnsi="Arial" w:cstheme="minorBidi"/>
                <w:sz w:val="16"/>
                <w:szCs w:val="16"/>
              </w:rPr>
            </w:pPr>
            <w:r>
              <w:rPr>
                <w:rFonts w:ascii="Arial" w:hAnsi="Arial" w:cs="Arial"/>
                <w:sz w:val="16"/>
                <w:szCs w:val="16"/>
              </w:rPr>
              <w:t xml:space="preserve">Consolidated </w:t>
            </w:r>
          </w:p>
          <w:p>
            <w:pPr>
              <w:pBdr>
                <w:bottom w:val="single" w:color="auto" w:sz="4" w:space="1"/>
              </w:pBdr>
              <w:spacing w:line="370" w:lineRule="exact"/>
              <w:ind w:left="-29" w:right="-29"/>
              <w:jc w:val="center"/>
              <w:rPr>
                <w:rFonts w:ascii="Arial" w:hAnsi="Arial" w:cs="Arial"/>
                <w:sz w:val="16"/>
                <w:szCs w:val="16"/>
                <w:cs/>
              </w:rPr>
            </w:pPr>
            <w:r>
              <w:rPr>
                <w:rFonts w:ascii="Arial" w:hAnsi="Arial" w:cs="Arial"/>
                <w:sz w:val="16"/>
                <w:szCs w:val="16"/>
              </w:rPr>
              <w:t>financial statements</w:t>
            </w:r>
          </w:p>
        </w:tc>
      </w:tr>
      <w:tr>
        <w:tblPrEx>
          <w:tblCellMar>
            <w:top w:w="0" w:type="dxa"/>
            <w:left w:w="108" w:type="dxa"/>
            <w:bottom w:w="0" w:type="dxa"/>
            <w:right w:w="108" w:type="dxa"/>
          </w:tblCellMar>
        </w:tblPrEx>
        <w:trPr>
          <w:cantSplit/>
        </w:trPr>
        <w:tc>
          <w:tcPr>
            <w:tcW w:w="2610" w:type="dxa"/>
            <w:vAlign w:val="bottom"/>
          </w:tcPr>
          <w:p>
            <w:pPr>
              <w:spacing w:line="370" w:lineRule="exact"/>
              <w:ind w:left="132" w:right="-108" w:hanging="132"/>
              <w:rPr>
                <w:rFonts w:ascii="Arial" w:hAnsi="Arial" w:cs="Arial"/>
                <w:b/>
                <w:bCs/>
                <w:spacing w:val="-6"/>
                <w:sz w:val="16"/>
                <w:szCs w:val="16"/>
              </w:rPr>
            </w:pPr>
            <w:r>
              <w:rPr>
                <w:rFonts w:ascii="Arial" w:hAnsi="Arial" w:cs="Arial"/>
                <w:b/>
                <w:bCs/>
                <w:spacing w:val="-6"/>
                <w:sz w:val="16"/>
                <w:szCs w:val="16"/>
              </w:rPr>
              <w:t>Revenue:</w:t>
            </w:r>
          </w:p>
        </w:tc>
        <w:tc>
          <w:tcPr>
            <w:tcW w:w="1620" w:type="dxa"/>
          </w:tcPr>
          <w:p>
            <w:pPr>
              <w:spacing w:line="370" w:lineRule="exact"/>
              <w:ind w:left="-29" w:right="-29"/>
              <w:jc w:val="center"/>
              <w:rPr>
                <w:rFonts w:ascii="Arial" w:hAnsi="Arial" w:cs="Arial"/>
                <w:spacing w:val="-6"/>
                <w:sz w:val="16"/>
                <w:szCs w:val="16"/>
                <w:u w:val="single"/>
              </w:rPr>
            </w:pPr>
          </w:p>
        </w:tc>
        <w:tc>
          <w:tcPr>
            <w:tcW w:w="1620" w:type="dxa"/>
          </w:tcPr>
          <w:p>
            <w:pPr>
              <w:spacing w:line="370" w:lineRule="exact"/>
              <w:ind w:left="-29" w:right="-29"/>
              <w:jc w:val="center"/>
              <w:rPr>
                <w:rFonts w:ascii="Arial" w:hAnsi="Arial" w:cs="Arial"/>
                <w:spacing w:val="-6"/>
                <w:sz w:val="16"/>
                <w:szCs w:val="16"/>
                <w:u w:val="single"/>
              </w:rPr>
            </w:pPr>
          </w:p>
        </w:tc>
        <w:tc>
          <w:tcPr>
            <w:tcW w:w="1710" w:type="dxa"/>
          </w:tcPr>
          <w:p>
            <w:pPr>
              <w:spacing w:line="370" w:lineRule="exact"/>
              <w:ind w:left="-29" w:right="-29"/>
              <w:jc w:val="center"/>
              <w:rPr>
                <w:rFonts w:ascii="Arial" w:hAnsi="Arial" w:cs="Arial"/>
                <w:spacing w:val="-6"/>
                <w:sz w:val="16"/>
                <w:szCs w:val="16"/>
                <w:u w:val="single"/>
              </w:rPr>
            </w:pPr>
          </w:p>
        </w:tc>
        <w:tc>
          <w:tcPr>
            <w:tcW w:w="1620" w:type="dxa"/>
          </w:tcPr>
          <w:p>
            <w:pPr>
              <w:spacing w:line="370" w:lineRule="exact"/>
              <w:ind w:left="-29" w:right="-29"/>
              <w:jc w:val="center"/>
              <w:rPr>
                <w:rFonts w:ascii="Arial" w:hAnsi="Arial" w:cs="Arial"/>
                <w:spacing w:val="-6"/>
                <w:sz w:val="16"/>
                <w:szCs w:val="16"/>
                <w:u w:val="single"/>
              </w:rPr>
            </w:pPr>
          </w:p>
        </w:tc>
      </w:tr>
      <w:tr>
        <w:tblPrEx>
          <w:tblCellMar>
            <w:top w:w="0" w:type="dxa"/>
            <w:left w:w="108" w:type="dxa"/>
            <w:bottom w:w="0" w:type="dxa"/>
            <w:right w:w="108" w:type="dxa"/>
          </w:tblCellMar>
        </w:tblPrEx>
        <w:trPr>
          <w:cantSplit/>
        </w:trPr>
        <w:tc>
          <w:tcPr>
            <w:tcW w:w="2610" w:type="dxa"/>
            <w:vAlign w:val="bottom"/>
          </w:tcPr>
          <w:p>
            <w:pPr>
              <w:spacing w:line="370" w:lineRule="exact"/>
              <w:rPr>
                <w:rFonts w:ascii="Arial" w:hAnsi="Arial" w:cs="Arial"/>
                <w:color w:val="000000"/>
                <w:spacing w:val="-6"/>
                <w:sz w:val="16"/>
                <w:szCs w:val="16"/>
              </w:rPr>
            </w:pPr>
            <w:r>
              <w:rPr>
                <w:rFonts w:ascii="Arial" w:hAnsi="Arial" w:cs="Arial"/>
                <w:spacing w:val="-4"/>
                <w:sz w:val="16"/>
                <w:szCs w:val="16"/>
              </w:rPr>
              <w:t>Revenues from external customers</w:t>
            </w:r>
          </w:p>
        </w:tc>
        <w:tc>
          <w:tcPr>
            <w:tcW w:w="1620" w:type="dxa"/>
            <w:vAlign w:val="bottom"/>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24,531</w:t>
            </w:r>
          </w:p>
        </w:tc>
        <w:tc>
          <w:tcPr>
            <w:tcW w:w="1620" w:type="dxa"/>
            <w:vAlign w:val="bottom"/>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13,031</w:t>
            </w:r>
          </w:p>
        </w:tc>
        <w:tc>
          <w:tcPr>
            <w:tcW w:w="1710" w:type="dxa"/>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w:t>
            </w:r>
          </w:p>
        </w:tc>
        <w:tc>
          <w:tcPr>
            <w:tcW w:w="1620" w:type="dxa"/>
            <w:vAlign w:val="bottom"/>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37,562</w:t>
            </w:r>
          </w:p>
        </w:tc>
      </w:tr>
      <w:tr>
        <w:tblPrEx>
          <w:tblCellMar>
            <w:top w:w="0" w:type="dxa"/>
            <w:left w:w="108" w:type="dxa"/>
            <w:bottom w:w="0" w:type="dxa"/>
            <w:right w:w="108" w:type="dxa"/>
          </w:tblCellMar>
        </w:tblPrEx>
        <w:trPr>
          <w:cantSplit/>
        </w:trPr>
        <w:tc>
          <w:tcPr>
            <w:tcW w:w="2610" w:type="dxa"/>
            <w:vAlign w:val="bottom"/>
          </w:tcPr>
          <w:p>
            <w:pPr>
              <w:spacing w:line="370" w:lineRule="exact"/>
              <w:rPr>
                <w:rFonts w:ascii="Arial" w:hAnsi="Arial" w:cs="Arial"/>
                <w:color w:val="000000"/>
                <w:spacing w:val="-6"/>
                <w:sz w:val="16"/>
                <w:szCs w:val="16"/>
              </w:rPr>
            </w:pPr>
            <w:r>
              <w:rPr>
                <w:rFonts w:ascii="Arial" w:hAnsi="Arial" w:cs="Arial"/>
                <w:spacing w:val="-4"/>
                <w:sz w:val="16"/>
                <w:szCs w:val="16"/>
              </w:rPr>
              <w:t>Inter-segment revenues</w:t>
            </w:r>
          </w:p>
        </w:tc>
        <w:tc>
          <w:tcPr>
            <w:tcW w:w="1620" w:type="dxa"/>
            <w:vAlign w:val="bottom"/>
          </w:tcPr>
          <w:p>
            <w:pPr>
              <w:pBdr>
                <w:bottom w:val="single" w:color="auto" w:sz="4" w:space="1"/>
              </w:pBd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w:t>
            </w:r>
          </w:p>
        </w:tc>
        <w:tc>
          <w:tcPr>
            <w:tcW w:w="1620" w:type="dxa"/>
            <w:vAlign w:val="bottom"/>
          </w:tcPr>
          <w:p>
            <w:pPr>
              <w:pBdr>
                <w:bottom w:val="single" w:color="auto" w:sz="4" w:space="1"/>
              </w:pBd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w:t>
            </w:r>
          </w:p>
        </w:tc>
        <w:tc>
          <w:tcPr>
            <w:tcW w:w="1710" w:type="dxa"/>
          </w:tcPr>
          <w:p>
            <w:pPr>
              <w:pBdr>
                <w:bottom w:val="single" w:color="auto" w:sz="4" w:space="1"/>
              </w:pBd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w:t>
            </w:r>
          </w:p>
        </w:tc>
        <w:tc>
          <w:tcPr>
            <w:tcW w:w="1620" w:type="dxa"/>
            <w:vAlign w:val="bottom"/>
          </w:tcPr>
          <w:p>
            <w:pPr>
              <w:pBdr>
                <w:bottom w:val="single" w:color="auto" w:sz="4" w:space="1"/>
              </w:pBd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w:t>
            </w:r>
          </w:p>
        </w:tc>
      </w:tr>
      <w:tr>
        <w:tblPrEx>
          <w:tblCellMar>
            <w:top w:w="0" w:type="dxa"/>
            <w:left w:w="108" w:type="dxa"/>
            <w:bottom w:w="0" w:type="dxa"/>
            <w:right w:w="108" w:type="dxa"/>
          </w:tblCellMar>
        </w:tblPrEx>
        <w:trPr>
          <w:cantSplit/>
        </w:trPr>
        <w:tc>
          <w:tcPr>
            <w:tcW w:w="2610" w:type="dxa"/>
            <w:vAlign w:val="bottom"/>
          </w:tcPr>
          <w:p>
            <w:pPr>
              <w:spacing w:line="370" w:lineRule="exact"/>
              <w:rPr>
                <w:rFonts w:ascii="Arial" w:hAnsi="Arial" w:cs="Arial"/>
                <w:b/>
                <w:bCs/>
                <w:color w:val="000000"/>
                <w:spacing w:val="-6"/>
                <w:sz w:val="16"/>
                <w:szCs w:val="16"/>
              </w:rPr>
            </w:pPr>
            <w:r>
              <w:rPr>
                <w:rFonts w:ascii="Arial" w:hAnsi="Arial" w:cs="Arial"/>
                <w:b/>
                <w:bCs/>
                <w:spacing w:val="-4"/>
                <w:sz w:val="16"/>
                <w:szCs w:val="16"/>
              </w:rPr>
              <w:t>Total Revenue</w:t>
            </w:r>
          </w:p>
        </w:tc>
        <w:tc>
          <w:tcPr>
            <w:tcW w:w="1620" w:type="dxa"/>
            <w:vAlign w:val="bottom"/>
          </w:tcPr>
          <w:p>
            <w:pPr>
              <w:pBdr>
                <w:bottom w:val="double" w:color="auto" w:sz="4" w:space="1"/>
              </w:pBd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24,531</w:t>
            </w:r>
          </w:p>
        </w:tc>
        <w:tc>
          <w:tcPr>
            <w:tcW w:w="1620" w:type="dxa"/>
            <w:vAlign w:val="bottom"/>
          </w:tcPr>
          <w:p>
            <w:pPr>
              <w:pBdr>
                <w:bottom w:val="double" w:color="auto" w:sz="4" w:space="1"/>
              </w:pBd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13,031</w:t>
            </w:r>
          </w:p>
        </w:tc>
        <w:tc>
          <w:tcPr>
            <w:tcW w:w="1710" w:type="dxa"/>
          </w:tcPr>
          <w:p>
            <w:pPr>
              <w:pBdr>
                <w:bottom w:val="double" w:color="auto" w:sz="4" w:space="1"/>
              </w:pBd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w:t>
            </w:r>
          </w:p>
        </w:tc>
        <w:tc>
          <w:tcPr>
            <w:tcW w:w="1620" w:type="dxa"/>
            <w:vAlign w:val="bottom"/>
          </w:tcPr>
          <w:p>
            <w:pPr>
              <w:pBdr>
                <w:bottom w:val="double" w:color="auto" w:sz="4" w:space="1"/>
              </w:pBd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37,562</w:t>
            </w:r>
          </w:p>
        </w:tc>
      </w:tr>
      <w:tr>
        <w:tblPrEx>
          <w:tblCellMar>
            <w:top w:w="0" w:type="dxa"/>
            <w:left w:w="108" w:type="dxa"/>
            <w:bottom w:w="0" w:type="dxa"/>
            <w:right w:w="108" w:type="dxa"/>
          </w:tblCellMar>
        </w:tblPrEx>
        <w:trPr>
          <w:cantSplit/>
        </w:trPr>
        <w:tc>
          <w:tcPr>
            <w:tcW w:w="2610" w:type="dxa"/>
            <w:shd w:val="clear" w:color="auto" w:fill="auto"/>
            <w:vAlign w:val="bottom"/>
          </w:tcPr>
          <w:p>
            <w:pPr>
              <w:tabs>
                <w:tab w:val="decimal" w:pos="413"/>
              </w:tabs>
              <w:spacing w:line="370" w:lineRule="exact"/>
              <w:ind w:left="-29" w:right="-58"/>
              <w:rPr>
                <w:rFonts w:ascii="Arial" w:hAnsi="Arial" w:cs="Arial"/>
                <w:spacing w:val="-6"/>
                <w:sz w:val="16"/>
                <w:szCs w:val="16"/>
              </w:rPr>
            </w:pPr>
            <w:r>
              <w:rPr>
                <w:rFonts w:ascii="Arial" w:hAnsi="Arial" w:cs="Arial"/>
                <w:spacing w:val="-4"/>
                <w:sz w:val="16"/>
                <w:szCs w:val="16"/>
              </w:rPr>
              <w:t xml:space="preserve">Segment profit </w:t>
            </w:r>
          </w:p>
        </w:tc>
        <w:tc>
          <w:tcPr>
            <w:tcW w:w="1620" w:type="dxa"/>
            <w:vAlign w:val="bottom"/>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13,919</w:t>
            </w:r>
          </w:p>
        </w:tc>
        <w:tc>
          <w:tcPr>
            <w:tcW w:w="1620" w:type="dxa"/>
            <w:vAlign w:val="bottom"/>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5,422</w:t>
            </w:r>
          </w:p>
        </w:tc>
        <w:tc>
          <w:tcPr>
            <w:tcW w:w="1710" w:type="dxa"/>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w:t>
            </w:r>
          </w:p>
        </w:tc>
        <w:tc>
          <w:tcPr>
            <w:tcW w:w="1620" w:type="dxa"/>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19,341</w:t>
            </w:r>
          </w:p>
        </w:tc>
      </w:tr>
      <w:tr>
        <w:tblPrEx>
          <w:tblCellMar>
            <w:top w:w="0" w:type="dxa"/>
            <w:left w:w="108" w:type="dxa"/>
            <w:bottom w:w="0" w:type="dxa"/>
            <w:right w:w="108" w:type="dxa"/>
          </w:tblCellMar>
        </w:tblPrEx>
        <w:trPr>
          <w:cantSplit/>
        </w:trPr>
        <w:tc>
          <w:tcPr>
            <w:tcW w:w="4230" w:type="dxa"/>
            <w:gridSpan w:val="2"/>
            <w:vAlign w:val="bottom"/>
          </w:tcPr>
          <w:p>
            <w:pPr>
              <w:tabs>
                <w:tab w:val="decimal" w:pos="413"/>
              </w:tabs>
              <w:spacing w:line="370" w:lineRule="exact"/>
              <w:ind w:left="-29" w:right="-58"/>
              <w:rPr>
                <w:rFonts w:ascii="Arial" w:hAnsi="Arial" w:cs="Arial"/>
                <w:sz w:val="16"/>
                <w:szCs w:val="16"/>
              </w:rPr>
            </w:pPr>
            <w:r>
              <w:rPr>
                <w:rFonts w:ascii="Arial" w:hAnsi="Arial" w:cs="Arial"/>
                <w:sz w:val="16"/>
                <w:szCs w:val="16"/>
              </w:rPr>
              <w:t>Unallocated revenues and expenses:</w:t>
            </w:r>
          </w:p>
        </w:tc>
        <w:tc>
          <w:tcPr>
            <w:tcW w:w="1620" w:type="dxa"/>
            <w:vAlign w:val="bottom"/>
          </w:tcPr>
          <w:p>
            <w:pPr>
              <w:tabs>
                <w:tab w:val="decimal" w:pos="1244"/>
              </w:tabs>
              <w:spacing w:line="370" w:lineRule="exact"/>
              <w:ind w:left="-29" w:right="-58"/>
              <w:rPr>
                <w:rFonts w:ascii="Arial" w:hAnsi="Arial" w:cs="Arial"/>
                <w:spacing w:val="-6"/>
                <w:sz w:val="16"/>
                <w:szCs w:val="16"/>
              </w:rPr>
            </w:pPr>
          </w:p>
        </w:tc>
        <w:tc>
          <w:tcPr>
            <w:tcW w:w="1710" w:type="dxa"/>
          </w:tcPr>
          <w:p>
            <w:pPr>
              <w:tabs>
                <w:tab w:val="decimal" w:pos="1244"/>
              </w:tabs>
              <w:spacing w:line="370" w:lineRule="exact"/>
              <w:ind w:left="-29" w:right="-58"/>
              <w:rPr>
                <w:rFonts w:ascii="Arial" w:hAnsi="Arial" w:cs="Arial"/>
                <w:spacing w:val="-6"/>
                <w:sz w:val="16"/>
                <w:szCs w:val="16"/>
              </w:rPr>
            </w:pPr>
          </w:p>
        </w:tc>
        <w:tc>
          <w:tcPr>
            <w:tcW w:w="1620" w:type="dxa"/>
          </w:tcPr>
          <w:p>
            <w:pPr>
              <w:tabs>
                <w:tab w:val="decimal" w:pos="1244"/>
              </w:tabs>
              <w:spacing w:line="370" w:lineRule="exact"/>
              <w:ind w:left="-29" w:right="-29"/>
              <w:rPr>
                <w:rFonts w:ascii="Arial" w:hAnsi="Arial" w:cs="Arial"/>
                <w:spacing w:val="-6"/>
                <w:sz w:val="16"/>
                <w:szCs w:val="16"/>
              </w:rPr>
            </w:pPr>
          </w:p>
        </w:tc>
      </w:tr>
      <w:tr>
        <w:tblPrEx>
          <w:tblCellMar>
            <w:top w:w="0" w:type="dxa"/>
            <w:left w:w="108" w:type="dxa"/>
            <w:bottom w:w="0" w:type="dxa"/>
            <w:right w:w="108" w:type="dxa"/>
          </w:tblCellMar>
        </w:tblPrEx>
        <w:trPr>
          <w:cantSplit/>
        </w:trPr>
        <w:tc>
          <w:tcPr>
            <w:tcW w:w="4230" w:type="dxa"/>
            <w:gridSpan w:val="2"/>
          </w:tcPr>
          <w:p>
            <w:pPr>
              <w:tabs>
                <w:tab w:val="decimal" w:pos="413"/>
              </w:tabs>
              <w:spacing w:line="370" w:lineRule="exact"/>
              <w:ind w:left="-29" w:right="-58"/>
              <w:rPr>
                <w:rFonts w:ascii="Arial" w:hAnsi="Arial" w:cs="Arial"/>
                <w:spacing w:val="-6"/>
                <w:sz w:val="16"/>
                <w:szCs w:val="16"/>
              </w:rPr>
            </w:pPr>
            <w:r>
              <w:rPr>
                <w:rFonts w:ascii="Arial" w:hAnsi="Arial" w:cs="Arial"/>
                <w:sz w:val="16"/>
                <w:szCs w:val="16"/>
              </w:rPr>
              <w:t>Other income</w:t>
            </w:r>
          </w:p>
        </w:tc>
        <w:tc>
          <w:tcPr>
            <w:tcW w:w="1620" w:type="dxa"/>
            <w:vAlign w:val="bottom"/>
          </w:tcPr>
          <w:p>
            <w:pPr>
              <w:tabs>
                <w:tab w:val="decimal" w:pos="1244"/>
              </w:tabs>
              <w:spacing w:line="370" w:lineRule="exact"/>
              <w:ind w:left="-29" w:right="-58"/>
              <w:rPr>
                <w:rFonts w:ascii="Arial" w:hAnsi="Arial" w:cs="Arial"/>
                <w:spacing w:val="-6"/>
                <w:sz w:val="16"/>
                <w:szCs w:val="16"/>
              </w:rPr>
            </w:pPr>
          </w:p>
        </w:tc>
        <w:tc>
          <w:tcPr>
            <w:tcW w:w="1710" w:type="dxa"/>
          </w:tcPr>
          <w:p>
            <w:pPr>
              <w:tabs>
                <w:tab w:val="decimal" w:pos="1244"/>
              </w:tabs>
              <w:spacing w:line="370" w:lineRule="exact"/>
              <w:ind w:left="-29" w:right="-58"/>
              <w:rPr>
                <w:rFonts w:ascii="Arial" w:hAnsi="Arial" w:cs="Arial"/>
                <w:spacing w:val="-6"/>
                <w:sz w:val="16"/>
                <w:szCs w:val="16"/>
              </w:rPr>
            </w:pPr>
          </w:p>
        </w:tc>
        <w:tc>
          <w:tcPr>
            <w:tcW w:w="1620" w:type="dxa"/>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1,501</w:t>
            </w:r>
          </w:p>
        </w:tc>
      </w:tr>
      <w:tr>
        <w:tblPrEx>
          <w:tblCellMar>
            <w:top w:w="0" w:type="dxa"/>
            <w:left w:w="108" w:type="dxa"/>
            <w:bottom w:w="0" w:type="dxa"/>
            <w:right w:w="108" w:type="dxa"/>
          </w:tblCellMar>
        </w:tblPrEx>
        <w:trPr>
          <w:cantSplit/>
        </w:trPr>
        <w:tc>
          <w:tcPr>
            <w:tcW w:w="4230" w:type="dxa"/>
            <w:gridSpan w:val="2"/>
          </w:tcPr>
          <w:p>
            <w:pPr>
              <w:tabs>
                <w:tab w:val="decimal" w:pos="413"/>
              </w:tabs>
              <w:spacing w:line="370" w:lineRule="exact"/>
              <w:ind w:left="-29" w:right="-58"/>
              <w:rPr>
                <w:rFonts w:ascii="Arial" w:hAnsi="Arial" w:cs="Arial"/>
                <w:spacing w:val="-6"/>
                <w:sz w:val="16"/>
                <w:szCs w:val="16"/>
              </w:rPr>
            </w:pPr>
            <w:r>
              <w:rPr>
                <w:rFonts w:ascii="Arial" w:hAnsi="Arial" w:cs="Arial"/>
                <w:sz w:val="16"/>
                <w:szCs w:val="16"/>
              </w:rPr>
              <w:t>Selling and distribution expenses</w:t>
            </w:r>
          </w:p>
        </w:tc>
        <w:tc>
          <w:tcPr>
            <w:tcW w:w="1620" w:type="dxa"/>
            <w:vAlign w:val="bottom"/>
          </w:tcPr>
          <w:p>
            <w:pPr>
              <w:tabs>
                <w:tab w:val="decimal" w:pos="1244"/>
              </w:tabs>
              <w:spacing w:line="370" w:lineRule="exact"/>
              <w:ind w:left="-29" w:right="-58"/>
              <w:rPr>
                <w:rFonts w:ascii="Arial" w:hAnsi="Arial" w:cs="Arial"/>
                <w:spacing w:val="-6"/>
                <w:sz w:val="16"/>
                <w:szCs w:val="16"/>
              </w:rPr>
            </w:pPr>
          </w:p>
        </w:tc>
        <w:tc>
          <w:tcPr>
            <w:tcW w:w="1710" w:type="dxa"/>
          </w:tcPr>
          <w:p>
            <w:pPr>
              <w:tabs>
                <w:tab w:val="decimal" w:pos="1244"/>
              </w:tabs>
              <w:spacing w:line="370" w:lineRule="exact"/>
              <w:ind w:left="-29" w:right="-58"/>
              <w:rPr>
                <w:rFonts w:ascii="Arial" w:hAnsi="Arial" w:cs="Arial"/>
                <w:spacing w:val="-6"/>
                <w:sz w:val="16"/>
                <w:szCs w:val="16"/>
              </w:rPr>
            </w:pPr>
          </w:p>
        </w:tc>
        <w:tc>
          <w:tcPr>
            <w:tcW w:w="1620" w:type="dxa"/>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(1,761)</w:t>
            </w:r>
          </w:p>
        </w:tc>
      </w:tr>
      <w:tr>
        <w:tblPrEx>
          <w:tblCellMar>
            <w:top w:w="0" w:type="dxa"/>
            <w:left w:w="108" w:type="dxa"/>
            <w:bottom w:w="0" w:type="dxa"/>
            <w:right w:w="108" w:type="dxa"/>
          </w:tblCellMar>
        </w:tblPrEx>
        <w:trPr>
          <w:cantSplit/>
        </w:trPr>
        <w:tc>
          <w:tcPr>
            <w:tcW w:w="4230" w:type="dxa"/>
            <w:gridSpan w:val="2"/>
          </w:tcPr>
          <w:p>
            <w:pPr>
              <w:tabs>
                <w:tab w:val="decimal" w:pos="413"/>
              </w:tabs>
              <w:spacing w:line="370" w:lineRule="exact"/>
              <w:ind w:left="-29" w:right="-58"/>
              <w:rPr>
                <w:rFonts w:ascii="Arial" w:hAnsi="Arial" w:cs="Arial"/>
                <w:spacing w:val="-6"/>
                <w:sz w:val="16"/>
                <w:szCs w:val="16"/>
              </w:rPr>
            </w:pPr>
            <w:r>
              <w:rPr>
                <w:rFonts w:ascii="Arial" w:hAnsi="Arial" w:cs="Arial"/>
                <w:sz w:val="16"/>
                <w:szCs w:val="16"/>
              </w:rPr>
              <w:t>Administrative expenses</w:t>
            </w:r>
          </w:p>
        </w:tc>
        <w:tc>
          <w:tcPr>
            <w:tcW w:w="1620" w:type="dxa"/>
            <w:vAlign w:val="bottom"/>
          </w:tcPr>
          <w:p>
            <w:pPr>
              <w:tabs>
                <w:tab w:val="decimal" w:pos="1244"/>
              </w:tabs>
              <w:spacing w:line="370" w:lineRule="exact"/>
              <w:ind w:left="-29" w:right="-58"/>
              <w:rPr>
                <w:rFonts w:ascii="Arial" w:hAnsi="Arial" w:cs="Arial"/>
                <w:spacing w:val="-6"/>
                <w:sz w:val="16"/>
                <w:szCs w:val="16"/>
              </w:rPr>
            </w:pPr>
          </w:p>
        </w:tc>
        <w:tc>
          <w:tcPr>
            <w:tcW w:w="1710" w:type="dxa"/>
          </w:tcPr>
          <w:p>
            <w:pPr>
              <w:tabs>
                <w:tab w:val="decimal" w:pos="1244"/>
              </w:tabs>
              <w:spacing w:line="370" w:lineRule="exact"/>
              <w:ind w:left="-29" w:right="-58"/>
              <w:rPr>
                <w:rFonts w:ascii="Arial" w:hAnsi="Arial" w:cs="Arial"/>
                <w:spacing w:val="-6"/>
                <w:sz w:val="16"/>
                <w:szCs w:val="16"/>
              </w:rPr>
            </w:pPr>
          </w:p>
        </w:tc>
        <w:tc>
          <w:tcPr>
            <w:tcW w:w="1620" w:type="dxa"/>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(6,579)</w:t>
            </w:r>
          </w:p>
        </w:tc>
      </w:tr>
      <w:tr>
        <w:tblPrEx>
          <w:tblCellMar>
            <w:top w:w="0" w:type="dxa"/>
            <w:left w:w="108" w:type="dxa"/>
            <w:bottom w:w="0" w:type="dxa"/>
            <w:right w:w="108" w:type="dxa"/>
          </w:tblCellMar>
        </w:tblPrEx>
        <w:trPr>
          <w:cantSplit/>
        </w:trPr>
        <w:tc>
          <w:tcPr>
            <w:tcW w:w="4230" w:type="dxa"/>
            <w:gridSpan w:val="2"/>
          </w:tcPr>
          <w:p>
            <w:pPr>
              <w:tabs>
                <w:tab w:val="decimal" w:pos="413"/>
              </w:tabs>
              <w:spacing w:line="370" w:lineRule="exact"/>
              <w:ind w:left="-29" w:right="-58"/>
              <w:rPr>
                <w:rFonts w:ascii="Arial" w:hAnsi="Arial" w:cs="Arial"/>
                <w:sz w:val="16"/>
                <w:szCs w:val="16"/>
              </w:rPr>
            </w:pPr>
            <w:r>
              <w:rPr>
                <w:rFonts w:ascii="Arial" w:hAnsi="Arial" w:cs="Arial"/>
                <w:sz w:val="16"/>
                <w:szCs w:val="16"/>
              </w:rPr>
              <w:t>Share of loss from investments in associates</w:t>
            </w:r>
          </w:p>
        </w:tc>
        <w:tc>
          <w:tcPr>
            <w:tcW w:w="1620" w:type="dxa"/>
            <w:vAlign w:val="bottom"/>
          </w:tcPr>
          <w:p>
            <w:pPr>
              <w:tabs>
                <w:tab w:val="decimal" w:pos="1244"/>
              </w:tabs>
              <w:spacing w:line="370" w:lineRule="exact"/>
              <w:ind w:left="-29" w:right="-58"/>
              <w:rPr>
                <w:rFonts w:ascii="Arial" w:hAnsi="Arial" w:cs="Arial"/>
                <w:spacing w:val="-6"/>
                <w:sz w:val="16"/>
                <w:szCs w:val="16"/>
              </w:rPr>
            </w:pPr>
          </w:p>
        </w:tc>
        <w:tc>
          <w:tcPr>
            <w:tcW w:w="1710" w:type="dxa"/>
          </w:tcPr>
          <w:p>
            <w:pPr>
              <w:tabs>
                <w:tab w:val="decimal" w:pos="1244"/>
              </w:tabs>
              <w:spacing w:line="370" w:lineRule="exact"/>
              <w:ind w:left="-29" w:right="-58"/>
              <w:rPr>
                <w:rFonts w:ascii="Arial" w:hAnsi="Arial" w:cs="Arial"/>
                <w:spacing w:val="-6"/>
                <w:sz w:val="16"/>
                <w:szCs w:val="16"/>
              </w:rPr>
            </w:pPr>
          </w:p>
        </w:tc>
        <w:tc>
          <w:tcPr>
            <w:tcW w:w="1620" w:type="dxa"/>
          </w:tcPr>
          <w:p>
            <w:pP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(1,073)</w:t>
            </w:r>
          </w:p>
        </w:tc>
      </w:tr>
      <w:tr>
        <w:tblPrEx>
          <w:tblCellMar>
            <w:top w:w="0" w:type="dxa"/>
            <w:left w:w="108" w:type="dxa"/>
            <w:bottom w:w="0" w:type="dxa"/>
            <w:right w:w="108" w:type="dxa"/>
          </w:tblCellMar>
        </w:tblPrEx>
        <w:trPr>
          <w:cantSplit/>
        </w:trPr>
        <w:tc>
          <w:tcPr>
            <w:tcW w:w="4230" w:type="dxa"/>
            <w:gridSpan w:val="2"/>
          </w:tcPr>
          <w:p>
            <w:pPr>
              <w:tabs>
                <w:tab w:val="decimal" w:pos="413"/>
              </w:tabs>
              <w:spacing w:line="370" w:lineRule="exact"/>
              <w:ind w:left="-29" w:right="-58"/>
              <w:rPr>
                <w:rFonts w:ascii="Arial" w:hAnsi="Arial" w:cs="Arial"/>
                <w:spacing w:val="-6"/>
                <w:sz w:val="16"/>
                <w:szCs w:val="16"/>
              </w:rPr>
            </w:pPr>
            <w:r>
              <w:rPr>
                <w:rFonts w:ascii="Arial" w:hAnsi="Arial" w:cs="Arial"/>
                <w:sz w:val="16"/>
                <w:szCs w:val="16"/>
              </w:rPr>
              <w:t>Income tax expenses</w:t>
            </w:r>
          </w:p>
        </w:tc>
        <w:tc>
          <w:tcPr>
            <w:tcW w:w="1620" w:type="dxa"/>
            <w:vAlign w:val="bottom"/>
          </w:tcPr>
          <w:p>
            <w:pPr>
              <w:tabs>
                <w:tab w:val="decimal" w:pos="1244"/>
              </w:tabs>
              <w:spacing w:line="370" w:lineRule="exact"/>
              <w:ind w:left="-29" w:right="-58"/>
              <w:rPr>
                <w:rFonts w:ascii="Arial" w:hAnsi="Arial" w:cs="Arial"/>
                <w:spacing w:val="-6"/>
                <w:sz w:val="16"/>
                <w:szCs w:val="16"/>
              </w:rPr>
            </w:pPr>
          </w:p>
        </w:tc>
        <w:tc>
          <w:tcPr>
            <w:tcW w:w="1710" w:type="dxa"/>
          </w:tcPr>
          <w:p>
            <w:pPr>
              <w:tabs>
                <w:tab w:val="decimal" w:pos="1244"/>
              </w:tabs>
              <w:spacing w:line="370" w:lineRule="exact"/>
              <w:ind w:left="-29" w:right="-58"/>
              <w:rPr>
                <w:rFonts w:ascii="Arial" w:hAnsi="Arial" w:cs="Arial"/>
                <w:spacing w:val="-6"/>
                <w:sz w:val="16"/>
                <w:szCs w:val="16"/>
              </w:rPr>
            </w:pPr>
          </w:p>
        </w:tc>
        <w:tc>
          <w:tcPr>
            <w:tcW w:w="1620" w:type="dxa"/>
          </w:tcPr>
          <w:p>
            <w:pPr>
              <w:pBdr>
                <w:bottom w:val="single" w:color="auto" w:sz="4" w:space="1"/>
              </w:pBd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(2,167)</w:t>
            </w:r>
          </w:p>
        </w:tc>
      </w:tr>
      <w:tr>
        <w:tblPrEx>
          <w:tblCellMar>
            <w:top w:w="0" w:type="dxa"/>
            <w:left w:w="108" w:type="dxa"/>
            <w:bottom w:w="0" w:type="dxa"/>
            <w:right w:w="108" w:type="dxa"/>
          </w:tblCellMar>
        </w:tblPrEx>
        <w:trPr>
          <w:cantSplit/>
        </w:trPr>
        <w:tc>
          <w:tcPr>
            <w:tcW w:w="4230" w:type="dxa"/>
            <w:gridSpan w:val="2"/>
          </w:tcPr>
          <w:p>
            <w:pPr>
              <w:tabs>
                <w:tab w:val="decimal" w:pos="413"/>
              </w:tabs>
              <w:spacing w:line="370" w:lineRule="exact"/>
              <w:ind w:left="-29" w:right="-58"/>
              <w:rPr>
                <w:rFonts w:ascii="Arial" w:hAnsi="Arial" w:cs="Arial"/>
                <w:spacing w:val="-6"/>
                <w:sz w:val="16"/>
                <w:szCs w:val="16"/>
              </w:rPr>
            </w:pPr>
            <w:r>
              <w:rPr>
                <w:rFonts w:ascii="Arial" w:hAnsi="Arial" w:cs="Arial"/>
                <w:sz w:val="16"/>
                <w:szCs w:val="16"/>
              </w:rPr>
              <w:t xml:space="preserve">Profit for the period </w:t>
            </w:r>
          </w:p>
        </w:tc>
        <w:tc>
          <w:tcPr>
            <w:tcW w:w="1620" w:type="dxa"/>
            <w:vAlign w:val="bottom"/>
          </w:tcPr>
          <w:p>
            <w:pPr>
              <w:tabs>
                <w:tab w:val="decimal" w:pos="1244"/>
              </w:tabs>
              <w:spacing w:line="370" w:lineRule="exact"/>
              <w:ind w:left="-29" w:right="-58"/>
              <w:rPr>
                <w:rFonts w:ascii="Arial" w:hAnsi="Arial" w:cs="Arial"/>
                <w:spacing w:val="-6"/>
                <w:sz w:val="16"/>
                <w:szCs w:val="16"/>
              </w:rPr>
            </w:pPr>
          </w:p>
        </w:tc>
        <w:tc>
          <w:tcPr>
            <w:tcW w:w="1710" w:type="dxa"/>
          </w:tcPr>
          <w:p>
            <w:pPr>
              <w:tabs>
                <w:tab w:val="decimal" w:pos="1244"/>
              </w:tabs>
              <w:spacing w:line="370" w:lineRule="exact"/>
              <w:ind w:left="-29" w:right="-58"/>
              <w:rPr>
                <w:rFonts w:ascii="Arial" w:hAnsi="Arial" w:cs="Arial"/>
                <w:spacing w:val="-6"/>
                <w:sz w:val="16"/>
                <w:szCs w:val="16"/>
              </w:rPr>
            </w:pPr>
          </w:p>
        </w:tc>
        <w:tc>
          <w:tcPr>
            <w:tcW w:w="1620" w:type="dxa"/>
          </w:tcPr>
          <w:p>
            <w:pPr>
              <w:pBdr>
                <w:bottom w:val="double" w:color="auto" w:sz="4" w:space="1"/>
              </w:pBdr>
              <w:tabs>
                <w:tab w:val="decimal" w:pos="1244"/>
              </w:tabs>
              <w:spacing w:line="370" w:lineRule="exact"/>
              <w:ind w:left="-29" w:right="-29"/>
              <w:rPr>
                <w:rFonts w:ascii="Arial" w:hAnsi="Arial" w:cs="Arial"/>
                <w:spacing w:val="-6"/>
                <w:sz w:val="16"/>
                <w:szCs w:val="16"/>
              </w:rPr>
            </w:pPr>
            <w:r>
              <w:rPr>
                <w:rFonts w:ascii="Arial" w:hAnsi="Arial" w:cs="Arial"/>
                <w:spacing w:val="-6"/>
                <w:sz w:val="16"/>
                <w:szCs w:val="16"/>
              </w:rPr>
              <w:t>9,262</w:t>
            </w:r>
          </w:p>
        </w:tc>
      </w:tr>
    </w:tbl>
    <w:p>
      <w:pPr>
        <w:spacing w:line="370" w:lineRule="exact"/>
      </w:pPr>
    </w:p>
    <w:tbl>
      <w:tblPr>
        <w:tblStyle w:val="8"/>
        <w:tblW w:w="9181" w:type="dxa"/>
        <w:tblInd w:w="450" w:type="dxa"/>
        <w:tblLayout w:type="fixed"/>
        <w:tblCellMar>
          <w:top w:w="0" w:type="dxa"/>
          <w:left w:w="108" w:type="dxa"/>
          <w:bottom w:w="0" w:type="dxa"/>
          <w:right w:w="108" w:type="dxa"/>
        </w:tblCellMar>
      </w:tblPr>
      <w:tblGrid>
        <w:gridCol w:w="2610"/>
        <w:gridCol w:w="1621"/>
        <w:gridCol w:w="1620"/>
        <w:gridCol w:w="1710"/>
        <w:gridCol w:w="1620"/>
      </w:tblGrid>
      <w:tr>
        <w:tblPrEx>
          <w:tblCellMar>
            <w:top w:w="0" w:type="dxa"/>
            <w:left w:w="108" w:type="dxa"/>
            <w:bottom w:w="0" w:type="dxa"/>
            <w:right w:w="108" w:type="dxa"/>
          </w:tblCellMar>
        </w:tblPrEx>
        <w:trPr>
          <w:cantSplit/>
        </w:trPr>
        <w:tc>
          <w:tcPr>
            <w:tcW w:w="9181" w:type="dxa"/>
            <w:gridSpan w:val="5"/>
          </w:tcPr>
          <w:p>
            <w:pPr>
              <w:spacing w:line="370" w:lineRule="exact"/>
              <w:jc w:val="right"/>
              <w:rPr>
                <w:rFonts w:ascii="Arial" w:hAnsi="Arial" w:cs="Arial"/>
                <w:sz w:val="16"/>
                <w:szCs w:val="16"/>
              </w:rPr>
            </w:pPr>
            <w:r>
              <w:rPr>
                <w:rFonts w:ascii="Arial" w:hAnsi="Arial" w:cs="Arial"/>
                <w:sz w:val="16"/>
                <w:szCs w:val="16"/>
                <w:cs/>
              </w:rPr>
              <w:t>(</w:t>
            </w:r>
            <w:r>
              <w:rPr>
                <w:rFonts w:ascii="Arial" w:hAnsi="Arial" w:cs="Arial"/>
                <w:sz w:val="16"/>
                <w:szCs w:val="16"/>
              </w:rPr>
              <w:t>Unit: Thousand Baht)</w:t>
            </w:r>
          </w:p>
        </w:tc>
      </w:tr>
      <w:tr>
        <w:tblPrEx>
          <w:tblCellMar>
            <w:top w:w="0" w:type="dxa"/>
            <w:left w:w="108" w:type="dxa"/>
            <w:bottom w:w="0" w:type="dxa"/>
            <w:right w:w="108" w:type="dxa"/>
          </w:tblCellMar>
        </w:tblPrEx>
        <w:trPr>
          <w:cantSplit/>
        </w:trPr>
        <w:tc>
          <w:tcPr>
            <w:tcW w:w="2610" w:type="dxa"/>
          </w:tcPr>
          <w:p>
            <w:pPr>
              <w:spacing w:line="370" w:lineRule="exact"/>
              <w:ind w:right="-198"/>
              <w:rPr>
                <w:rFonts w:ascii="Arial" w:hAnsi="Arial" w:cs="Arial"/>
                <w:sz w:val="16"/>
                <w:szCs w:val="16"/>
              </w:rPr>
            </w:pPr>
            <w:r>
              <w:rPr>
                <w:rFonts w:ascii="Arial" w:hAnsi="Arial" w:cs="Arial"/>
                <w:sz w:val="16"/>
                <w:szCs w:val="16"/>
              </w:rPr>
              <w:br w:type="page"/>
            </w:r>
          </w:p>
        </w:tc>
        <w:tc>
          <w:tcPr>
            <w:tcW w:w="6571" w:type="dxa"/>
            <w:gridSpan w:val="4"/>
            <w:vAlign w:val="bottom"/>
          </w:tcPr>
          <w:p>
            <w:pPr>
              <w:pBdr>
                <w:bottom w:val="single" w:color="auto" w:sz="4" w:space="1"/>
              </w:pBdr>
              <w:spacing w:line="370" w:lineRule="exact"/>
              <w:ind w:left="-29" w:right="-58"/>
              <w:jc w:val="center"/>
              <w:rPr>
                <w:rFonts w:ascii="Arial" w:hAnsi="Arial" w:cs="Arial"/>
                <w:sz w:val="16"/>
                <w:szCs w:val="16"/>
                <w:cs/>
              </w:rPr>
            </w:pPr>
            <w:r>
              <w:rPr>
                <w:rFonts w:ascii="Arial" w:hAnsi="Arial" w:cs="Arial"/>
                <w:sz w:val="16"/>
                <w:szCs w:val="16"/>
              </w:rPr>
              <w:t>For the nine-month periods ended 30 September 2022</w:t>
            </w:r>
          </w:p>
        </w:tc>
      </w:tr>
      <w:tr>
        <w:tblPrEx>
          <w:tblCellMar>
            <w:top w:w="0" w:type="dxa"/>
            <w:left w:w="108" w:type="dxa"/>
            <w:bottom w:w="0" w:type="dxa"/>
            <w:right w:w="108" w:type="dxa"/>
          </w:tblCellMar>
        </w:tblPrEx>
        <w:trPr>
          <w:cantSplit/>
          <w:trHeight w:val="171" w:hRule="atLeast"/>
        </w:trPr>
        <w:tc>
          <w:tcPr>
            <w:tcW w:w="2610" w:type="dxa"/>
          </w:tcPr>
          <w:p>
            <w:pPr>
              <w:spacing w:line="370" w:lineRule="exact"/>
              <w:ind w:right="-198"/>
              <w:rPr>
                <w:rFonts w:ascii="Arial" w:hAnsi="Arial" w:cs="Arial"/>
                <w:sz w:val="16"/>
                <w:szCs w:val="16"/>
                <w:cs/>
              </w:rPr>
            </w:pPr>
          </w:p>
        </w:tc>
        <w:tc>
          <w:tcPr>
            <w:tcW w:w="1621" w:type="dxa"/>
            <w:vAlign w:val="bottom"/>
          </w:tcPr>
          <w:p>
            <w:pPr>
              <w:pBdr>
                <w:bottom w:val="single" w:color="auto" w:sz="4" w:space="1"/>
              </w:pBdr>
              <w:spacing w:line="370" w:lineRule="exact"/>
              <w:ind w:left="-29" w:right="-29"/>
              <w:jc w:val="center"/>
              <w:rPr>
                <w:rFonts w:ascii="Arial" w:hAnsi="Arial" w:cs="Arial"/>
                <w:sz w:val="16"/>
                <w:szCs w:val="16"/>
                <w:cs/>
              </w:rPr>
            </w:pPr>
            <w:r>
              <w:rPr>
                <w:rFonts w:ascii="Arial" w:hAnsi="Arial" w:cs="Arial"/>
                <w:sz w:val="16"/>
                <w:szCs w:val="16"/>
              </w:rPr>
              <w:t>Service segment</w:t>
            </w:r>
          </w:p>
        </w:tc>
        <w:tc>
          <w:tcPr>
            <w:tcW w:w="1620" w:type="dxa"/>
            <w:vAlign w:val="bottom"/>
          </w:tcPr>
          <w:p>
            <w:pPr>
              <w:pBdr>
                <w:bottom w:val="single" w:color="auto" w:sz="4" w:space="1"/>
              </w:pBdr>
              <w:spacing w:line="370" w:lineRule="exact"/>
              <w:ind w:left="-29" w:right="-29"/>
              <w:jc w:val="center"/>
              <w:rPr>
                <w:rFonts w:ascii="Arial" w:hAnsi="Arial" w:cs="Arial"/>
                <w:sz w:val="16"/>
                <w:szCs w:val="16"/>
                <w:cs/>
              </w:rPr>
            </w:pPr>
            <w:r>
              <w:rPr>
                <w:rFonts w:ascii="Arial" w:hAnsi="Arial" w:cs="Arial"/>
                <w:sz w:val="16"/>
                <w:szCs w:val="16"/>
              </w:rPr>
              <w:t>Sale segment</w:t>
            </w:r>
          </w:p>
        </w:tc>
        <w:tc>
          <w:tcPr>
            <w:tcW w:w="1710" w:type="dxa"/>
          </w:tcPr>
          <w:p>
            <w:pPr>
              <w:pBdr>
                <w:bottom w:val="single" w:color="auto" w:sz="4" w:space="1"/>
              </w:pBdr>
              <w:spacing w:line="370" w:lineRule="exact"/>
              <w:ind w:left="-29" w:right="-29"/>
              <w:jc w:val="center"/>
              <w:rPr>
                <w:rFonts w:ascii="Arial" w:hAnsi="Arial" w:cs="Arial"/>
                <w:spacing w:val="-6"/>
                <w:sz w:val="16"/>
                <w:szCs w:val="16"/>
              </w:rPr>
            </w:pPr>
            <w:r>
              <w:rPr>
                <w:rFonts w:ascii="Arial" w:hAnsi="Arial" w:cs="Arial"/>
                <w:spacing w:val="-6"/>
                <w:sz w:val="16"/>
                <w:szCs w:val="16"/>
              </w:rPr>
              <w:t>Elimination of</w:t>
            </w:r>
          </w:p>
          <w:p>
            <w:pPr>
              <w:pBdr>
                <w:bottom w:val="single" w:color="auto" w:sz="4" w:space="1"/>
              </w:pBdr>
              <w:spacing w:line="370" w:lineRule="exact"/>
              <w:ind w:left="-29" w:right="-29"/>
              <w:jc w:val="center"/>
              <w:rPr>
                <w:rFonts w:ascii="Arial" w:hAnsi="Arial" w:cs="Arial"/>
                <w:spacing w:val="-6"/>
                <w:sz w:val="16"/>
                <w:szCs w:val="16"/>
                <w:cs/>
              </w:rPr>
            </w:pPr>
            <w:r>
              <w:rPr>
                <w:rFonts w:ascii="Arial" w:hAnsi="Arial" w:cs="Arial"/>
                <w:spacing w:val="-6"/>
                <w:sz w:val="16"/>
                <w:szCs w:val="16"/>
              </w:rPr>
              <w:t>inter-segment revenues</w:t>
            </w:r>
          </w:p>
        </w:tc>
        <w:tc>
          <w:tcPr>
            <w:tcW w:w="1620" w:type="dxa"/>
          </w:tcPr>
          <w:p>
            <w:pPr>
              <w:pBdr>
                <w:bottom w:val="single" w:color="auto" w:sz="4" w:space="1"/>
              </w:pBdr>
              <w:spacing w:line="370" w:lineRule="exact"/>
              <w:ind w:left="-29" w:right="-29"/>
              <w:jc w:val="center"/>
              <w:rPr>
                <w:rFonts w:ascii="Arial" w:hAnsi="Arial" w:cs="Arial"/>
                <w:sz w:val="16"/>
                <w:szCs w:val="16"/>
              </w:rPr>
            </w:pPr>
            <w:r>
              <w:rPr>
                <w:rFonts w:ascii="Arial" w:hAnsi="Arial" w:cs="Arial"/>
                <w:sz w:val="16"/>
                <w:szCs w:val="16"/>
              </w:rPr>
              <w:t xml:space="preserve">Consolidated </w:t>
            </w:r>
          </w:p>
          <w:p>
            <w:pPr>
              <w:pBdr>
                <w:bottom w:val="single" w:color="auto" w:sz="4" w:space="1"/>
              </w:pBdr>
              <w:spacing w:line="370" w:lineRule="exact"/>
              <w:ind w:left="-29" w:right="-29"/>
              <w:jc w:val="center"/>
              <w:rPr>
                <w:rFonts w:ascii="Arial" w:hAnsi="Arial" w:cs="Arial"/>
                <w:sz w:val="16"/>
                <w:szCs w:val="16"/>
                <w:cs/>
              </w:rPr>
            </w:pPr>
            <w:r>
              <w:rPr>
                <w:rFonts w:ascii="Arial" w:hAnsi="Arial" w:cs="Arial"/>
                <w:sz w:val="16"/>
                <w:szCs w:val="16"/>
              </w:rPr>
              <w:t>financial statements</w:t>
            </w:r>
          </w:p>
        </w:tc>
      </w:tr>
      <w:tr>
        <w:tblPrEx>
          <w:tblCellMar>
            <w:top w:w="0" w:type="dxa"/>
            <w:left w:w="108" w:type="dxa"/>
            <w:bottom w:w="0" w:type="dxa"/>
            <w:right w:w="108" w:type="dxa"/>
          </w:tblCellMar>
        </w:tblPrEx>
        <w:trPr>
          <w:cantSplit/>
        </w:trPr>
        <w:tc>
          <w:tcPr>
            <w:tcW w:w="2610" w:type="dxa"/>
            <w:vAlign w:val="bottom"/>
          </w:tcPr>
          <w:p>
            <w:pPr>
              <w:spacing w:line="370" w:lineRule="exact"/>
              <w:ind w:left="132" w:right="-108" w:hanging="132"/>
              <w:rPr>
                <w:rFonts w:ascii="Arial" w:hAnsi="Arial" w:cs="Arial"/>
                <w:b/>
                <w:bCs/>
                <w:sz w:val="16"/>
                <w:szCs w:val="16"/>
              </w:rPr>
            </w:pPr>
            <w:r>
              <w:rPr>
                <w:rFonts w:ascii="Arial" w:hAnsi="Arial" w:cs="Arial"/>
                <w:b/>
                <w:bCs/>
                <w:sz w:val="16"/>
                <w:szCs w:val="16"/>
              </w:rPr>
              <w:t>Revenue:</w:t>
            </w:r>
          </w:p>
        </w:tc>
        <w:tc>
          <w:tcPr>
            <w:tcW w:w="1621" w:type="dxa"/>
          </w:tcPr>
          <w:p>
            <w:pPr>
              <w:spacing w:line="370" w:lineRule="exact"/>
              <w:ind w:left="-29" w:right="-29"/>
              <w:jc w:val="center"/>
              <w:rPr>
                <w:rFonts w:ascii="Arial" w:hAnsi="Arial" w:cs="Arial"/>
                <w:sz w:val="16"/>
                <w:szCs w:val="16"/>
                <w:u w:val="single"/>
              </w:rPr>
            </w:pPr>
          </w:p>
        </w:tc>
        <w:tc>
          <w:tcPr>
            <w:tcW w:w="1620" w:type="dxa"/>
          </w:tcPr>
          <w:p>
            <w:pPr>
              <w:spacing w:line="370" w:lineRule="exact"/>
              <w:ind w:left="-29" w:right="-29"/>
              <w:jc w:val="center"/>
              <w:rPr>
                <w:rFonts w:ascii="Arial" w:hAnsi="Arial" w:cs="Arial"/>
                <w:sz w:val="16"/>
                <w:szCs w:val="16"/>
                <w:u w:val="single"/>
              </w:rPr>
            </w:pPr>
          </w:p>
        </w:tc>
        <w:tc>
          <w:tcPr>
            <w:tcW w:w="1710" w:type="dxa"/>
          </w:tcPr>
          <w:p>
            <w:pPr>
              <w:spacing w:line="370" w:lineRule="exact"/>
              <w:ind w:left="-29" w:right="-29"/>
              <w:jc w:val="center"/>
              <w:rPr>
                <w:rFonts w:ascii="Arial" w:hAnsi="Arial" w:cs="Arial"/>
                <w:sz w:val="16"/>
                <w:szCs w:val="16"/>
                <w:u w:val="single"/>
              </w:rPr>
            </w:pPr>
          </w:p>
        </w:tc>
        <w:tc>
          <w:tcPr>
            <w:tcW w:w="1620" w:type="dxa"/>
          </w:tcPr>
          <w:p>
            <w:pPr>
              <w:spacing w:line="370" w:lineRule="exact"/>
              <w:ind w:left="-29" w:right="-29"/>
              <w:jc w:val="center"/>
              <w:rPr>
                <w:rFonts w:ascii="Arial" w:hAnsi="Arial" w:cs="Arial"/>
                <w:sz w:val="16"/>
                <w:szCs w:val="16"/>
                <w:u w:val="single"/>
              </w:rPr>
            </w:pPr>
          </w:p>
        </w:tc>
      </w:tr>
      <w:tr>
        <w:tblPrEx>
          <w:tblCellMar>
            <w:top w:w="0" w:type="dxa"/>
            <w:left w:w="108" w:type="dxa"/>
            <w:bottom w:w="0" w:type="dxa"/>
            <w:right w:w="108" w:type="dxa"/>
          </w:tblCellMar>
        </w:tblPrEx>
        <w:trPr>
          <w:cantSplit/>
        </w:trPr>
        <w:tc>
          <w:tcPr>
            <w:tcW w:w="2610" w:type="dxa"/>
            <w:vAlign w:val="bottom"/>
          </w:tcPr>
          <w:p>
            <w:pPr>
              <w:spacing w:line="370" w:lineRule="exact"/>
              <w:rPr>
                <w:rFonts w:ascii="Arial" w:hAnsi="Arial" w:cs="Arial"/>
                <w:color w:val="000000"/>
                <w:spacing w:val="-4"/>
                <w:sz w:val="16"/>
                <w:szCs w:val="16"/>
              </w:rPr>
            </w:pPr>
            <w:r>
              <w:rPr>
                <w:rFonts w:ascii="Arial" w:hAnsi="Arial" w:cs="Arial"/>
                <w:spacing w:val="-4"/>
                <w:sz w:val="16"/>
                <w:szCs w:val="16"/>
              </w:rPr>
              <w:t>Revenues from external customers</w:t>
            </w:r>
          </w:p>
        </w:tc>
        <w:tc>
          <w:tcPr>
            <w:tcW w:w="1621" w:type="dxa"/>
            <w:vAlign w:val="bottom"/>
          </w:tcPr>
          <w:p>
            <w:pPr>
              <w:tabs>
                <w:tab w:val="decimal" w:pos="1154"/>
              </w:tabs>
              <w:spacing w:line="370" w:lineRule="exact"/>
              <w:ind w:left="-29" w:right="-29"/>
              <w:rPr>
                <w:rFonts w:ascii="Arial" w:hAnsi="Arial" w:cs="Arial"/>
                <w:sz w:val="16"/>
                <w:szCs w:val="16"/>
              </w:rPr>
            </w:pPr>
            <w:r>
              <w:rPr>
                <w:rFonts w:ascii="Arial" w:hAnsi="Arial" w:cs="Arial"/>
                <w:sz w:val="16"/>
                <w:szCs w:val="16"/>
              </w:rPr>
              <w:t>68,366</w:t>
            </w:r>
          </w:p>
        </w:tc>
        <w:tc>
          <w:tcPr>
            <w:tcW w:w="1620" w:type="dxa"/>
            <w:vAlign w:val="bottom"/>
          </w:tcPr>
          <w:p>
            <w:pPr>
              <w:tabs>
                <w:tab w:val="decimal" w:pos="1154"/>
              </w:tabs>
              <w:spacing w:line="370" w:lineRule="exact"/>
              <w:ind w:left="-29" w:right="-29"/>
              <w:rPr>
                <w:rFonts w:ascii="Arial" w:hAnsi="Arial" w:cs="Arial"/>
                <w:sz w:val="16"/>
                <w:szCs w:val="16"/>
              </w:rPr>
            </w:pPr>
            <w:r>
              <w:rPr>
                <w:rFonts w:ascii="Arial" w:hAnsi="Arial" w:cs="Arial"/>
                <w:sz w:val="16"/>
                <w:szCs w:val="16"/>
              </w:rPr>
              <w:t>13,031</w:t>
            </w:r>
          </w:p>
        </w:tc>
        <w:tc>
          <w:tcPr>
            <w:tcW w:w="1710" w:type="dxa"/>
          </w:tcPr>
          <w:p>
            <w:pPr>
              <w:tabs>
                <w:tab w:val="decimal" w:pos="1154"/>
              </w:tabs>
              <w:spacing w:line="370" w:lineRule="exact"/>
              <w:ind w:left="-29" w:right="-29"/>
              <w:rPr>
                <w:rFonts w:ascii="Arial" w:hAnsi="Arial" w:cs="Arial"/>
                <w:sz w:val="16"/>
                <w:szCs w:val="16"/>
              </w:rPr>
            </w:pPr>
            <w:r>
              <w:rPr>
                <w:rFonts w:ascii="Arial" w:hAnsi="Arial" w:cs="Arial"/>
                <w:sz w:val="16"/>
                <w:szCs w:val="16"/>
              </w:rPr>
              <w:t>-</w:t>
            </w:r>
          </w:p>
        </w:tc>
        <w:tc>
          <w:tcPr>
            <w:tcW w:w="1620" w:type="dxa"/>
            <w:vAlign w:val="bottom"/>
          </w:tcPr>
          <w:p>
            <w:pPr>
              <w:tabs>
                <w:tab w:val="decimal" w:pos="1154"/>
              </w:tabs>
              <w:spacing w:line="370" w:lineRule="exact"/>
              <w:ind w:left="-29" w:right="-29"/>
              <w:rPr>
                <w:rFonts w:ascii="Arial" w:hAnsi="Arial" w:cs="Arial"/>
                <w:sz w:val="16"/>
                <w:szCs w:val="16"/>
              </w:rPr>
            </w:pPr>
            <w:r>
              <w:rPr>
                <w:rFonts w:ascii="Arial" w:hAnsi="Arial" w:cs="Arial"/>
                <w:sz w:val="16"/>
                <w:szCs w:val="16"/>
              </w:rPr>
              <w:t>81,397</w:t>
            </w:r>
          </w:p>
        </w:tc>
      </w:tr>
      <w:tr>
        <w:tblPrEx>
          <w:tblCellMar>
            <w:top w:w="0" w:type="dxa"/>
            <w:left w:w="108" w:type="dxa"/>
            <w:bottom w:w="0" w:type="dxa"/>
            <w:right w:w="108" w:type="dxa"/>
          </w:tblCellMar>
        </w:tblPrEx>
        <w:trPr>
          <w:cantSplit/>
        </w:trPr>
        <w:tc>
          <w:tcPr>
            <w:tcW w:w="2610" w:type="dxa"/>
            <w:vAlign w:val="bottom"/>
          </w:tcPr>
          <w:p>
            <w:pPr>
              <w:spacing w:line="370" w:lineRule="exact"/>
              <w:rPr>
                <w:rFonts w:ascii="Arial" w:hAnsi="Arial" w:cs="Arial"/>
                <w:color w:val="000000"/>
                <w:sz w:val="16"/>
                <w:szCs w:val="16"/>
              </w:rPr>
            </w:pPr>
            <w:r>
              <w:rPr>
                <w:rFonts w:ascii="Arial" w:hAnsi="Arial" w:cs="Arial"/>
                <w:sz w:val="16"/>
                <w:szCs w:val="16"/>
              </w:rPr>
              <w:t>Inter-segment revenues</w:t>
            </w:r>
          </w:p>
        </w:tc>
        <w:tc>
          <w:tcPr>
            <w:tcW w:w="1621" w:type="dxa"/>
            <w:vAlign w:val="bottom"/>
          </w:tcPr>
          <w:p>
            <w:pPr>
              <w:pBdr>
                <w:bottom w:val="single" w:color="auto" w:sz="4" w:space="1"/>
              </w:pBdr>
              <w:tabs>
                <w:tab w:val="decimal" w:pos="1154"/>
              </w:tabs>
              <w:spacing w:line="370" w:lineRule="exact"/>
              <w:ind w:left="-29" w:right="-29"/>
              <w:rPr>
                <w:rFonts w:ascii="Arial" w:hAnsi="Arial" w:cs="Arial"/>
                <w:sz w:val="16"/>
                <w:szCs w:val="16"/>
              </w:rPr>
            </w:pPr>
            <w:r>
              <w:rPr>
                <w:rFonts w:ascii="Arial" w:hAnsi="Arial" w:cs="Arial"/>
                <w:sz w:val="16"/>
                <w:szCs w:val="16"/>
              </w:rPr>
              <w:t>-</w:t>
            </w:r>
          </w:p>
        </w:tc>
        <w:tc>
          <w:tcPr>
            <w:tcW w:w="1620" w:type="dxa"/>
            <w:vAlign w:val="bottom"/>
          </w:tcPr>
          <w:p>
            <w:pPr>
              <w:pBdr>
                <w:bottom w:val="single" w:color="auto" w:sz="4" w:space="1"/>
              </w:pBdr>
              <w:tabs>
                <w:tab w:val="decimal" w:pos="1154"/>
              </w:tabs>
              <w:spacing w:line="370" w:lineRule="exact"/>
              <w:ind w:left="-29" w:right="-29"/>
              <w:rPr>
                <w:rFonts w:ascii="Arial" w:hAnsi="Arial" w:cs="Arial"/>
                <w:sz w:val="16"/>
                <w:szCs w:val="16"/>
              </w:rPr>
            </w:pPr>
            <w:r>
              <w:rPr>
                <w:rFonts w:ascii="Arial" w:hAnsi="Arial" w:cs="Arial"/>
                <w:sz w:val="16"/>
                <w:szCs w:val="16"/>
              </w:rPr>
              <w:t>-</w:t>
            </w:r>
          </w:p>
        </w:tc>
        <w:tc>
          <w:tcPr>
            <w:tcW w:w="1710" w:type="dxa"/>
          </w:tcPr>
          <w:p>
            <w:pPr>
              <w:pBdr>
                <w:bottom w:val="single" w:color="auto" w:sz="4" w:space="1"/>
              </w:pBdr>
              <w:tabs>
                <w:tab w:val="decimal" w:pos="1154"/>
              </w:tabs>
              <w:spacing w:line="370" w:lineRule="exact"/>
              <w:ind w:left="-29" w:right="-29"/>
              <w:rPr>
                <w:rFonts w:ascii="Arial" w:hAnsi="Arial" w:cs="Arial"/>
                <w:sz w:val="16"/>
                <w:szCs w:val="16"/>
              </w:rPr>
            </w:pPr>
            <w:r>
              <w:rPr>
                <w:rFonts w:ascii="Arial" w:hAnsi="Arial" w:cs="Arial"/>
                <w:sz w:val="16"/>
                <w:szCs w:val="16"/>
              </w:rPr>
              <w:t>-</w:t>
            </w:r>
          </w:p>
        </w:tc>
        <w:tc>
          <w:tcPr>
            <w:tcW w:w="1620" w:type="dxa"/>
            <w:vAlign w:val="bottom"/>
          </w:tcPr>
          <w:p>
            <w:pPr>
              <w:pBdr>
                <w:bottom w:val="single" w:color="auto" w:sz="4" w:space="1"/>
              </w:pBdr>
              <w:tabs>
                <w:tab w:val="decimal" w:pos="1154"/>
              </w:tabs>
              <w:spacing w:line="370" w:lineRule="exact"/>
              <w:ind w:left="-29" w:right="-29"/>
              <w:rPr>
                <w:rFonts w:ascii="Arial" w:hAnsi="Arial" w:cs="Arial"/>
                <w:sz w:val="16"/>
                <w:szCs w:val="16"/>
              </w:rPr>
            </w:pPr>
            <w:r>
              <w:rPr>
                <w:rFonts w:ascii="Arial" w:hAnsi="Arial" w:cs="Arial"/>
                <w:sz w:val="16"/>
                <w:szCs w:val="16"/>
              </w:rPr>
              <w:t>-</w:t>
            </w:r>
          </w:p>
        </w:tc>
      </w:tr>
      <w:tr>
        <w:tblPrEx>
          <w:tblCellMar>
            <w:top w:w="0" w:type="dxa"/>
            <w:left w:w="108" w:type="dxa"/>
            <w:bottom w:w="0" w:type="dxa"/>
            <w:right w:w="108" w:type="dxa"/>
          </w:tblCellMar>
        </w:tblPrEx>
        <w:trPr>
          <w:cantSplit/>
        </w:trPr>
        <w:tc>
          <w:tcPr>
            <w:tcW w:w="2610" w:type="dxa"/>
            <w:vAlign w:val="bottom"/>
          </w:tcPr>
          <w:p>
            <w:pPr>
              <w:spacing w:line="370" w:lineRule="exact"/>
              <w:rPr>
                <w:rFonts w:ascii="Arial" w:hAnsi="Arial" w:cs="Arial"/>
                <w:b/>
                <w:bCs/>
                <w:color w:val="000000"/>
                <w:sz w:val="16"/>
                <w:szCs w:val="16"/>
              </w:rPr>
            </w:pPr>
            <w:r>
              <w:rPr>
                <w:rFonts w:ascii="Arial" w:hAnsi="Arial" w:cs="Arial"/>
                <w:b/>
                <w:bCs/>
                <w:sz w:val="16"/>
                <w:szCs w:val="16"/>
              </w:rPr>
              <w:t>Total Revenue</w:t>
            </w:r>
          </w:p>
        </w:tc>
        <w:tc>
          <w:tcPr>
            <w:tcW w:w="1621" w:type="dxa"/>
            <w:vAlign w:val="bottom"/>
          </w:tcPr>
          <w:p>
            <w:pPr>
              <w:pBdr>
                <w:bottom w:val="double" w:color="auto" w:sz="4" w:space="1"/>
              </w:pBdr>
              <w:tabs>
                <w:tab w:val="decimal" w:pos="1154"/>
              </w:tabs>
              <w:spacing w:line="370" w:lineRule="exact"/>
              <w:ind w:left="-29" w:right="-29"/>
              <w:rPr>
                <w:rFonts w:ascii="Arial" w:hAnsi="Arial" w:cs="Arial"/>
                <w:sz w:val="16"/>
                <w:szCs w:val="16"/>
              </w:rPr>
            </w:pPr>
            <w:r>
              <w:rPr>
                <w:rFonts w:ascii="Arial" w:hAnsi="Arial" w:cs="Arial"/>
                <w:sz w:val="16"/>
                <w:szCs w:val="16"/>
              </w:rPr>
              <w:t>68,366</w:t>
            </w:r>
          </w:p>
        </w:tc>
        <w:tc>
          <w:tcPr>
            <w:tcW w:w="1620" w:type="dxa"/>
            <w:vAlign w:val="bottom"/>
          </w:tcPr>
          <w:p>
            <w:pPr>
              <w:pBdr>
                <w:bottom w:val="double" w:color="auto" w:sz="4" w:space="1"/>
              </w:pBdr>
              <w:tabs>
                <w:tab w:val="decimal" w:pos="1154"/>
              </w:tabs>
              <w:spacing w:line="370" w:lineRule="exact"/>
              <w:ind w:left="-29" w:right="-29"/>
              <w:rPr>
                <w:rFonts w:ascii="Arial" w:hAnsi="Arial" w:cs="Arial"/>
                <w:sz w:val="16"/>
                <w:szCs w:val="16"/>
              </w:rPr>
            </w:pPr>
            <w:r>
              <w:rPr>
                <w:rFonts w:ascii="Arial" w:hAnsi="Arial" w:cs="Arial"/>
                <w:sz w:val="16"/>
                <w:szCs w:val="16"/>
              </w:rPr>
              <w:t>13,031</w:t>
            </w:r>
          </w:p>
        </w:tc>
        <w:tc>
          <w:tcPr>
            <w:tcW w:w="1710" w:type="dxa"/>
          </w:tcPr>
          <w:p>
            <w:pPr>
              <w:pBdr>
                <w:bottom w:val="double" w:color="auto" w:sz="4" w:space="1"/>
              </w:pBdr>
              <w:tabs>
                <w:tab w:val="decimal" w:pos="1154"/>
              </w:tabs>
              <w:spacing w:line="370" w:lineRule="exact"/>
              <w:ind w:left="-29" w:right="-29"/>
              <w:rPr>
                <w:rFonts w:ascii="Arial" w:hAnsi="Arial" w:cs="Arial"/>
                <w:sz w:val="16"/>
                <w:szCs w:val="16"/>
              </w:rPr>
            </w:pPr>
            <w:r>
              <w:rPr>
                <w:rFonts w:ascii="Arial" w:hAnsi="Arial" w:cs="Arial"/>
                <w:sz w:val="16"/>
                <w:szCs w:val="16"/>
              </w:rPr>
              <w:t>-</w:t>
            </w:r>
          </w:p>
        </w:tc>
        <w:tc>
          <w:tcPr>
            <w:tcW w:w="1620" w:type="dxa"/>
            <w:vAlign w:val="bottom"/>
          </w:tcPr>
          <w:p>
            <w:pPr>
              <w:pBdr>
                <w:bottom w:val="double" w:color="auto" w:sz="4" w:space="1"/>
              </w:pBdr>
              <w:tabs>
                <w:tab w:val="decimal" w:pos="1154"/>
              </w:tabs>
              <w:spacing w:line="370" w:lineRule="exact"/>
              <w:ind w:left="-29" w:right="-29"/>
              <w:rPr>
                <w:rFonts w:ascii="Arial" w:hAnsi="Arial" w:cs="Arial"/>
                <w:sz w:val="16"/>
                <w:szCs w:val="16"/>
              </w:rPr>
            </w:pPr>
            <w:r>
              <w:rPr>
                <w:rFonts w:ascii="Arial" w:hAnsi="Arial" w:cs="Arial"/>
                <w:sz w:val="16"/>
                <w:szCs w:val="16"/>
              </w:rPr>
              <w:t>81,397</w:t>
            </w:r>
          </w:p>
        </w:tc>
      </w:tr>
      <w:tr>
        <w:tblPrEx>
          <w:tblCellMar>
            <w:top w:w="0" w:type="dxa"/>
            <w:left w:w="108" w:type="dxa"/>
            <w:bottom w:w="0" w:type="dxa"/>
            <w:right w:w="108" w:type="dxa"/>
          </w:tblCellMar>
        </w:tblPrEx>
        <w:trPr>
          <w:cantSplit/>
        </w:trPr>
        <w:tc>
          <w:tcPr>
            <w:tcW w:w="2610" w:type="dxa"/>
            <w:shd w:val="clear" w:color="auto" w:fill="auto"/>
            <w:vAlign w:val="bottom"/>
          </w:tcPr>
          <w:p>
            <w:pPr>
              <w:tabs>
                <w:tab w:val="decimal" w:pos="413"/>
              </w:tabs>
              <w:spacing w:line="370" w:lineRule="exact"/>
              <w:ind w:left="-29" w:right="-58"/>
              <w:rPr>
                <w:rFonts w:ascii="Arial" w:hAnsi="Arial" w:cs="Arial"/>
                <w:sz w:val="16"/>
                <w:szCs w:val="16"/>
              </w:rPr>
            </w:pPr>
            <w:r>
              <w:rPr>
                <w:rFonts w:ascii="Arial" w:hAnsi="Arial" w:cs="Arial"/>
                <w:sz w:val="16"/>
                <w:szCs w:val="16"/>
              </w:rPr>
              <w:t>Segment profit</w:t>
            </w:r>
          </w:p>
        </w:tc>
        <w:tc>
          <w:tcPr>
            <w:tcW w:w="1621" w:type="dxa"/>
            <w:vAlign w:val="bottom"/>
          </w:tcPr>
          <w:p>
            <w:pPr>
              <w:tabs>
                <w:tab w:val="decimal" w:pos="1154"/>
              </w:tabs>
              <w:spacing w:line="370" w:lineRule="exact"/>
              <w:ind w:left="-29" w:right="-29"/>
              <w:rPr>
                <w:rFonts w:ascii="Arial" w:hAnsi="Arial" w:cs="Arial"/>
                <w:sz w:val="16"/>
                <w:szCs w:val="16"/>
              </w:rPr>
            </w:pPr>
            <w:r>
              <w:rPr>
                <w:rFonts w:ascii="Arial" w:hAnsi="Arial" w:cs="Arial"/>
                <w:sz w:val="16"/>
                <w:szCs w:val="16"/>
              </w:rPr>
              <w:t>37,762</w:t>
            </w:r>
          </w:p>
        </w:tc>
        <w:tc>
          <w:tcPr>
            <w:tcW w:w="1620" w:type="dxa"/>
            <w:vAlign w:val="bottom"/>
          </w:tcPr>
          <w:p>
            <w:pPr>
              <w:tabs>
                <w:tab w:val="decimal" w:pos="1154"/>
              </w:tabs>
              <w:spacing w:line="370" w:lineRule="exact"/>
              <w:ind w:left="-29" w:right="-29"/>
              <w:rPr>
                <w:rFonts w:ascii="Arial" w:hAnsi="Arial" w:cs="Arial"/>
                <w:sz w:val="16"/>
                <w:szCs w:val="16"/>
              </w:rPr>
            </w:pPr>
            <w:r>
              <w:rPr>
                <w:rFonts w:ascii="Arial" w:hAnsi="Arial" w:cs="Arial"/>
                <w:sz w:val="16"/>
                <w:szCs w:val="16"/>
              </w:rPr>
              <w:t>5,422</w:t>
            </w:r>
          </w:p>
        </w:tc>
        <w:tc>
          <w:tcPr>
            <w:tcW w:w="1710" w:type="dxa"/>
          </w:tcPr>
          <w:p>
            <w:pPr>
              <w:tabs>
                <w:tab w:val="decimal" w:pos="1154"/>
              </w:tabs>
              <w:spacing w:line="370" w:lineRule="exact"/>
              <w:ind w:left="-29" w:right="-29"/>
              <w:rPr>
                <w:rFonts w:ascii="Arial" w:hAnsi="Arial" w:cs="Arial"/>
                <w:sz w:val="16"/>
                <w:szCs w:val="16"/>
              </w:rPr>
            </w:pPr>
            <w:r>
              <w:rPr>
                <w:rFonts w:ascii="Arial" w:hAnsi="Arial" w:cs="Arial"/>
                <w:sz w:val="16"/>
                <w:szCs w:val="16"/>
              </w:rPr>
              <w:t>-</w:t>
            </w:r>
          </w:p>
        </w:tc>
        <w:tc>
          <w:tcPr>
            <w:tcW w:w="1620" w:type="dxa"/>
          </w:tcPr>
          <w:p>
            <w:pPr>
              <w:tabs>
                <w:tab w:val="decimal" w:pos="1154"/>
              </w:tabs>
              <w:spacing w:line="370" w:lineRule="exact"/>
              <w:ind w:left="-29" w:right="-29"/>
              <w:rPr>
                <w:rFonts w:ascii="Arial" w:hAnsi="Arial" w:cs="Arial"/>
                <w:sz w:val="16"/>
                <w:szCs w:val="16"/>
              </w:rPr>
            </w:pPr>
            <w:r>
              <w:rPr>
                <w:rFonts w:ascii="Arial" w:hAnsi="Arial" w:cs="Arial"/>
                <w:sz w:val="16"/>
                <w:szCs w:val="16"/>
              </w:rPr>
              <w:t>43,184</w:t>
            </w:r>
          </w:p>
        </w:tc>
      </w:tr>
      <w:tr>
        <w:tblPrEx>
          <w:tblCellMar>
            <w:top w:w="0" w:type="dxa"/>
            <w:left w:w="108" w:type="dxa"/>
            <w:bottom w:w="0" w:type="dxa"/>
            <w:right w:w="108" w:type="dxa"/>
          </w:tblCellMar>
        </w:tblPrEx>
        <w:trPr>
          <w:cantSplit/>
        </w:trPr>
        <w:tc>
          <w:tcPr>
            <w:tcW w:w="4231" w:type="dxa"/>
            <w:gridSpan w:val="2"/>
            <w:vAlign w:val="bottom"/>
          </w:tcPr>
          <w:p>
            <w:pPr>
              <w:tabs>
                <w:tab w:val="decimal" w:pos="413"/>
              </w:tabs>
              <w:spacing w:line="370" w:lineRule="exact"/>
              <w:ind w:left="-29" w:right="-58"/>
              <w:rPr>
                <w:rFonts w:ascii="Arial" w:hAnsi="Arial" w:cs="Arial"/>
                <w:sz w:val="16"/>
                <w:szCs w:val="16"/>
              </w:rPr>
            </w:pPr>
            <w:r>
              <w:rPr>
                <w:rFonts w:ascii="Arial" w:hAnsi="Arial" w:cs="Arial"/>
                <w:sz w:val="16"/>
                <w:szCs w:val="16"/>
              </w:rPr>
              <w:t>Unallocated revenues and expenses:</w:t>
            </w:r>
          </w:p>
        </w:tc>
        <w:tc>
          <w:tcPr>
            <w:tcW w:w="1620" w:type="dxa"/>
            <w:vAlign w:val="bottom"/>
          </w:tcPr>
          <w:p>
            <w:pPr>
              <w:tabs>
                <w:tab w:val="decimal" w:pos="1154"/>
              </w:tabs>
              <w:spacing w:line="370" w:lineRule="exact"/>
              <w:ind w:left="-29" w:right="-58"/>
              <w:rPr>
                <w:rFonts w:ascii="Arial" w:hAnsi="Arial" w:cs="Arial"/>
                <w:sz w:val="16"/>
                <w:szCs w:val="16"/>
              </w:rPr>
            </w:pPr>
          </w:p>
        </w:tc>
        <w:tc>
          <w:tcPr>
            <w:tcW w:w="1710" w:type="dxa"/>
          </w:tcPr>
          <w:p>
            <w:pPr>
              <w:tabs>
                <w:tab w:val="decimal" w:pos="1154"/>
              </w:tabs>
              <w:spacing w:line="370" w:lineRule="exact"/>
              <w:ind w:left="-29" w:right="-58"/>
              <w:rPr>
                <w:rFonts w:ascii="Arial" w:hAnsi="Arial" w:cs="Arial"/>
                <w:sz w:val="16"/>
                <w:szCs w:val="16"/>
              </w:rPr>
            </w:pPr>
          </w:p>
        </w:tc>
        <w:tc>
          <w:tcPr>
            <w:tcW w:w="1620" w:type="dxa"/>
          </w:tcPr>
          <w:p>
            <w:pPr>
              <w:tabs>
                <w:tab w:val="decimal" w:pos="1154"/>
              </w:tabs>
              <w:spacing w:line="370" w:lineRule="exact"/>
              <w:ind w:left="-29" w:right="-29"/>
              <w:rPr>
                <w:rFonts w:ascii="Arial" w:hAnsi="Arial" w:cs="Arial"/>
                <w:sz w:val="16"/>
                <w:szCs w:val="16"/>
              </w:rPr>
            </w:pPr>
          </w:p>
        </w:tc>
      </w:tr>
      <w:tr>
        <w:tblPrEx>
          <w:tblCellMar>
            <w:top w:w="0" w:type="dxa"/>
            <w:left w:w="108" w:type="dxa"/>
            <w:bottom w:w="0" w:type="dxa"/>
            <w:right w:w="108" w:type="dxa"/>
          </w:tblCellMar>
        </w:tblPrEx>
        <w:trPr>
          <w:cantSplit/>
        </w:trPr>
        <w:tc>
          <w:tcPr>
            <w:tcW w:w="4231" w:type="dxa"/>
            <w:gridSpan w:val="2"/>
          </w:tcPr>
          <w:p>
            <w:pPr>
              <w:tabs>
                <w:tab w:val="decimal" w:pos="413"/>
              </w:tabs>
              <w:spacing w:line="370" w:lineRule="exact"/>
              <w:ind w:left="-29" w:right="-58"/>
              <w:rPr>
                <w:rFonts w:ascii="Arial" w:hAnsi="Arial" w:cs="Arial"/>
                <w:sz w:val="16"/>
                <w:szCs w:val="16"/>
              </w:rPr>
            </w:pPr>
            <w:r>
              <w:rPr>
                <w:rFonts w:ascii="Arial" w:hAnsi="Arial" w:cs="Arial"/>
                <w:sz w:val="16"/>
                <w:szCs w:val="16"/>
              </w:rPr>
              <w:t>Other income</w:t>
            </w:r>
          </w:p>
        </w:tc>
        <w:tc>
          <w:tcPr>
            <w:tcW w:w="1620" w:type="dxa"/>
            <w:vAlign w:val="bottom"/>
          </w:tcPr>
          <w:p>
            <w:pPr>
              <w:tabs>
                <w:tab w:val="decimal" w:pos="1154"/>
              </w:tabs>
              <w:spacing w:line="370" w:lineRule="exact"/>
              <w:ind w:left="-29" w:right="-58"/>
              <w:rPr>
                <w:rFonts w:ascii="Arial" w:hAnsi="Arial" w:cs="Arial"/>
                <w:sz w:val="16"/>
                <w:szCs w:val="16"/>
              </w:rPr>
            </w:pPr>
          </w:p>
        </w:tc>
        <w:tc>
          <w:tcPr>
            <w:tcW w:w="1710" w:type="dxa"/>
          </w:tcPr>
          <w:p>
            <w:pPr>
              <w:tabs>
                <w:tab w:val="decimal" w:pos="1154"/>
              </w:tabs>
              <w:spacing w:line="370" w:lineRule="exact"/>
              <w:ind w:left="-29" w:right="-58"/>
              <w:rPr>
                <w:rFonts w:ascii="Arial" w:hAnsi="Arial" w:cs="Arial"/>
                <w:sz w:val="16"/>
                <w:szCs w:val="16"/>
              </w:rPr>
            </w:pPr>
          </w:p>
        </w:tc>
        <w:tc>
          <w:tcPr>
            <w:tcW w:w="1620" w:type="dxa"/>
          </w:tcPr>
          <w:p>
            <w:pPr>
              <w:tabs>
                <w:tab w:val="decimal" w:pos="1154"/>
              </w:tabs>
              <w:spacing w:line="370" w:lineRule="exact"/>
              <w:ind w:left="-29" w:right="-29"/>
              <w:rPr>
                <w:rFonts w:ascii="Arial" w:hAnsi="Arial" w:cs="Arial"/>
                <w:sz w:val="16"/>
                <w:szCs w:val="16"/>
              </w:rPr>
            </w:pPr>
            <w:r>
              <w:rPr>
                <w:rFonts w:ascii="Arial" w:hAnsi="Arial" w:cs="Arial"/>
                <w:sz w:val="16"/>
                <w:szCs w:val="16"/>
              </w:rPr>
              <w:t>3,074</w:t>
            </w:r>
          </w:p>
        </w:tc>
      </w:tr>
      <w:tr>
        <w:tblPrEx>
          <w:tblCellMar>
            <w:top w:w="0" w:type="dxa"/>
            <w:left w:w="108" w:type="dxa"/>
            <w:bottom w:w="0" w:type="dxa"/>
            <w:right w:w="108" w:type="dxa"/>
          </w:tblCellMar>
        </w:tblPrEx>
        <w:trPr>
          <w:cantSplit/>
        </w:trPr>
        <w:tc>
          <w:tcPr>
            <w:tcW w:w="4231" w:type="dxa"/>
            <w:gridSpan w:val="2"/>
          </w:tcPr>
          <w:p>
            <w:pPr>
              <w:tabs>
                <w:tab w:val="decimal" w:pos="413"/>
              </w:tabs>
              <w:spacing w:line="370" w:lineRule="exact"/>
              <w:ind w:left="-29" w:right="-58"/>
              <w:rPr>
                <w:rFonts w:ascii="Arial" w:hAnsi="Arial" w:cs="Arial"/>
                <w:sz w:val="16"/>
                <w:szCs w:val="16"/>
              </w:rPr>
            </w:pPr>
            <w:r>
              <w:rPr>
                <w:rFonts w:ascii="Arial" w:hAnsi="Arial" w:cs="Arial"/>
                <w:sz w:val="16"/>
                <w:szCs w:val="16"/>
              </w:rPr>
              <w:t>Selling and distribution expenses</w:t>
            </w:r>
          </w:p>
        </w:tc>
        <w:tc>
          <w:tcPr>
            <w:tcW w:w="1620" w:type="dxa"/>
            <w:vAlign w:val="bottom"/>
          </w:tcPr>
          <w:p>
            <w:pPr>
              <w:tabs>
                <w:tab w:val="decimal" w:pos="1154"/>
              </w:tabs>
              <w:spacing w:line="370" w:lineRule="exact"/>
              <w:ind w:left="-29" w:right="-58"/>
              <w:rPr>
                <w:rFonts w:ascii="Arial" w:hAnsi="Arial" w:cs="Arial"/>
                <w:sz w:val="16"/>
                <w:szCs w:val="16"/>
              </w:rPr>
            </w:pPr>
          </w:p>
        </w:tc>
        <w:tc>
          <w:tcPr>
            <w:tcW w:w="1710" w:type="dxa"/>
          </w:tcPr>
          <w:p>
            <w:pPr>
              <w:tabs>
                <w:tab w:val="decimal" w:pos="1154"/>
              </w:tabs>
              <w:spacing w:line="370" w:lineRule="exact"/>
              <w:ind w:left="-29" w:right="-58"/>
              <w:rPr>
                <w:rFonts w:ascii="Arial" w:hAnsi="Arial" w:cs="Arial"/>
                <w:sz w:val="16"/>
                <w:szCs w:val="16"/>
              </w:rPr>
            </w:pPr>
          </w:p>
        </w:tc>
        <w:tc>
          <w:tcPr>
            <w:tcW w:w="1620" w:type="dxa"/>
          </w:tcPr>
          <w:p>
            <w:pPr>
              <w:tabs>
                <w:tab w:val="decimal" w:pos="1154"/>
              </w:tabs>
              <w:spacing w:line="370" w:lineRule="exact"/>
              <w:ind w:left="-29" w:right="-29"/>
              <w:rPr>
                <w:rFonts w:ascii="Arial" w:hAnsi="Arial" w:cs="Arial"/>
                <w:sz w:val="16"/>
                <w:szCs w:val="16"/>
              </w:rPr>
            </w:pPr>
            <w:r>
              <w:rPr>
                <w:rFonts w:ascii="Arial" w:hAnsi="Arial" w:cs="Arial"/>
                <w:sz w:val="16"/>
                <w:szCs w:val="16"/>
              </w:rPr>
              <w:t>(4,504)</w:t>
            </w:r>
          </w:p>
        </w:tc>
      </w:tr>
      <w:tr>
        <w:tblPrEx>
          <w:tblCellMar>
            <w:top w:w="0" w:type="dxa"/>
            <w:left w:w="108" w:type="dxa"/>
            <w:bottom w:w="0" w:type="dxa"/>
            <w:right w:w="108" w:type="dxa"/>
          </w:tblCellMar>
        </w:tblPrEx>
        <w:trPr>
          <w:cantSplit/>
        </w:trPr>
        <w:tc>
          <w:tcPr>
            <w:tcW w:w="4231" w:type="dxa"/>
            <w:gridSpan w:val="2"/>
          </w:tcPr>
          <w:p>
            <w:pPr>
              <w:tabs>
                <w:tab w:val="decimal" w:pos="413"/>
              </w:tabs>
              <w:spacing w:line="370" w:lineRule="exact"/>
              <w:ind w:left="-29" w:right="-58"/>
              <w:rPr>
                <w:rFonts w:ascii="Arial" w:hAnsi="Arial" w:cs="Arial"/>
                <w:sz w:val="16"/>
                <w:szCs w:val="16"/>
              </w:rPr>
            </w:pPr>
            <w:r>
              <w:rPr>
                <w:rFonts w:ascii="Arial" w:hAnsi="Arial" w:cs="Arial"/>
                <w:sz w:val="16"/>
                <w:szCs w:val="16"/>
              </w:rPr>
              <w:t>Administrative expenses</w:t>
            </w:r>
          </w:p>
        </w:tc>
        <w:tc>
          <w:tcPr>
            <w:tcW w:w="1620" w:type="dxa"/>
            <w:vAlign w:val="bottom"/>
          </w:tcPr>
          <w:p>
            <w:pPr>
              <w:tabs>
                <w:tab w:val="decimal" w:pos="1154"/>
              </w:tabs>
              <w:spacing w:line="370" w:lineRule="exact"/>
              <w:ind w:left="-29" w:right="-58"/>
              <w:rPr>
                <w:rFonts w:ascii="Arial" w:hAnsi="Arial" w:cs="Arial"/>
                <w:sz w:val="16"/>
                <w:szCs w:val="16"/>
              </w:rPr>
            </w:pPr>
          </w:p>
        </w:tc>
        <w:tc>
          <w:tcPr>
            <w:tcW w:w="1710" w:type="dxa"/>
          </w:tcPr>
          <w:p>
            <w:pPr>
              <w:tabs>
                <w:tab w:val="decimal" w:pos="1154"/>
              </w:tabs>
              <w:spacing w:line="370" w:lineRule="exact"/>
              <w:ind w:left="-29" w:right="-58"/>
              <w:rPr>
                <w:rFonts w:ascii="Arial" w:hAnsi="Arial" w:cs="Arial"/>
                <w:sz w:val="16"/>
                <w:szCs w:val="16"/>
              </w:rPr>
            </w:pPr>
          </w:p>
        </w:tc>
        <w:tc>
          <w:tcPr>
            <w:tcW w:w="1620" w:type="dxa"/>
          </w:tcPr>
          <w:p>
            <w:pPr>
              <w:tabs>
                <w:tab w:val="decimal" w:pos="1154"/>
              </w:tabs>
              <w:spacing w:line="370" w:lineRule="exact"/>
              <w:ind w:left="-29" w:right="-29"/>
              <w:rPr>
                <w:rFonts w:ascii="Arial" w:hAnsi="Arial" w:cs="Arial"/>
                <w:sz w:val="16"/>
                <w:szCs w:val="16"/>
              </w:rPr>
            </w:pPr>
            <w:r>
              <w:rPr>
                <w:rFonts w:ascii="Arial" w:hAnsi="Arial" w:cs="Arial"/>
                <w:sz w:val="16"/>
                <w:szCs w:val="16"/>
              </w:rPr>
              <w:t>(19,583)</w:t>
            </w:r>
          </w:p>
        </w:tc>
      </w:tr>
      <w:tr>
        <w:tblPrEx>
          <w:tblCellMar>
            <w:top w:w="0" w:type="dxa"/>
            <w:left w:w="108" w:type="dxa"/>
            <w:bottom w:w="0" w:type="dxa"/>
            <w:right w:w="108" w:type="dxa"/>
          </w:tblCellMar>
        </w:tblPrEx>
        <w:trPr>
          <w:cantSplit/>
        </w:trPr>
        <w:tc>
          <w:tcPr>
            <w:tcW w:w="4231" w:type="dxa"/>
            <w:gridSpan w:val="2"/>
          </w:tcPr>
          <w:p>
            <w:pPr>
              <w:tabs>
                <w:tab w:val="decimal" w:pos="413"/>
              </w:tabs>
              <w:spacing w:line="370" w:lineRule="exact"/>
              <w:ind w:left="-29" w:right="-58"/>
              <w:rPr>
                <w:rFonts w:ascii="Arial" w:hAnsi="Arial" w:cs="Arial"/>
                <w:sz w:val="16"/>
                <w:szCs w:val="16"/>
              </w:rPr>
            </w:pPr>
            <w:r>
              <w:rPr>
                <w:rFonts w:ascii="Arial" w:hAnsi="Arial" w:cs="Arial"/>
                <w:sz w:val="16"/>
                <w:szCs w:val="16"/>
              </w:rPr>
              <w:t>Share of loss from investments in associates</w:t>
            </w:r>
          </w:p>
        </w:tc>
        <w:tc>
          <w:tcPr>
            <w:tcW w:w="1620" w:type="dxa"/>
            <w:vAlign w:val="bottom"/>
          </w:tcPr>
          <w:p>
            <w:pPr>
              <w:tabs>
                <w:tab w:val="decimal" w:pos="1154"/>
              </w:tabs>
              <w:spacing w:line="370" w:lineRule="exact"/>
              <w:ind w:left="-29" w:right="-58"/>
              <w:rPr>
                <w:rFonts w:ascii="Arial" w:hAnsi="Arial" w:cs="Arial"/>
                <w:sz w:val="16"/>
                <w:szCs w:val="16"/>
              </w:rPr>
            </w:pPr>
          </w:p>
        </w:tc>
        <w:tc>
          <w:tcPr>
            <w:tcW w:w="1710" w:type="dxa"/>
          </w:tcPr>
          <w:p>
            <w:pPr>
              <w:tabs>
                <w:tab w:val="decimal" w:pos="1154"/>
              </w:tabs>
              <w:spacing w:line="370" w:lineRule="exact"/>
              <w:ind w:left="-29" w:right="-58"/>
              <w:rPr>
                <w:rFonts w:ascii="Arial" w:hAnsi="Arial" w:cs="Arial"/>
                <w:sz w:val="16"/>
                <w:szCs w:val="16"/>
              </w:rPr>
            </w:pPr>
          </w:p>
        </w:tc>
        <w:tc>
          <w:tcPr>
            <w:tcW w:w="1620" w:type="dxa"/>
          </w:tcPr>
          <w:p>
            <w:pPr>
              <w:tabs>
                <w:tab w:val="decimal" w:pos="1154"/>
              </w:tabs>
              <w:spacing w:line="370" w:lineRule="exact"/>
              <w:ind w:left="-29" w:right="-29"/>
              <w:rPr>
                <w:rFonts w:ascii="Arial" w:hAnsi="Arial" w:cs="Arial"/>
                <w:sz w:val="16"/>
                <w:szCs w:val="16"/>
              </w:rPr>
            </w:pPr>
            <w:r>
              <w:rPr>
                <w:rFonts w:ascii="Arial" w:hAnsi="Arial" w:cs="Arial"/>
                <w:sz w:val="16"/>
                <w:szCs w:val="16"/>
              </w:rPr>
              <w:t>(1,255)</w:t>
            </w:r>
          </w:p>
        </w:tc>
      </w:tr>
      <w:tr>
        <w:tblPrEx>
          <w:tblCellMar>
            <w:top w:w="0" w:type="dxa"/>
            <w:left w:w="108" w:type="dxa"/>
            <w:bottom w:w="0" w:type="dxa"/>
            <w:right w:w="108" w:type="dxa"/>
          </w:tblCellMar>
        </w:tblPrEx>
        <w:trPr>
          <w:cantSplit/>
        </w:trPr>
        <w:tc>
          <w:tcPr>
            <w:tcW w:w="4231" w:type="dxa"/>
            <w:gridSpan w:val="2"/>
          </w:tcPr>
          <w:p>
            <w:pPr>
              <w:tabs>
                <w:tab w:val="decimal" w:pos="413"/>
              </w:tabs>
              <w:spacing w:line="370" w:lineRule="exact"/>
              <w:ind w:left="-29" w:right="-58"/>
              <w:rPr>
                <w:rFonts w:ascii="Arial" w:hAnsi="Arial" w:cs="Arial"/>
                <w:sz w:val="16"/>
                <w:szCs w:val="16"/>
              </w:rPr>
            </w:pPr>
            <w:r>
              <w:rPr>
                <w:rFonts w:ascii="Arial" w:hAnsi="Arial" w:cs="Arial"/>
                <w:sz w:val="16"/>
                <w:szCs w:val="16"/>
              </w:rPr>
              <w:t>Income tax expenses</w:t>
            </w:r>
          </w:p>
        </w:tc>
        <w:tc>
          <w:tcPr>
            <w:tcW w:w="1620" w:type="dxa"/>
            <w:vAlign w:val="bottom"/>
          </w:tcPr>
          <w:p>
            <w:pPr>
              <w:tabs>
                <w:tab w:val="decimal" w:pos="1154"/>
              </w:tabs>
              <w:spacing w:line="370" w:lineRule="exact"/>
              <w:ind w:left="-29" w:right="-58"/>
              <w:rPr>
                <w:rFonts w:ascii="Arial" w:hAnsi="Arial" w:cs="Arial"/>
                <w:sz w:val="16"/>
                <w:szCs w:val="16"/>
              </w:rPr>
            </w:pPr>
          </w:p>
        </w:tc>
        <w:tc>
          <w:tcPr>
            <w:tcW w:w="1710" w:type="dxa"/>
          </w:tcPr>
          <w:p>
            <w:pPr>
              <w:tabs>
                <w:tab w:val="decimal" w:pos="1154"/>
              </w:tabs>
              <w:spacing w:line="370" w:lineRule="exact"/>
              <w:ind w:left="-29" w:right="-58"/>
              <w:rPr>
                <w:rFonts w:ascii="Arial" w:hAnsi="Arial" w:cs="Arial"/>
                <w:sz w:val="16"/>
                <w:szCs w:val="16"/>
              </w:rPr>
            </w:pPr>
          </w:p>
        </w:tc>
        <w:tc>
          <w:tcPr>
            <w:tcW w:w="1620" w:type="dxa"/>
          </w:tcPr>
          <w:p>
            <w:pPr>
              <w:pBdr>
                <w:bottom w:val="single" w:color="auto" w:sz="4" w:space="1"/>
              </w:pBdr>
              <w:tabs>
                <w:tab w:val="decimal" w:pos="1154"/>
              </w:tabs>
              <w:spacing w:line="370" w:lineRule="exact"/>
              <w:ind w:left="-29" w:right="-29"/>
              <w:rPr>
                <w:rFonts w:ascii="Arial" w:hAnsi="Arial" w:cs="Arial"/>
                <w:sz w:val="16"/>
                <w:szCs w:val="16"/>
              </w:rPr>
            </w:pPr>
            <w:r>
              <w:rPr>
                <w:rFonts w:ascii="Arial" w:hAnsi="Arial" w:cs="Arial"/>
                <w:sz w:val="16"/>
                <w:szCs w:val="16"/>
              </w:rPr>
              <w:t>(4,081)</w:t>
            </w:r>
          </w:p>
        </w:tc>
      </w:tr>
      <w:tr>
        <w:tblPrEx>
          <w:tblCellMar>
            <w:top w:w="0" w:type="dxa"/>
            <w:left w:w="108" w:type="dxa"/>
            <w:bottom w:w="0" w:type="dxa"/>
            <w:right w:w="108" w:type="dxa"/>
          </w:tblCellMar>
        </w:tblPrEx>
        <w:trPr>
          <w:cantSplit/>
        </w:trPr>
        <w:tc>
          <w:tcPr>
            <w:tcW w:w="4231" w:type="dxa"/>
            <w:gridSpan w:val="2"/>
          </w:tcPr>
          <w:p>
            <w:pPr>
              <w:tabs>
                <w:tab w:val="decimal" w:pos="413"/>
              </w:tabs>
              <w:spacing w:line="370" w:lineRule="exact"/>
              <w:ind w:left="-29" w:right="-58"/>
              <w:rPr>
                <w:rFonts w:ascii="Arial" w:hAnsi="Arial" w:cs="Arial"/>
                <w:sz w:val="16"/>
                <w:szCs w:val="16"/>
              </w:rPr>
            </w:pPr>
            <w:r>
              <w:rPr>
                <w:rFonts w:ascii="Arial" w:hAnsi="Arial" w:cs="Arial"/>
                <w:sz w:val="16"/>
                <w:szCs w:val="16"/>
              </w:rPr>
              <w:t>Profit for the period</w:t>
            </w:r>
          </w:p>
        </w:tc>
        <w:tc>
          <w:tcPr>
            <w:tcW w:w="1620" w:type="dxa"/>
            <w:vAlign w:val="bottom"/>
          </w:tcPr>
          <w:p>
            <w:pPr>
              <w:tabs>
                <w:tab w:val="decimal" w:pos="1154"/>
              </w:tabs>
              <w:spacing w:line="370" w:lineRule="exact"/>
              <w:ind w:left="-29" w:right="-58"/>
              <w:rPr>
                <w:rFonts w:ascii="Arial" w:hAnsi="Arial" w:cs="Arial"/>
                <w:sz w:val="16"/>
                <w:szCs w:val="16"/>
              </w:rPr>
            </w:pPr>
          </w:p>
        </w:tc>
        <w:tc>
          <w:tcPr>
            <w:tcW w:w="1710" w:type="dxa"/>
          </w:tcPr>
          <w:p>
            <w:pPr>
              <w:tabs>
                <w:tab w:val="decimal" w:pos="1154"/>
              </w:tabs>
              <w:spacing w:line="370" w:lineRule="exact"/>
              <w:ind w:left="-29" w:right="-58"/>
              <w:rPr>
                <w:rFonts w:ascii="Arial" w:hAnsi="Arial" w:cs="Arial"/>
                <w:sz w:val="16"/>
                <w:szCs w:val="16"/>
              </w:rPr>
            </w:pPr>
          </w:p>
        </w:tc>
        <w:tc>
          <w:tcPr>
            <w:tcW w:w="1620" w:type="dxa"/>
          </w:tcPr>
          <w:p>
            <w:pPr>
              <w:pBdr>
                <w:bottom w:val="double" w:color="auto" w:sz="4" w:space="1"/>
              </w:pBdr>
              <w:tabs>
                <w:tab w:val="decimal" w:pos="1154"/>
              </w:tabs>
              <w:spacing w:line="370" w:lineRule="exact"/>
              <w:ind w:left="-29" w:right="-29"/>
              <w:rPr>
                <w:rFonts w:ascii="Arial" w:hAnsi="Arial" w:cs="Arial"/>
                <w:sz w:val="16"/>
                <w:szCs w:val="16"/>
              </w:rPr>
            </w:pPr>
            <w:r>
              <w:rPr>
                <w:rFonts w:ascii="Arial" w:hAnsi="Arial" w:cs="Arial"/>
                <w:sz w:val="16"/>
                <w:szCs w:val="16"/>
              </w:rPr>
              <w:t>16,835</w:t>
            </w:r>
          </w:p>
        </w:tc>
      </w:tr>
    </w:tbl>
    <w:p>
      <w:pPr>
        <w:overflowPunct/>
        <w:autoSpaceDE/>
        <w:autoSpaceDN/>
        <w:adjustRightInd/>
        <w:spacing w:after="260" w:line="260" w:lineRule="atLeast"/>
        <w:textAlignment w:val="auto"/>
        <w:rPr>
          <w:rFonts w:ascii="Arial" w:hAnsi="Arial" w:cstheme="minorBidi"/>
          <w:b/>
          <w:bCs/>
          <w:sz w:val="22"/>
          <w:szCs w:val="22"/>
        </w:rPr>
      </w:pPr>
      <w:r>
        <w:rPr>
          <w:rFonts w:ascii="Arial" w:hAnsi="Arial" w:cstheme="minorBidi"/>
          <w:b/>
          <w:bCs/>
          <w:sz w:val="22"/>
          <w:szCs w:val="22"/>
        </w:rPr>
        <w:br w:type="page"/>
      </w:r>
    </w:p>
    <w:p>
      <w:pPr>
        <w:tabs>
          <w:tab w:val="left" w:pos="2160"/>
          <w:tab w:val="right" w:pos="6480"/>
          <w:tab w:val="right" w:pos="8640"/>
        </w:tabs>
        <w:spacing w:before="240" w:after="120" w:line="380" w:lineRule="exact"/>
        <w:ind w:left="547" w:hanging="547"/>
        <w:jc w:val="thaiDistribute"/>
        <w:rPr>
          <w:rFonts w:ascii="Arial" w:hAnsi="Arial" w:cstheme="minorBidi"/>
          <w:b/>
          <w:bCs/>
          <w:sz w:val="22"/>
          <w:szCs w:val="22"/>
        </w:rPr>
      </w:pPr>
      <w:r>
        <w:rPr>
          <w:rFonts w:ascii="Arial" w:hAnsi="Arial" w:cstheme="minorBidi"/>
          <w:b/>
          <w:bCs/>
          <w:sz w:val="22"/>
          <w:szCs w:val="22"/>
        </w:rPr>
        <w:t>11.</w:t>
      </w:r>
      <w:r>
        <w:rPr>
          <w:rFonts w:ascii="Arial" w:hAnsi="Arial" w:cstheme="minorBidi"/>
          <w:b/>
          <w:bCs/>
          <w:sz w:val="22"/>
          <w:szCs w:val="22"/>
        </w:rPr>
        <w:tab/>
      </w:r>
      <w:r>
        <w:rPr>
          <w:rFonts w:ascii="Arial" w:hAnsi="Arial" w:cstheme="minorBidi"/>
          <w:b/>
          <w:bCs/>
          <w:sz w:val="22"/>
          <w:szCs w:val="22"/>
        </w:rPr>
        <w:t>Dividend</w:t>
      </w:r>
    </w:p>
    <w:p>
      <w:pPr>
        <w:tabs>
          <w:tab w:val="left" w:pos="2160"/>
          <w:tab w:val="right" w:pos="6480"/>
          <w:tab w:val="right" w:pos="8640"/>
        </w:tabs>
        <w:spacing w:before="120" w:after="120" w:line="380" w:lineRule="exact"/>
        <w:ind w:left="547" w:hanging="547"/>
        <w:jc w:val="thaiDistribute"/>
        <w:rPr>
          <w:rFonts w:ascii="Arial" w:hAnsi="Arial" w:cstheme="minorBidi"/>
          <w:sz w:val="22"/>
          <w:szCs w:val="22"/>
        </w:rPr>
      </w:pPr>
      <w:r>
        <w:rPr>
          <w:rFonts w:ascii="Arial" w:hAnsi="Arial" w:cstheme="minorBidi"/>
          <w:b/>
          <w:bCs/>
          <w:sz w:val="22"/>
          <w:szCs w:val="22"/>
          <w:cs/>
        </w:rPr>
        <w:tab/>
      </w:r>
      <w:r>
        <w:rPr>
          <w:rFonts w:ascii="Arial" w:hAnsi="Arial" w:cstheme="minorBidi"/>
          <w:sz w:val="22"/>
          <w:szCs w:val="22"/>
        </w:rPr>
        <w:t>Dividends declared during the nine-month periods ended 30 September 2021 and 2022 consisted of the follows:</w:t>
      </w:r>
    </w:p>
    <w:tbl>
      <w:tblPr>
        <w:tblStyle w:val="8"/>
        <w:tblW w:w="9540" w:type="dxa"/>
        <w:tblInd w:w="450" w:type="dxa"/>
        <w:tblLayout w:type="autofit"/>
        <w:tblCellMar>
          <w:top w:w="0" w:type="dxa"/>
          <w:left w:w="108" w:type="dxa"/>
          <w:bottom w:w="0" w:type="dxa"/>
          <w:right w:w="108" w:type="dxa"/>
        </w:tblCellMar>
      </w:tblPr>
      <w:tblGrid>
        <w:gridCol w:w="2700"/>
        <w:gridCol w:w="3330"/>
        <w:gridCol w:w="1710"/>
        <w:gridCol w:w="1800"/>
      </w:tblGrid>
      <w:tr>
        <w:tblPrEx>
          <w:tblCellMar>
            <w:top w:w="0" w:type="dxa"/>
            <w:left w:w="108" w:type="dxa"/>
            <w:bottom w:w="0" w:type="dxa"/>
            <w:right w:w="108" w:type="dxa"/>
          </w:tblCellMar>
        </w:tblPrEx>
        <w:tc>
          <w:tcPr>
            <w:tcW w:w="2700" w:type="dxa"/>
            <w:vAlign w:val="bottom"/>
          </w:tcPr>
          <w:p>
            <w:pPr>
              <w:pBdr>
                <w:bottom w:val="single" w:color="auto" w:sz="4" w:space="1"/>
              </w:pBdr>
              <w:tabs>
                <w:tab w:val="left" w:pos="2880"/>
                <w:tab w:val="right" w:pos="5040"/>
                <w:tab w:val="right" w:pos="6390"/>
                <w:tab w:val="right" w:pos="8190"/>
              </w:tabs>
              <w:spacing w:line="380" w:lineRule="exact"/>
              <w:ind w:right="-43"/>
              <w:jc w:val="center"/>
              <w:rPr>
                <w:rFonts w:ascii="Arial" w:hAnsi="Arial" w:cs="Arial"/>
                <w:spacing w:val="-5"/>
                <w:sz w:val="19"/>
                <w:szCs w:val="19"/>
              </w:rPr>
            </w:pPr>
            <w:r>
              <w:rPr>
                <w:rFonts w:ascii="Arial" w:hAnsi="Arial" w:cs="Arial"/>
                <w:spacing w:val="-5"/>
                <w:sz w:val="19"/>
                <w:szCs w:val="19"/>
              </w:rPr>
              <w:t>Dividends</w:t>
            </w:r>
          </w:p>
        </w:tc>
        <w:tc>
          <w:tcPr>
            <w:tcW w:w="3330" w:type="dxa"/>
            <w:vAlign w:val="bottom"/>
          </w:tcPr>
          <w:p>
            <w:pPr>
              <w:pBdr>
                <w:bottom w:val="single" w:color="auto" w:sz="4" w:space="1"/>
              </w:pBdr>
              <w:tabs>
                <w:tab w:val="left" w:pos="2880"/>
                <w:tab w:val="right" w:pos="5040"/>
                <w:tab w:val="right" w:pos="6390"/>
                <w:tab w:val="right" w:pos="8190"/>
              </w:tabs>
              <w:spacing w:line="380" w:lineRule="exact"/>
              <w:ind w:right="-43"/>
              <w:jc w:val="center"/>
              <w:rPr>
                <w:rFonts w:ascii="Arial" w:hAnsi="Arial" w:cs="Arial"/>
                <w:spacing w:val="-5"/>
                <w:sz w:val="19"/>
                <w:szCs w:val="19"/>
              </w:rPr>
            </w:pPr>
            <w:r>
              <w:rPr>
                <w:rFonts w:ascii="Arial" w:hAnsi="Arial" w:cs="Arial"/>
                <w:spacing w:val="-5"/>
                <w:sz w:val="19"/>
                <w:szCs w:val="19"/>
              </w:rPr>
              <w:t>Authorised by</w:t>
            </w:r>
          </w:p>
        </w:tc>
        <w:tc>
          <w:tcPr>
            <w:tcW w:w="1710" w:type="dxa"/>
            <w:vAlign w:val="bottom"/>
          </w:tcPr>
          <w:p>
            <w:pPr>
              <w:pBdr>
                <w:bottom w:val="single" w:color="auto" w:sz="4" w:space="1"/>
              </w:pBdr>
              <w:tabs>
                <w:tab w:val="left" w:pos="2880"/>
                <w:tab w:val="right" w:pos="5040"/>
                <w:tab w:val="right" w:pos="6390"/>
                <w:tab w:val="right" w:pos="8190"/>
              </w:tabs>
              <w:spacing w:line="380" w:lineRule="exact"/>
              <w:ind w:right="-43"/>
              <w:jc w:val="center"/>
              <w:rPr>
                <w:rFonts w:ascii="Arial" w:hAnsi="Arial" w:cs="Arial"/>
                <w:spacing w:val="-5"/>
                <w:sz w:val="19"/>
                <w:szCs w:val="19"/>
              </w:rPr>
            </w:pPr>
            <w:r>
              <w:rPr>
                <w:rFonts w:ascii="Arial" w:hAnsi="Arial" w:cs="Arial"/>
                <w:spacing w:val="-5"/>
                <w:sz w:val="19"/>
                <w:szCs w:val="19"/>
              </w:rPr>
              <w:t>Dividend paid</w:t>
            </w:r>
          </w:p>
        </w:tc>
        <w:tc>
          <w:tcPr>
            <w:tcW w:w="1800" w:type="dxa"/>
            <w:vAlign w:val="bottom"/>
          </w:tcPr>
          <w:p>
            <w:pPr>
              <w:pBdr>
                <w:bottom w:val="single" w:color="auto" w:sz="4" w:space="1"/>
              </w:pBdr>
              <w:tabs>
                <w:tab w:val="left" w:pos="2880"/>
                <w:tab w:val="right" w:pos="5040"/>
                <w:tab w:val="right" w:pos="6390"/>
                <w:tab w:val="right" w:pos="8190"/>
              </w:tabs>
              <w:spacing w:line="380" w:lineRule="exact"/>
              <w:ind w:right="-43"/>
              <w:jc w:val="center"/>
              <w:rPr>
                <w:rFonts w:ascii="Arial" w:hAnsi="Arial" w:cs="Arial"/>
                <w:spacing w:val="-5"/>
                <w:sz w:val="19"/>
                <w:szCs w:val="19"/>
              </w:rPr>
            </w:pPr>
            <w:r>
              <w:rPr>
                <w:rFonts w:ascii="Arial" w:hAnsi="Arial" w:cs="Arial"/>
                <w:spacing w:val="-5"/>
                <w:sz w:val="19"/>
                <w:szCs w:val="19"/>
              </w:rPr>
              <w:t>Dividend per share</w:t>
            </w:r>
          </w:p>
        </w:tc>
      </w:tr>
      <w:tr>
        <w:tblPrEx>
          <w:tblCellMar>
            <w:top w:w="0" w:type="dxa"/>
            <w:left w:w="108" w:type="dxa"/>
            <w:bottom w:w="0" w:type="dxa"/>
            <w:right w:w="108" w:type="dxa"/>
          </w:tblCellMar>
        </w:tblPrEx>
        <w:trPr>
          <w:trHeight w:val="70" w:hRule="atLeast"/>
        </w:trPr>
        <w:tc>
          <w:tcPr>
            <w:tcW w:w="2700" w:type="dxa"/>
            <w:vAlign w:val="center"/>
          </w:tcPr>
          <w:p>
            <w:pPr>
              <w:tabs>
                <w:tab w:val="left" w:pos="2880"/>
                <w:tab w:val="right" w:pos="5040"/>
                <w:tab w:val="right" w:pos="6390"/>
                <w:tab w:val="right" w:pos="8190"/>
              </w:tabs>
              <w:spacing w:line="380" w:lineRule="exact"/>
              <w:ind w:right="-43"/>
              <w:jc w:val="both"/>
              <w:rPr>
                <w:rFonts w:ascii="Arial" w:hAnsi="Arial" w:cs="Arial"/>
                <w:spacing w:val="-5"/>
                <w:sz w:val="19"/>
                <w:szCs w:val="19"/>
              </w:rPr>
            </w:pPr>
          </w:p>
        </w:tc>
        <w:tc>
          <w:tcPr>
            <w:tcW w:w="3330" w:type="dxa"/>
            <w:vAlign w:val="center"/>
          </w:tcPr>
          <w:p>
            <w:pPr>
              <w:tabs>
                <w:tab w:val="left" w:pos="2880"/>
                <w:tab w:val="right" w:pos="5040"/>
                <w:tab w:val="right" w:pos="6390"/>
                <w:tab w:val="right" w:pos="8190"/>
              </w:tabs>
              <w:spacing w:line="380" w:lineRule="exact"/>
              <w:ind w:right="-43"/>
              <w:jc w:val="both"/>
              <w:rPr>
                <w:rFonts w:ascii="Arial" w:hAnsi="Arial" w:cs="Arial"/>
                <w:spacing w:val="-5"/>
                <w:sz w:val="19"/>
                <w:szCs w:val="19"/>
                <w:cs/>
              </w:rPr>
            </w:pPr>
          </w:p>
        </w:tc>
        <w:tc>
          <w:tcPr>
            <w:tcW w:w="1710" w:type="dxa"/>
            <w:vAlign w:val="center"/>
          </w:tcPr>
          <w:p>
            <w:pPr>
              <w:tabs>
                <w:tab w:val="left" w:pos="2880"/>
                <w:tab w:val="right" w:pos="5040"/>
                <w:tab w:val="right" w:pos="6390"/>
                <w:tab w:val="right" w:pos="8190"/>
              </w:tabs>
              <w:spacing w:line="380" w:lineRule="exact"/>
              <w:ind w:right="-43"/>
              <w:jc w:val="center"/>
              <w:rPr>
                <w:rFonts w:ascii="Arial" w:hAnsi="Arial" w:cs="Arial"/>
                <w:spacing w:val="-5"/>
                <w:sz w:val="19"/>
                <w:szCs w:val="19"/>
                <w:cs/>
              </w:rPr>
            </w:pPr>
            <w:r>
              <w:rPr>
                <w:rFonts w:ascii="Arial" w:hAnsi="Arial" w:cs="Arial"/>
                <w:spacing w:val="-5"/>
                <w:sz w:val="19"/>
                <w:szCs w:val="19"/>
                <w:cs/>
              </w:rPr>
              <w:t>(</w:t>
            </w:r>
            <w:r>
              <w:rPr>
                <w:rFonts w:ascii="Arial" w:hAnsi="Arial" w:cs="Arial"/>
                <w:spacing w:val="-5"/>
                <w:sz w:val="19"/>
                <w:szCs w:val="19"/>
              </w:rPr>
              <w:t>Thousand Baht</w:t>
            </w:r>
            <w:r>
              <w:rPr>
                <w:rFonts w:ascii="Arial" w:hAnsi="Arial" w:cs="Arial"/>
                <w:spacing w:val="-5"/>
                <w:sz w:val="19"/>
                <w:szCs w:val="19"/>
                <w:cs/>
              </w:rPr>
              <w:t>)</w:t>
            </w:r>
          </w:p>
        </w:tc>
        <w:tc>
          <w:tcPr>
            <w:tcW w:w="1800" w:type="dxa"/>
            <w:vAlign w:val="center"/>
          </w:tcPr>
          <w:p>
            <w:pPr>
              <w:tabs>
                <w:tab w:val="left" w:pos="2880"/>
                <w:tab w:val="right" w:pos="5040"/>
                <w:tab w:val="right" w:pos="6390"/>
                <w:tab w:val="right" w:pos="8190"/>
              </w:tabs>
              <w:spacing w:line="380" w:lineRule="exact"/>
              <w:ind w:right="-43"/>
              <w:jc w:val="center"/>
              <w:rPr>
                <w:rFonts w:ascii="Arial" w:hAnsi="Arial" w:cs="Arial"/>
                <w:spacing w:val="-5"/>
                <w:sz w:val="19"/>
                <w:szCs w:val="19"/>
              </w:rPr>
            </w:pPr>
            <w:r>
              <w:rPr>
                <w:rFonts w:ascii="Arial" w:hAnsi="Arial" w:cs="Arial"/>
                <w:spacing w:val="-5"/>
                <w:sz w:val="19"/>
                <w:szCs w:val="19"/>
                <w:cs/>
              </w:rPr>
              <w:t>(</w:t>
            </w:r>
            <w:r>
              <w:rPr>
                <w:rFonts w:ascii="Arial" w:hAnsi="Arial" w:cs="Arial"/>
                <w:spacing w:val="-5"/>
                <w:sz w:val="19"/>
                <w:szCs w:val="19"/>
              </w:rPr>
              <w:t>Baht per share</w:t>
            </w:r>
            <w:r>
              <w:rPr>
                <w:rFonts w:ascii="Arial" w:hAnsi="Arial" w:cs="Arial"/>
                <w:spacing w:val="-5"/>
                <w:sz w:val="19"/>
                <w:szCs w:val="19"/>
                <w:cs/>
              </w:rPr>
              <w:t>)</w:t>
            </w:r>
          </w:p>
        </w:tc>
      </w:tr>
      <w:tr>
        <w:tblPrEx>
          <w:tblCellMar>
            <w:top w:w="0" w:type="dxa"/>
            <w:left w:w="108" w:type="dxa"/>
            <w:bottom w:w="0" w:type="dxa"/>
            <w:right w:w="108" w:type="dxa"/>
          </w:tblCellMar>
        </w:tblPrEx>
        <w:trPr>
          <w:trHeight w:val="414" w:hRule="atLeast"/>
        </w:trPr>
        <w:tc>
          <w:tcPr>
            <w:tcW w:w="2700" w:type="dxa"/>
          </w:tcPr>
          <w:p>
            <w:pPr>
              <w:tabs>
                <w:tab w:val="left" w:pos="2880"/>
                <w:tab w:val="right" w:pos="5040"/>
                <w:tab w:val="right" w:pos="6390"/>
                <w:tab w:val="right" w:pos="8190"/>
              </w:tabs>
              <w:spacing w:line="380" w:lineRule="exact"/>
              <w:ind w:left="43" w:right="-43"/>
              <w:rPr>
                <w:rFonts w:ascii="Arial" w:hAnsi="Arial" w:cs="Arial"/>
                <w:sz w:val="19"/>
                <w:szCs w:val="19"/>
              </w:rPr>
            </w:pPr>
            <w:r>
              <w:rPr>
                <w:rFonts w:ascii="Arial" w:hAnsi="Arial" w:cs="Arial"/>
                <w:sz w:val="19"/>
                <w:szCs w:val="19"/>
              </w:rPr>
              <w:t>Final dividends for 2020</w:t>
            </w:r>
          </w:p>
        </w:tc>
        <w:tc>
          <w:tcPr>
            <w:tcW w:w="3330" w:type="dxa"/>
          </w:tcPr>
          <w:p>
            <w:pPr>
              <w:tabs>
                <w:tab w:val="left" w:pos="2880"/>
                <w:tab w:val="right" w:pos="5040"/>
                <w:tab w:val="right" w:pos="6390"/>
                <w:tab w:val="right" w:pos="8190"/>
              </w:tabs>
              <w:spacing w:line="380" w:lineRule="exact"/>
              <w:ind w:left="160" w:right="-43" w:hanging="117"/>
              <w:rPr>
                <w:rFonts w:ascii="Arial" w:hAnsi="Arial" w:cs="Arial"/>
                <w:sz w:val="19"/>
                <w:szCs w:val="19"/>
              </w:rPr>
            </w:pPr>
            <w:r>
              <w:rPr>
                <w:rFonts w:ascii="Arial" w:hAnsi="Arial" w:cs="Arial"/>
                <w:sz w:val="19"/>
                <w:szCs w:val="19"/>
              </w:rPr>
              <w:t>Annual General Meeting of the shareholders on 10 March 2021</w:t>
            </w:r>
          </w:p>
        </w:tc>
        <w:tc>
          <w:tcPr>
            <w:tcW w:w="1710" w:type="dxa"/>
            <w:vAlign w:val="bottom"/>
          </w:tcPr>
          <w:p>
            <w:pPr>
              <w:tabs>
                <w:tab w:val="decimal" w:pos="1155"/>
              </w:tabs>
              <w:spacing w:line="380" w:lineRule="exact"/>
              <w:rPr>
                <w:rFonts w:ascii="Arial" w:hAnsi="Arial" w:cs="Arial"/>
                <w:sz w:val="19"/>
                <w:szCs w:val="19"/>
              </w:rPr>
            </w:pPr>
            <w:r>
              <w:rPr>
                <w:rFonts w:ascii="Arial" w:hAnsi="Arial" w:cs="Arial"/>
                <w:sz w:val="19"/>
                <w:szCs w:val="19"/>
              </w:rPr>
              <w:t>13,000</w:t>
            </w:r>
          </w:p>
        </w:tc>
        <w:tc>
          <w:tcPr>
            <w:tcW w:w="1800" w:type="dxa"/>
            <w:vAlign w:val="bottom"/>
          </w:tcPr>
          <w:p>
            <w:pPr>
              <w:tabs>
                <w:tab w:val="decimal" w:pos="1063"/>
              </w:tabs>
              <w:spacing w:line="380" w:lineRule="exact"/>
              <w:rPr>
                <w:rFonts w:ascii="Arial" w:hAnsi="Arial" w:cs="Arial"/>
                <w:sz w:val="19"/>
                <w:szCs w:val="19"/>
              </w:rPr>
            </w:pPr>
            <w:r>
              <w:rPr>
                <w:rFonts w:ascii="Arial" w:hAnsi="Arial" w:cs="Arial"/>
                <w:sz w:val="19"/>
                <w:szCs w:val="19"/>
              </w:rPr>
              <w:t>1.30</w:t>
            </w:r>
          </w:p>
        </w:tc>
      </w:tr>
      <w:tr>
        <w:tblPrEx>
          <w:tblCellMar>
            <w:top w:w="0" w:type="dxa"/>
            <w:left w:w="108" w:type="dxa"/>
            <w:bottom w:w="0" w:type="dxa"/>
            <w:right w:w="108" w:type="dxa"/>
          </w:tblCellMar>
        </w:tblPrEx>
        <w:trPr>
          <w:trHeight w:val="414" w:hRule="atLeast"/>
        </w:trPr>
        <w:tc>
          <w:tcPr>
            <w:tcW w:w="2700" w:type="dxa"/>
          </w:tcPr>
          <w:p>
            <w:pPr>
              <w:tabs>
                <w:tab w:val="left" w:pos="2880"/>
                <w:tab w:val="right" w:pos="5040"/>
                <w:tab w:val="right" w:pos="6390"/>
                <w:tab w:val="right" w:pos="8190"/>
              </w:tabs>
              <w:spacing w:line="380" w:lineRule="exact"/>
              <w:ind w:left="43" w:right="-43"/>
              <w:rPr>
                <w:rFonts w:ascii="Arial" w:hAnsi="Arial" w:cs="Arial"/>
                <w:sz w:val="19"/>
                <w:szCs w:val="19"/>
              </w:rPr>
            </w:pPr>
            <w:r>
              <w:rPr>
                <w:rFonts w:ascii="Arial" w:hAnsi="Arial" w:cs="Arial"/>
                <w:sz w:val="19"/>
                <w:szCs w:val="19"/>
              </w:rPr>
              <w:t>Interim dividend for the 2021</w:t>
            </w:r>
          </w:p>
        </w:tc>
        <w:tc>
          <w:tcPr>
            <w:tcW w:w="3330" w:type="dxa"/>
          </w:tcPr>
          <w:p>
            <w:pPr>
              <w:tabs>
                <w:tab w:val="left" w:pos="2880"/>
                <w:tab w:val="right" w:pos="5040"/>
                <w:tab w:val="right" w:pos="6390"/>
                <w:tab w:val="right" w:pos="8190"/>
              </w:tabs>
              <w:spacing w:line="380" w:lineRule="exact"/>
              <w:ind w:left="160" w:right="-43" w:hanging="117"/>
              <w:rPr>
                <w:rFonts w:ascii="Arial" w:hAnsi="Arial" w:cs="Arial"/>
                <w:sz w:val="19"/>
                <w:szCs w:val="19"/>
              </w:rPr>
            </w:pPr>
            <w:r>
              <w:rPr>
                <w:rFonts w:ascii="Arial" w:hAnsi="Arial" w:cs="Arial"/>
                <w:sz w:val="19"/>
                <w:szCs w:val="19"/>
              </w:rPr>
              <w:t>Annual General Meeting of the shareholders on 13 August 2021</w:t>
            </w:r>
          </w:p>
        </w:tc>
        <w:tc>
          <w:tcPr>
            <w:tcW w:w="1710" w:type="dxa"/>
            <w:vAlign w:val="bottom"/>
          </w:tcPr>
          <w:p>
            <w:pPr>
              <w:pBdr>
                <w:bottom w:val="single" w:color="auto" w:sz="4" w:space="1"/>
              </w:pBdr>
              <w:tabs>
                <w:tab w:val="decimal" w:pos="1155"/>
              </w:tabs>
              <w:spacing w:line="380" w:lineRule="exact"/>
              <w:rPr>
                <w:rFonts w:ascii="Arial" w:hAnsi="Arial" w:cs="Arial"/>
                <w:sz w:val="19"/>
                <w:szCs w:val="19"/>
              </w:rPr>
            </w:pPr>
            <w:r>
              <w:rPr>
                <w:rFonts w:ascii="Arial" w:hAnsi="Arial" w:cs="Arial"/>
                <w:sz w:val="19"/>
                <w:szCs w:val="19"/>
              </w:rPr>
              <w:t>6,000</w:t>
            </w:r>
          </w:p>
        </w:tc>
        <w:tc>
          <w:tcPr>
            <w:tcW w:w="1800" w:type="dxa"/>
            <w:vAlign w:val="bottom"/>
          </w:tcPr>
          <w:p>
            <w:pPr>
              <w:tabs>
                <w:tab w:val="decimal" w:pos="1063"/>
              </w:tabs>
              <w:spacing w:line="380" w:lineRule="exact"/>
              <w:rPr>
                <w:rFonts w:ascii="Arial" w:hAnsi="Arial" w:cstheme="minorBidi"/>
                <w:sz w:val="19"/>
                <w:szCs w:val="19"/>
              </w:rPr>
            </w:pPr>
            <w:r>
              <w:rPr>
                <w:rFonts w:ascii="Arial" w:hAnsi="Arial" w:cs="Arial"/>
                <w:sz w:val="19"/>
                <w:szCs w:val="19"/>
              </w:rPr>
              <w:t>0.03</w:t>
            </w:r>
          </w:p>
        </w:tc>
      </w:tr>
      <w:tr>
        <w:tblPrEx>
          <w:tblCellMar>
            <w:top w:w="0" w:type="dxa"/>
            <w:left w:w="108" w:type="dxa"/>
            <w:bottom w:w="0" w:type="dxa"/>
            <w:right w:w="108" w:type="dxa"/>
          </w:tblCellMar>
        </w:tblPrEx>
        <w:trPr>
          <w:trHeight w:val="70" w:hRule="atLeast"/>
        </w:trPr>
        <w:tc>
          <w:tcPr>
            <w:tcW w:w="6025" w:type="dxa"/>
            <w:gridSpan w:val="2"/>
          </w:tcPr>
          <w:p>
            <w:pPr>
              <w:tabs>
                <w:tab w:val="left" w:pos="2880"/>
                <w:tab w:val="right" w:pos="5040"/>
                <w:tab w:val="right" w:pos="6390"/>
                <w:tab w:val="right" w:pos="8190"/>
              </w:tabs>
              <w:spacing w:line="380" w:lineRule="exact"/>
              <w:ind w:left="165" w:right="-43"/>
              <w:rPr>
                <w:rFonts w:ascii="Arial" w:hAnsi="Arial" w:cs="Arial"/>
                <w:sz w:val="19"/>
                <w:szCs w:val="19"/>
                <w:cs/>
              </w:rPr>
            </w:pPr>
            <w:r>
              <w:rPr>
                <w:rFonts w:ascii="Arial" w:hAnsi="Arial" w:cs="Arial"/>
                <w:sz w:val="19"/>
                <w:szCs w:val="19"/>
              </w:rPr>
              <w:t>Total for the nine-month period ended 30 September 2021</w:t>
            </w:r>
          </w:p>
        </w:tc>
        <w:tc>
          <w:tcPr>
            <w:tcW w:w="1710" w:type="dxa"/>
            <w:vAlign w:val="bottom"/>
          </w:tcPr>
          <w:p>
            <w:pPr>
              <w:pBdr>
                <w:bottom w:val="double" w:color="auto" w:sz="4" w:space="1"/>
              </w:pBdr>
              <w:tabs>
                <w:tab w:val="decimal" w:pos="1155"/>
              </w:tabs>
              <w:spacing w:line="380" w:lineRule="exact"/>
              <w:rPr>
                <w:rFonts w:ascii="Arial" w:hAnsi="Arial" w:cs="Arial"/>
                <w:sz w:val="19"/>
                <w:szCs w:val="19"/>
              </w:rPr>
            </w:pPr>
            <w:r>
              <w:rPr>
                <w:rFonts w:ascii="Arial" w:hAnsi="Arial" w:cs="Arial"/>
                <w:sz w:val="19"/>
                <w:szCs w:val="19"/>
              </w:rPr>
              <w:t>19,000</w:t>
            </w:r>
          </w:p>
        </w:tc>
        <w:tc>
          <w:tcPr>
            <w:tcW w:w="1800" w:type="dxa"/>
            <w:vAlign w:val="bottom"/>
          </w:tcPr>
          <w:p>
            <w:pPr>
              <w:tabs>
                <w:tab w:val="decimal" w:pos="1063"/>
              </w:tabs>
              <w:spacing w:line="380" w:lineRule="exact"/>
              <w:rPr>
                <w:rFonts w:ascii="Arial" w:hAnsi="Arial" w:cs="Arial"/>
                <w:sz w:val="19"/>
                <w:szCs w:val="19"/>
              </w:rPr>
            </w:pPr>
          </w:p>
        </w:tc>
      </w:tr>
      <w:tr>
        <w:tblPrEx>
          <w:tblCellMar>
            <w:top w:w="0" w:type="dxa"/>
            <w:left w:w="108" w:type="dxa"/>
            <w:bottom w:w="0" w:type="dxa"/>
            <w:right w:w="108" w:type="dxa"/>
          </w:tblCellMar>
        </w:tblPrEx>
        <w:trPr>
          <w:trHeight w:val="70" w:hRule="atLeast"/>
        </w:trPr>
        <w:tc>
          <w:tcPr>
            <w:tcW w:w="2700" w:type="dxa"/>
            <w:vAlign w:val="center"/>
          </w:tcPr>
          <w:p>
            <w:pPr>
              <w:tabs>
                <w:tab w:val="left" w:pos="2880"/>
                <w:tab w:val="right" w:pos="5040"/>
                <w:tab w:val="right" w:pos="6390"/>
                <w:tab w:val="right" w:pos="8190"/>
              </w:tabs>
              <w:spacing w:line="380" w:lineRule="exact"/>
              <w:ind w:right="-43"/>
              <w:jc w:val="both"/>
              <w:rPr>
                <w:rFonts w:ascii="Arial" w:hAnsi="Arial" w:cs="Arial"/>
                <w:spacing w:val="-5"/>
                <w:sz w:val="19"/>
                <w:szCs w:val="19"/>
              </w:rPr>
            </w:pPr>
          </w:p>
        </w:tc>
        <w:tc>
          <w:tcPr>
            <w:tcW w:w="3330" w:type="dxa"/>
            <w:vAlign w:val="center"/>
          </w:tcPr>
          <w:p>
            <w:pPr>
              <w:tabs>
                <w:tab w:val="left" w:pos="2880"/>
                <w:tab w:val="right" w:pos="5040"/>
                <w:tab w:val="right" w:pos="6390"/>
                <w:tab w:val="right" w:pos="8190"/>
              </w:tabs>
              <w:spacing w:line="380" w:lineRule="exact"/>
              <w:ind w:right="-43"/>
              <w:jc w:val="both"/>
              <w:rPr>
                <w:rFonts w:ascii="Arial" w:hAnsi="Arial" w:cs="Arial"/>
                <w:spacing w:val="-5"/>
                <w:sz w:val="19"/>
                <w:szCs w:val="19"/>
                <w:cs/>
              </w:rPr>
            </w:pPr>
          </w:p>
        </w:tc>
        <w:tc>
          <w:tcPr>
            <w:tcW w:w="1710" w:type="dxa"/>
            <w:vAlign w:val="center"/>
          </w:tcPr>
          <w:p>
            <w:pPr>
              <w:tabs>
                <w:tab w:val="left" w:pos="2880"/>
                <w:tab w:val="right" w:pos="5040"/>
                <w:tab w:val="right" w:pos="6390"/>
                <w:tab w:val="right" w:pos="8190"/>
              </w:tabs>
              <w:spacing w:line="380" w:lineRule="exact"/>
              <w:ind w:right="-43"/>
              <w:jc w:val="center"/>
              <w:rPr>
                <w:rFonts w:ascii="Arial" w:hAnsi="Arial" w:cs="Arial"/>
                <w:spacing w:val="-5"/>
                <w:sz w:val="19"/>
                <w:szCs w:val="19"/>
                <w:cs/>
              </w:rPr>
            </w:pPr>
          </w:p>
        </w:tc>
        <w:tc>
          <w:tcPr>
            <w:tcW w:w="1800" w:type="dxa"/>
            <w:vAlign w:val="center"/>
          </w:tcPr>
          <w:p>
            <w:pPr>
              <w:tabs>
                <w:tab w:val="left" w:pos="2880"/>
                <w:tab w:val="right" w:pos="5040"/>
                <w:tab w:val="right" w:pos="6390"/>
                <w:tab w:val="right" w:pos="8190"/>
              </w:tabs>
              <w:spacing w:line="380" w:lineRule="exact"/>
              <w:ind w:right="-43"/>
              <w:jc w:val="center"/>
              <w:rPr>
                <w:rFonts w:ascii="Arial" w:hAnsi="Arial" w:cs="Arial"/>
                <w:spacing w:val="-5"/>
                <w:sz w:val="19"/>
                <w:szCs w:val="19"/>
              </w:rPr>
            </w:pPr>
          </w:p>
        </w:tc>
      </w:tr>
      <w:tr>
        <w:tblPrEx>
          <w:tblCellMar>
            <w:top w:w="0" w:type="dxa"/>
            <w:left w:w="108" w:type="dxa"/>
            <w:bottom w:w="0" w:type="dxa"/>
            <w:right w:w="108" w:type="dxa"/>
          </w:tblCellMar>
        </w:tblPrEx>
        <w:trPr>
          <w:trHeight w:val="414" w:hRule="atLeast"/>
        </w:trPr>
        <w:tc>
          <w:tcPr>
            <w:tcW w:w="2700" w:type="dxa"/>
          </w:tcPr>
          <w:p>
            <w:pPr>
              <w:tabs>
                <w:tab w:val="left" w:pos="2880"/>
                <w:tab w:val="right" w:pos="5040"/>
                <w:tab w:val="right" w:pos="6390"/>
                <w:tab w:val="right" w:pos="8190"/>
              </w:tabs>
              <w:spacing w:line="380" w:lineRule="exact"/>
              <w:ind w:left="43" w:right="-43"/>
              <w:rPr>
                <w:rFonts w:ascii="Arial" w:hAnsi="Arial" w:cs="Arial"/>
                <w:sz w:val="19"/>
                <w:szCs w:val="19"/>
              </w:rPr>
            </w:pPr>
            <w:r>
              <w:rPr>
                <w:rFonts w:ascii="Arial" w:hAnsi="Arial" w:cs="Arial"/>
                <w:sz w:val="19"/>
                <w:szCs w:val="19"/>
              </w:rPr>
              <w:t>Final dividends for 2021</w:t>
            </w:r>
          </w:p>
        </w:tc>
        <w:tc>
          <w:tcPr>
            <w:tcW w:w="3330" w:type="dxa"/>
          </w:tcPr>
          <w:p>
            <w:pPr>
              <w:tabs>
                <w:tab w:val="left" w:pos="2880"/>
                <w:tab w:val="right" w:pos="5040"/>
                <w:tab w:val="right" w:pos="6390"/>
                <w:tab w:val="right" w:pos="8190"/>
              </w:tabs>
              <w:spacing w:line="380" w:lineRule="exact"/>
              <w:ind w:left="160" w:right="-43" w:hanging="117"/>
              <w:rPr>
                <w:rFonts w:ascii="Arial" w:hAnsi="Arial" w:cs="Arial"/>
                <w:sz w:val="19"/>
                <w:szCs w:val="19"/>
              </w:rPr>
            </w:pPr>
            <w:r>
              <w:rPr>
                <w:rFonts w:ascii="Arial" w:hAnsi="Arial" w:cs="Arial"/>
                <w:sz w:val="19"/>
                <w:szCs w:val="19"/>
              </w:rPr>
              <w:t>Annual General Meeting of the shareholders on 22 April 2022</w:t>
            </w:r>
          </w:p>
        </w:tc>
        <w:tc>
          <w:tcPr>
            <w:tcW w:w="1710" w:type="dxa"/>
            <w:vAlign w:val="bottom"/>
          </w:tcPr>
          <w:p>
            <w:pPr>
              <w:pBdr>
                <w:bottom w:val="single" w:color="auto" w:sz="4" w:space="1"/>
              </w:pBdr>
              <w:tabs>
                <w:tab w:val="decimal" w:pos="1155"/>
              </w:tabs>
              <w:spacing w:line="380" w:lineRule="exact"/>
              <w:rPr>
                <w:rFonts w:ascii="Arial" w:hAnsi="Arial" w:cs="Arial"/>
                <w:sz w:val="19"/>
                <w:szCs w:val="19"/>
              </w:rPr>
            </w:pPr>
            <w:r>
              <w:rPr>
                <w:rFonts w:ascii="Arial" w:hAnsi="Arial" w:cs="Arial"/>
                <w:sz w:val="19"/>
                <w:szCs w:val="19"/>
              </w:rPr>
              <w:t>5,399</w:t>
            </w:r>
          </w:p>
        </w:tc>
        <w:tc>
          <w:tcPr>
            <w:tcW w:w="1800" w:type="dxa"/>
            <w:vAlign w:val="bottom"/>
          </w:tcPr>
          <w:p>
            <w:pPr>
              <w:tabs>
                <w:tab w:val="decimal" w:pos="1063"/>
              </w:tabs>
              <w:spacing w:line="380" w:lineRule="exact"/>
              <w:rPr>
                <w:rFonts w:ascii="Arial" w:hAnsi="Arial" w:cs="Arial"/>
                <w:sz w:val="19"/>
                <w:szCs w:val="19"/>
              </w:rPr>
            </w:pPr>
            <w:r>
              <w:rPr>
                <w:rFonts w:ascii="Arial" w:hAnsi="Arial" w:cs="Arial"/>
                <w:sz w:val="19"/>
                <w:szCs w:val="19"/>
              </w:rPr>
              <w:t>0.02</w:t>
            </w:r>
          </w:p>
        </w:tc>
      </w:tr>
      <w:tr>
        <w:tblPrEx>
          <w:tblCellMar>
            <w:top w:w="0" w:type="dxa"/>
            <w:left w:w="108" w:type="dxa"/>
            <w:bottom w:w="0" w:type="dxa"/>
            <w:right w:w="108" w:type="dxa"/>
          </w:tblCellMar>
        </w:tblPrEx>
        <w:trPr>
          <w:trHeight w:val="70" w:hRule="atLeast"/>
        </w:trPr>
        <w:tc>
          <w:tcPr>
            <w:tcW w:w="6025" w:type="dxa"/>
            <w:gridSpan w:val="2"/>
          </w:tcPr>
          <w:p>
            <w:pPr>
              <w:tabs>
                <w:tab w:val="left" w:pos="2880"/>
                <w:tab w:val="right" w:pos="5040"/>
                <w:tab w:val="right" w:pos="6390"/>
                <w:tab w:val="right" w:pos="8190"/>
              </w:tabs>
              <w:spacing w:line="380" w:lineRule="exact"/>
              <w:ind w:left="165" w:right="-43"/>
              <w:rPr>
                <w:rFonts w:ascii="Arial" w:hAnsi="Arial" w:cs="Arial"/>
                <w:sz w:val="19"/>
                <w:szCs w:val="19"/>
                <w:cs/>
              </w:rPr>
            </w:pPr>
            <w:r>
              <w:rPr>
                <w:rFonts w:ascii="Arial" w:hAnsi="Arial" w:cs="Arial"/>
                <w:sz w:val="19"/>
                <w:szCs w:val="19"/>
              </w:rPr>
              <w:t>Total for the nine-month period ended 30 September 2022</w:t>
            </w:r>
          </w:p>
        </w:tc>
        <w:tc>
          <w:tcPr>
            <w:tcW w:w="1710" w:type="dxa"/>
            <w:vAlign w:val="bottom"/>
          </w:tcPr>
          <w:p>
            <w:pPr>
              <w:pBdr>
                <w:bottom w:val="double" w:color="auto" w:sz="4" w:space="1"/>
              </w:pBdr>
              <w:tabs>
                <w:tab w:val="decimal" w:pos="1155"/>
              </w:tabs>
              <w:spacing w:line="380" w:lineRule="exact"/>
              <w:rPr>
                <w:rFonts w:ascii="Arial" w:hAnsi="Arial" w:cs="Arial"/>
                <w:sz w:val="19"/>
                <w:szCs w:val="19"/>
              </w:rPr>
            </w:pPr>
            <w:r>
              <w:rPr>
                <w:rFonts w:ascii="Arial" w:hAnsi="Arial" w:cs="Arial"/>
                <w:sz w:val="19"/>
                <w:szCs w:val="19"/>
              </w:rPr>
              <w:t>5,399</w:t>
            </w:r>
          </w:p>
        </w:tc>
        <w:tc>
          <w:tcPr>
            <w:tcW w:w="1800" w:type="dxa"/>
            <w:vAlign w:val="bottom"/>
          </w:tcPr>
          <w:p>
            <w:pPr>
              <w:tabs>
                <w:tab w:val="decimal" w:pos="1063"/>
              </w:tabs>
              <w:spacing w:line="380" w:lineRule="exact"/>
              <w:rPr>
                <w:rFonts w:ascii="Arial" w:hAnsi="Arial" w:cs="Arial"/>
                <w:sz w:val="19"/>
                <w:szCs w:val="19"/>
              </w:rPr>
            </w:pPr>
          </w:p>
        </w:tc>
      </w:tr>
    </w:tbl>
    <w:p>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12.</w:t>
      </w:r>
      <w:r>
        <w:rPr>
          <w:rFonts w:ascii="Arial" w:hAnsi="Arial" w:cs="Arial"/>
          <w:b/>
          <w:bCs/>
          <w:sz w:val="22"/>
          <w:szCs w:val="22"/>
        </w:rPr>
        <w:tab/>
      </w:r>
      <w:r>
        <w:rPr>
          <w:rFonts w:ascii="Arial" w:hAnsi="Arial" w:cs="Arial"/>
          <w:b/>
          <w:bCs/>
          <w:sz w:val="22"/>
          <w:szCs w:val="22"/>
        </w:rPr>
        <w:t>Commitments and contingent liabilities</w:t>
      </w:r>
    </w:p>
    <w:p>
      <w:pPr>
        <w:tabs>
          <w:tab w:val="left" w:pos="1440"/>
          <w:tab w:val="left" w:pos="21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12.1</w:t>
      </w:r>
      <w:r>
        <w:rPr>
          <w:rFonts w:ascii="Arial" w:hAnsi="Arial" w:cs="Arial"/>
          <w:b/>
          <w:bCs/>
          <w:sz w:val="22"/>
          <w:szCs w:val="22"/>
        </w:rPr>
        <w:tab/>
      </w:r>
      <w:r>
        <w:rPr>
          <w:rFonts w:ascii="Arial" w:hAnsi="Arial" w:cs="Arial"/>
          <w:b/>
          <w:bCs/>
          <w:sz w:val="22"/>
          <w:szCs w:val="22"/>
        </w:rPr>
        <w:t>Capital commitments</w:t>
      </w:r>
    </w:p>
    <w:p>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As at 30 September 2022, the Group had capital commitments of approximately Baht 2 million, relating to the development of website and application.</w:t>
      </w:r>
    </w:p>
    <w:p>
      <w:pPr>
        <w:tabs>
          <w:tab w:val="left" w:pos="1440"/>
          <w:tab w:val="left" w:pos="21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12.2</w:t>
      </w:r>
      <w:r>
        <w:rPr>
          <w:rFonts w:ascii="Arial" w:hAnsi="Arial" w:cs="Arial"/>
          <w:b/>
          <w:bCs/>
          <w:sz w:val="22"/>
          <w:szCs w:val="22"/>
        </w:rPr>
        <w:tab/>
      </w:r>
      <w:r>
        <w:rPr>
          <w:rFonts w:ascii="Arial" w:hAnsi="Arial" w:cs="Arial"/>
          <w:b/>
          <w:bCs/>
          <w:sz w:val="22"/>
          <w:szCs w:val="22"/>
        </w:rPr>
        <w:t>Service agreements</w:t>
      </w:r>
    </w:p>
    <w:p>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ngsana New" w:hAnsi="Angsana New" w:cs="Angsana New"/>
        </w:rPr>
        <w:tab/>
      </w:r>
      <w:r>
        <w:rPr>
          <w:rFonts w:ascii="Arial" w:hAnsi="Arial" w:cs="Arial"/>
          <w:sz w:val="22"/>
          <w:szCs w:val="22"/>
        </w:rPr>
        <w:t>As at 30 September 2022, the Group had commitments of approximately Baht 1 million, relating service agreements.</w:t>
      </w:r>
    </w:p>
    <w:p>
      <w:pPr>
        <w:tabs>
          <w:tab w:val="left" w:pos="1440"/>
          <w:tab w:val="left" w:pos="21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13.</w:t>
      </w:r>
      <w:r>
        <w:rPr>
          <w:rFonts w:ascii="Arial" w:hAnsi="Arial" w:cs="Arial"/>
          <w:b/>
          <w:bCs/>
          <w:sz w:val="22"/>
          <w:szCs w:val="22"/>
        </w:rPr>
        <w:tab/>
      </w:r>
      <w:r>
        <w:rPr>
          <w:rFonts w:ascii="Arial" w:hAnsi="Arial" w:cs="Arial"/>
          <w:b/>
          <w:bCs/>
          <w:sz w:val="22"/>
          <w:szCs w:val="22"/>
        </w:rPr>
        <w:t>Fair values of financial instruments</w:t>
      </w:r>
    </w:p>
    <w:p>
      <w:pPr>
        <w:spacing w:before="120" w:after="120" w:line="380" w:lineRule="exact"/>
        <w:ind w:left="547" w:hanging="547"/>
        <w:jc w:val="thaiDistribute"/>
        <w:rPr>
          <w:rFonts w:ascii="Arial" w:hAnsi="Arial" w:cs="Arial"/>
          <w:i/>
          <w:iCs/>
          <w:sz w:val="22"/>
          <w:szCs w:val="22"/>
        </w:rPr>
      </w:pPr>
      <w:r>
        <w:rPr>
          <w:rFonts w:ascii="Arial" w:hAnsi="Arial" w:cs="Arial"/>
          <w:sz w:val="22"/>
          <w:szCs w:val="22"/>
        </w:rPr>
        <w:tab/>
      </w:r>
      <w:r>
        <w:rPr>
          <w:rFonts w:ascii="Arial" w:hAnsi="Arial" w:cs="Arial"/>
          <w:sz w:val="22"/>
          <w:szCs w:val="22"/>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pPr>
        <w:tabs>
          <w:tab w:val="center" w:pos="6840"/>
          <w:tab w:val="center" w:pos="8280"/>
        </w:tabs>
        <w:spacing w:before="120" w:after="120" w:line="380" w:lineRule="exact"/>
        <w:ind w:left="547" w:right="-43" w:hanging="547"/>
        <w:jc w:val="both"/>
        <w:rPr>
          <w:rFonts w:ascii="Arial" w:hAnsi="Arial"/>
          <w:b/>
          <w:bCs/>
          <w:sz w:val="22"/>
          <w:szCs w:val="22"/>
        </w:rPr>
      </w:pPr>
      <w:r>
        <w:rPr>
          <w:rFonts w:ascii="Arial" w:hAnsi="Arial"/>
          <w:b/>
          <w:bCs/>
          <w:sz w:val="22"/>
          <w:szCs w:val="22"/>
        </w:rPr>
        <w:t>14.</w:t>
      </w:r>
      <w:r>
        <w:rPr>
          <w:rFonts w:ascii="Arial" w:hAnsi="Arial"/>
          <w:b/>
          <w:bCs/>
          <w:sz w:val="22"/>
          <w:szCs w:val="22"/>
        </w:rPr>
        <w:tab/>
      </w:r>
      <w:r>
        <w:rPr>
          <w:rFonts w:ascii="Arial" w:hAnsi="Arial"/>
          <w:b/>
          <w:bCs/>
          <w:sz w:val="22"/>
          <w:szCs w:val="22"/>
        </w:rPr>
        <w:t>Event after the reporting period</w:t>
      </w:r>
    </w:p>
    <w:p>
      <w:pPr>
        <w:tabs>
          <w:tab w:val="center" w:pos="6840"/>
          <w:tab w:val="center" w:pos="8280"/>
        </w:tabs>
        <w:spacing w:before="120" w:after="120" w:line="380" w:lineRule="exact"/>
        <w:ind w:left="547" w:right="-43" w:hanging="547"/>
        <w:jc w:val="both"/>
        <w:rPr>
          <w:rFonts w:ascii="Arial" w:hAnsi="Arial" w:cs="Arial"/>
          <w:spacing w:val="-2"/>
          <w:sz w:val="22"/>
          <w:szCs w:val="22"/>
          <w:cs/>
        </w:rPr>
      </w:pPr>
      <w:r>
        <w:rPr>
          <w:rFonts w:ascii="Arial" w:hAnsi="Arial" w:cs="Arial"/>
          <w:spacing w:val="-2"/>
          <w:sz w:val="22"/>
          <w:szCs w:val="22"/>
        </w:rPr>
        <w:tab/>
      </w:r>
      <w:r>
        <w:rPr>
          <w:rFonts w:ascii="Arial" w:hAnsi="Arial" w:cs="Arial"/>
          <w:spacing w:val="-2"/>
          <w:sz w:val="22"/>
          <w:szCs w:val="22"/>
        </w:rPr>
        <w:t xml:space="preserve">On 19 </w:t>
      </w:r>
      <w:r>
        <w:rPr>
          <w:rFonts w:ascii="Arial" w:hAnsi="Arial" w:cstheme="minorBidi"/>
          <w:spacing w:val="-2"/>
          <w:sz w:val="22"/>
          <w:szCs w:val="22"/>
        </w:rPr>
        <w:t>October</w:t>
      </w:r>
      <w:r>
        <w:rPr>
          <w:rFonts w:ascii="Arial" w:hAnsi="Arial" w:cs="Arial"/>
          <w:spacing w:val="-2"/>
          <w:sz w:val="22"/>
          <w:szCs w:val="22"/>
        </w:rPr>
        <w:t xml:space="preserve"> 2022, the Extraordinary General Meeting of shareholders of the Company passed</w:t>
      </w:r>
      <w:r>
        <w:rPr>
          <w:rFonts w:ascii="Arial" w:hAnsi="Arial" w:cs="Arial"/>
          <w:spacing w:val="-2"/>
          <w:sz w:val="22"/>
          <w:szCs w:val="22"/>
          <w:cs/>
        </w:rPr>
        <w:t xml:space="preserve"> </w:t>
      </w:r>
      <w:r>
        <w:rPr>
          <w:rFonts w:ascii="Arial" w:hAnsi="Arial" w:cs="Arial"/>
          <w:spacing w:val="-2"/>
          <w:sz w:val="22"/>
          <w:szCs w:val="22"/>
        </w:rPr>
        <w:t>the following resolutions.</w:t>
      </w:r>
    </w:p>
    <w:p>
      <w:pPr>
        <w:pStyle w:val="38"/>
        <w:numPr>
          <w:ilvl w:val="0"/>
          <w:numId w:val="2"/>
        </w:numPr>
        <w:autoSpaceDN w:val="0"/>
        <w:spacing w:before="120" w:after="120" w:line="380" w:lineRule="exact"/>
        <w:ind w:left="965" w:hanging="425"/>
        <w:contextualSpacing w:val="0"/>
        <w:jc w:val="thaiDistribute"/>
        <w:rPr>
          <w:rFonts w:ascii="Arial" w:hAnsi="Arial" w:cs="Arial"/>
          <w:szCs w:val="22"/>
        </w:rPr>
      </w:pPr>
      <w:r>
        <w:rPr>
          <w:rFonts w:ascii="Arial" w:hAnsi="Arial" w:cs="Arial"/>
          <w:szCs w:val="22"/>
        </w:rPr>
        <w:t>To approve the issuance up to 135,000,000 warrants to purchase newly issued ordinary shares of the Company (GLORY-W1), to be allocated to the existing shareholders of the Company on a pro rata basis (rights offering), at no cost. Details are as follows:</w:t>
      </w:r>
    </w:p>
    <w:tbl>
      <w:tblPr>
        <w:tblStyle w:val="8"/>
        <w:tblW w:w="8820" w:type="dxa"/>
        <w:tblInd w:w="900" w:type="dxa"/>
        <w:tblLayout w:type="fixed"/>
        <w:tblCellMar>
          <w:top w:w="0" w:type="dxa"/>
          <w:left w:w="108" w:type="dxa"/>
          <w:bottom w:w="0" w:type="dxa"/>
          <w:right w:w="108" w:type="dxa"/>
        </w:tblCellMar>
      </w:tblPr>
      <w:tblGrid>
        <w:gridCol w:w="3510"/>
        <w:gridCol w:w="5310"/>
      </w:tblGrid>
      <w:tr>
        <w:tblPrEx>
          <w:tblCellMar>
            <w:top w:w="0" w:type="dxa"/>
            <w:left w:w="108" w:type="dxa"/>
            <w:bottom w:w="0" w:type="dxa"/>
            <w:right w:w="108" w:type="dxa"/>
          </w:tblCellMar>
        </w:tblPrEx>
        <w:tc>
          <w:tcPr>
            <w:tcW w:w="3510" w:type="dxa"/>
          </w:tcPr>
          <w:p>
            <w:pPr>
              <w:spacing w:line="380" w:lineRule="exact"/>
              <w:ind w:left="170" w:hanging="170"/>
              <w:rPr>
                <w:rFonts w:ascii="Arial" w:hAnsi="Arial" w:cs="Arial" w:eastAsiaTheme="minorHAnsi"/>
                <w:sz w:val="22"/>
                <w:szCs w:val="22"/>
              </w:rPr>
            </w:pPr>
            <w:r>
              <w:rPr>
                <w:rFonts w:ascii="Arial" w:hAnsi="Arial" w:cs="Arial"/>
                <w:sz w:val="22"/>
                <w:szCs w:val="22"/>
              </w:rPr>
              <w:t>Allocation ratio</w:t>
            </w:r>
          </w:p>
        </w:tc>
        <w:tc>
          <w:tcPr>
            <w:tcW w:w="5310" w:type="dxa"/>
          </w:tcPr>
          <w:p>
            <w:pPr>
              <w:spacing w:line="380" w:lineRule="exact"/>
              <w:ind w:left="173" w:hanging="173"/>
              <w:rPr>
                <w:rFonts w:ascii="Arial" w:hAnsi="Arial" w:cs="Arial"/>
                <w:sz w:val="22"/>
                <w:szCs w:val="22"/>
              </w:rPr>
            </w:pPr>
            <w:r>
              <w:rPr>
                <w:rFonts w:ascii="Arial" w:hAnsi="Arial" w:cs="Arial"/>
                <w:sz w:val="22"/>
                <w:szCs w:val="22"/>
              </w:rPr>
              <w:t>1 warrant to 2 existing ordinary shares</w:t>
            </w:r>
          </w:p>
        </w:tc>
      </w:tr>
      <w:tr>
        <w:tblPrEx>
          <w:tblCellMar>
            <w:top w:w="0" w:type="dxa"/>
            <w:left w:w="108" w:type="dxa"/>
            <w:bottom w:w="0" w:type="dxa"/>
            <w:right w:w="108" w:type="dxa"/>
          </w:tblCellMar>
        </w:tblPrEx>
        <w:tc>
          <w:tcPr>
            <w:tcW w:w="3510" w:type="dxa"/>
          </w:tcPr>
          <w:p>
            <w:pPr>
              <w:spacing w:line="380" w:lineRule="exact"/>
              <w:ind w:left="170" w:hanging="170"/>
              <w:rPr>
                <w:rFonts w:ascii="Arial" w:hAnsi="Arial" w:cs="Arial"/>
                <w:sz w:val="22"/>
                <w:szCs w:val="22"/>
              </w:rPr>
            </w:pPr>
            <w:r>
              <w:rPr>
                <w:rFonts w:ascii="Arial" w:hAnsi="Arial" w:cs="Arial"/>
                <w:sz w:val="22"/>
                <w:szCs w:val="22"/>
              </w:rPr>
              <w:t>Term of warrants</w:t>
            </w:r>
          </w:p>
        </w:tc>
        <w:tc>
          <w:tcPr>
            <w:tcW w:w="5310" w:type="dxa"/>
          </w:tcPr>
          <w:p>
            <w:pPr>
              <w:spacing w:line="380" w:lineRule="exact"/>
              <w:ind w:left="173" w:hanging="173"/>
              <w:rPr>
                <w:rFonts w:ascii="Arial" w:hAnsi="Arial" w:cs="Arial"/>
                <w:sz w:val="22"/>
                <w:szCs w:val="22"/>
              </w:rPr>
            </w:pPr>
            <w:r>
              <w:rPr>
                <w:rFonts w:ascii="Arial" w:hAnsi="Arial" w:cs="Arial"/>
                <w:sz w:val="22"/>
                <w:szCs w:val="22"/>
              </w:rPr>
              <w:t>5 years from the issuance date</w:t>
            </w:r>
          </w:p>
        </w:tc>
      </w:tr>
      <w:tr>
        <w:tblPrEx>
          <w:tblCellMar>
            <w:top w:w="0" w:type="dxa"/>
            <w:left w:w="108" w:type="dxa"/>
            <w:bottom w:w="0" w:type="dxa"/>
            <w:right w:w="108" w:type="dxa"/>
          </w:tblCellMar>
        </w:tblPrEx>
        <w:tc>
          <w:tcPr>
            <w:tcW w:w="3510" w:type="dxa"/>
          </w:tcPr>
          <w:p>
            <w:pPr>
              <w:spacing w:line="380" w:lineRule="exact"/>
              <w:ind w:left="170" w:hanging="170"/>
              <w:rPr>
                <w:rFonts w:ascii="Arial" w:hAnsi="Arial" w:cs="Arial"/>
                <w:sz w:val="22"/>
                <w:szCs w:val="22"/>
              </w:rPr>
            </w:pPr>
            <w:r>
              <w:rPr>
                <w:rFonts w:ascii="Arial" w:hAnsi="Arial" w:cs="Arial"/>
                <w:sz w:val="22"/>
                <w:szCs w:val="22"/>
              </w:rPr>
              <w:t>Exercise ratio</w:t>
            </w:r>
          </w:p>
        </w:tc>
        <w:tc>
          <w:tcPr>
            <w:tcW w:w="5310" w:type="dxa"/>
          </w:tcPr>
          <w:p>
            <w:pPr>
              <w:spacing w:line="380" w:lineRule="exact"/>
              <w:ind w:left="173" w:hanging="173"/>
              <w:rPr>
                <w:rFonts w:ascii="Arial" w:hAnsi="Arial" w:cs="Arial"/>
                <w:sz w:val="22"/>
                <w:szCs w:val="22"/>
              </w:rPr>
            </w:pPr>
            <w:r>
              <w:rPr>
                <w:rFonts w:ascii="Arial" w:hAnsi="Arial" w:cs="Arial"/>
                <w:sz w:val="22"/>
                <w:szCs w:val="22"/>
              </w:rPr>
              <w:t>1 warrant per 1 ordinary share</w:t>
            </w:r>
          </w:p>
        </w:tc>
      </w:tr>
      <w:tr>
        <w:tblPrEx>
          <w:tblCellMar>
            <w:top w:w="0" w:type="dxa"/>
            <w:left w:w="108" w:type="dxa"/>
            <w:bottom w:w="0" w:type="dxa"/>
            <w:right w:w="108" w:type="dxa"/>
          </w:tblCellMar>
        </w:tblPrEx>
        <w:tc>
          <w:tcPr>
            <w:tcW w:w="3510" w:type="dxa"/>
          </w:tcPr>
          <w:p>
            <w:pPr>
              <w:spacing w:line="380" w:lineRule="exact"/>
              <w:ind w:left="170" w:hanging="170"/>
              <w:rPr>
                <w:rFonts w:ascii="Arial" w:hAnsi="Arial" w:cs="Arial"/>
                <w:sz w:val="22"/>
                <w:szCs w:val="22"/>
              </w:rPr>
            </w:pPr>
            <w:r>
              <w:rPr>
                <w:rFonts w:ascii="Arial" w:hAnsi="Arial" w:cs="Arial"/>
                <w:sz w:val="22"/>
                <w:szCs w:val="22"/>
              </w:rPr>
              <w:t>Exercise price</w:t>
            </w:r>
          </w:p>
        </w:tc>
        <w:tc>
          <w:tcPr>
            <w:tcW w:w="5310" w:type="dxa"/>
          </w:tcPr>
          <w:p>
            <w:pPr>
              <w:spacing w:line="380" w:lineRule="exact"/>
              <w:ind w:left="173" w:hanging="173"/>
              <w:rPr>
                <w:rFonts w:ascii="Arial" w:hAnsi="Arial" w:cs="Arial"/>
                <w:sz w:val="22"/>
                <w:szCs w:val="22"/>
              </w:rPr>
            </w:pPr>
            <w:r>
              <w:rPr>
                <w:rFonts w:ascii="Arial" w:hAnsi="Arial" w:cs="Arial"/>
                <w:sz w:val="22"/>
                <w:szCs w:val="22"/>
              </w:rPr>
              <w:t>Baht 1 per share</w:t>
            </w:r>
          </w:p>
        </w:tc>
      </w:tr>
    </w:tbl>
    <w:p>
      <w:pPr>
        <w:pStyle w:val="38"/>
        <w:numPr>
          <w:ilvl w:val="0"/>
          <w:numId w:val="2"/>
        </w:numPr>
        <w:autoSpaceDN w:val="0"/>
        <w:spacing w:before="240" w:after="120" w:line="380" w:lineRule="exact"/>
        <w:ind w:left="979" w:hanging="432"/>
        <w:contextualSpacing w:val="0"/>
        <w:jc w:val="thaiDistribute"/>
        <w:rPr>
          <w:rFonts w:ascii="Arial" w:hAnsi="Arial" w:cs="Arial"/>
          <w:szCs w:val="22"/>
        </w:rPr>
      </w:pPr>
      <w:r>
        <w:rPr>
          <w:rFonts w:ascii="Arial" w:hAnsi="Arial" w:cs="Arial"/>
          <w:szCs w:val="22"/>
        </w:rPr>
        <w:t>To approve the increase of the Company’s registered capital of Baht 67.5 million from the registered capital of Baht 135 million to Baht 202.5 million by issuing 135 million newly issued ordinary shares, with a par value of Baht 0.50 per share, to accommodate the exercise of warrants (GLORY-W</w:t>
      </w:r>
      <w:r>
        <w:rPr>
          <w:rFonts w:ascii="Arial" w:hAnsi="Arial"/>
          <w:szCs w:val="22"/>
        </w:rPr>
        <w:t>1</w:t>
      </w:r>
      <w:r>
        <w:rPr>
          <w:rFonts w:ascii="Arial" w:hAnsi="Arial" w:cs="Arial"/>
          <w:szCs w:val="22"/>
        </w:rPr>
        <w:t>).</w:t>
      </w:r>
    </w:p>
    <w:p>
      <w:pPr>
        <w:tabs>
          <w:tab w:val="center" w:pos="6840"/>
          <w:tab w:val="center" w:pos="8280"/>
        </w:tabs>
        <w:spacing w:before="120" w:after="120" w:line="380" w:lineRule="exact"/>
        <w:ind w:left="547" w:right="-43" w:hanging="547"/>
        <w:jc w:val="both"/>
        <w:rPr>
          <w:rFonts w:ascii="Arial" w:hAnsi="Arial" w:cstheme="minorBidi"/>
          <w:spacing w:val="-2"/>
          <w:sz w:val="22"/>
          <w:szCs w:val="22"/>
        </w:rPr>
      </w:pPr>
      <w:r>
        <w:rPr>
          <w:rFonts w:ascii="Arial" w:hAnsi="Arial" w:cs="Arial"/>
          <w:spacing w:val="-2"/>
          <w:sz w:val="22"/>
          <w:szCs w:val="22"/>
        </w:rPr>
        <w:tab/>
      </w:r>
      <w:r>
        <w:rPr>
          <w:rFonts w:ascii="Arial" w:hAnsi="Arial" w:cs="Arial"/>
          <w:spacing w:val="-2"/>
          <w:sz w:val="22"/>
          <w:szCs w:val="22"/>
        </w:rPr>
        <w:t>The Company registered the increase in its registered capital with the Ministry of Commerce on 21 October 2022.</w:t>
      </w:r>
    </w:p>
    <w:p>
      <w:pPr>
        <w:tabs>
          <w:tab w:val="center" w:pos="6840"/>
          <w:tab w:val="center" w:pos="828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15.</w:t>
      </w:r>
      <w:r>
        <w:rPr>
          <w:rFonts w:ascii="Arial" w:hAnsi="Arial" w:cs="Arial"/>
          <w:b/>
          <w:bCs/>
          <w:sz w:val="22"/>
          <w:szCs w:val="22"/>
        </w:rPr>
        <w:tab/>
      </w:r>
      <w:r>
        <w:rPr>
          <w:rFonts w:ascii="Arial" w:hAnsi="Arial" w:cs="Arial"/>
          <w:b/>
          <w:bCs/>
          <w:sz w:val="22"/>
          <w:szCs w:val="22"/>
        </w:rPr>
        <w:t>Approval of interim financial statements</w:t>
      </w:r>
    </w:p>
    <w:p>
      <w:pPr>
        <w:tabs>
          <w:tab w:val="center" w:pos="6840"/>
          <w:tab w:val="center" w:pos="8280"/>
        </w:tabs>
        <w:spacing w:before="120" w:after="120" w:line="380" w:lineRule="exact"/>
        <w:ind w:left="547" w:right="-43" w:hanging="547"/>
        <w:jc w:val="both"/>
        <w:rPr>
          <w:rFonts w:ascii="Arial" w:hAnsi="Arial" w:cs="Arial"/>
          <w:sz w:val="22"/>
          <w:szCs w:val="22"/>
          <w:cs/>
        </w:rPr>
      </w:pPr>
      <w:r>
        <w:rPr>
          <w:rFonts w:ascii="Arial" w:hAnsi="Arial" w:cs="Arial"/>
          <w:sz w:val="22"/>
          <w:szCs w:val="22"/>
        </w:rPr>
        <w:tab/>
      </w:r>
      <w:r>
        <w:rPr>
          <w:rFonts w:ascii="Arial" w:hAnsi="Arial" w:cs="Arial"/>
          <w:sz w:val="22"/>
          <w:szCs w:val="22"/>
        </w:rPr>
        <w:t>These interim financial statements were authori</w:t>
      </w:r>
      <w:r>
        <w:rPr>
          <w:rFonts w:ascii="Arial" w:hAnsi="Arial" w:cs="Browallia New"/>
          <w:sz w:val="22"/>
          <w:szCs w:val="28"/>
        </w:rPr>
        <w:t>s</w:t>
      </w:r>
      <w:r>
        <w:rPr>
          <w:rFonts w:ascii="Arial" w:hAnsi="Arial" w:cs="Arial"/>
          <w:sz w:val="22"/>
          <w:szCs w:val="22"/>
        </w:rPr>
        <w:t xml:space="preserve">ed for issue by the Company’s Board of Directors on </w:t>
      </w:r>
      <w:r>
        <w:rPr>
          <w:rFonts w:ascii="Arial" w:hAnsi="Arial" w:cstheme="minorBidi"/>
          <w:sz w:val="22"/>
          <w:szCs w:val="22"/>
        </w:rPr>
        <w:t>11 November</w:t>
      </w:r>
      <w:r>
        <w:rPr>
          <w:rFonts w:ascii="Arial" w:hAnsi="Arial" w:cs="Arial"/>
          <w:sz w:val="22"/>
          <w:szCs w:val="22"/>
        </w:rPr>
        <w:t xml:space="preserve"> 2022.</w:t>
      </w:r>
    </w:p>
    <w:sectPr>
      <w:headerReference r:id="rId7" w:type="first"/>
      <w:footerReference r:id="rId10" w:type="first"/>
      <w:headerReference r:id="rId5" w:type="default"/>
      <w:footerReference r:id="rId8" w:type="default"/>
      <w:headerReference r:id="rId6" w:type="even"/>
      <w:footerReference r:id="rId9" w:type="even"/>
      <w:pgSz w:w="11909" w:h="16834"/>
      <w:pgMar w:top="1296" w:right="1080" w:bottom="1080" w:left="1339" w:header="706" w:footer="70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TH Sarabun PSK">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ordia New">
    <w:panose1 w:val="020B0304020202020204"/>
    <w:charset w:val="00"/>
    <w:family w:val="swiss"/>
    <w:pitch w:val="default"/>
    <w:sig w:usb0="81000003" w:usb1="00000000" w:usb2="00000000" w:usb3="00000000" w:csb0="00010001" w:csb1="00000000"/>
  </w:font>
  <w:font w:name="Calibri">
    <w:panose1 w:val="020F0502020204030204"/>
    <w:charset w:val="00"/>
    <w:family w:val="auto"/>
    <w:pitch w:val="default"/>
    <w:sig w:usb0="E4002EFF" w:usb1="C000247B" w:usb2="00000009" w:usb3="00000000" w:csb0="200001FF" w:csb1="00000000"/>
  </w:font>
  <w:font w:name="AngsanaUPC">
    <w:panose1 w:val="02020603050405020304"/>
    <w:charset w:val="00"/>
    <w:family w:val="roman"/>
    <w:pitch w:val="default"/>
    <w:sig w:usb0="81000003" w:usb1="00000000" w:usb2="00000000" w:usb3="00000000" w:csb0="00010001" w:csb1="00000000"/>
  </w:font>
  <w:font w:name="Cambria">
    <w:panose1 w:val="02040503050406030204"/>
    <w:charset w:val="00"/>
    <w:family w:val="roman"/>
    <w:pitch w:val="default"/>
    <w:sig w:usb0="E00006FF" w:usb1="420024FF" w:usb2="02000000" w:usb3="00000000" w:csb0="2000019F" w:csb1="00000000"/>
  </w:font>
  <w:font w:name="Angsana New">
    <w:panose1 w:val="02020603050405020304"/>
    <w:charset w:val="DE"/>
    <w:family w:val="roman"/>
    <w:pitch w:val="default"/>
    <w:sig w:usb0="81000003" w:usb1="00000000" w:usb2="00000000" w:usb3="00000000" w:csb0="00010001" w:csb1="00000000"/>
  </w:font>
  <w:font w:name="Tahoma">
    <w:panose1 w:val="020B0604030504040204"/>
    <w:charset w:val="00"/>
    <w:family w:val="swiss"/>
    <w:pitch w:val="default"/>
    <w:sig w:usb0="E1002EFF" w:usb1="C000605B" w:usb2="00000029" w:usb3="00000000" w:csb0="200101FF" w:csb1="2028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EYInterstate Light">
    <w:altName w:val="Yu Gothic UI"/>
    <w:panose1 w:val="02000506000000020004"/>
    <w:charset w:val="00"/>
    <w:family w:val="auto"/>
    <w:pitch w:val="default"/>
    <w:sig w:usb0="00000000" w:usb1="00000000" w:usb2="00000000" w:usb3="00000000" w:csb0="0000009F" w:csb1="00000000"/>
  </w:font>
  <w:font w:name="Yu Gothic UI">
    <w:panose1 w:val="020B0500000000000000"/>
    <w:charset w:val="80"/>
    <w:family w:val="auto"/>
    <w:pitch w:val="default"/>
    <w:sig w:usb0="E00002FF" w:usb1="2AC7FDFF" w:usb2="00000016" w:usb3="00000000" w:csb0="2002009F" w:csb1="00000000"/>
  </w:font>
  <w:font w:name="Browallia New">
    <w:panose1 w:val="020B0604020202020204"/>
    <w:charset w:val="00"/>
    <w:family w:val="swiss"/>
    <w:pitch w:val="default"/>
    <w:sig w:usb0="81000003" w:usb1="00000000" w:usb2="00000000" w:usb3="00000000" w:csb0="00010001" w:csb1="00000000"/>
  </w:font>
  <w:font w:name="Arial Unicode MS">
    <w:altName w:val="Arial"/>
    <w:panose1 w:val="020B0604020202020204"/>
    <w:charset w:val="00"/>
    <w:family w:val="roman"/>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7618994"/>
      <w:docPartObj>
        <w:docPartGallery w:val="AutoText"/>
      </w:docPartObj>
    </w:sdtPr>
    <w:sdtEndPr>
      <w:rPr>
        <w:rFonts w:ascii="Arial" w:hAnsi="Arial" w:cs="Arial"/>
        <w:sz w:val="22"/>
        <w:szCs w:val="22"/>
      </w:rPr>
    </w:sdtEndPr>
    <w:sdtContent>
      <w:p>
        <w:pPr>
          <w:pStyle w:val="19"/>
          <w:jc w:val="right"/>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Pr>
            <w:rFonts w:ascii="Arial" w:hAnsi="Arial" w:cs="Arial"/>
            <w:sz w:val="22"/>
            <w:szCs w:val="22"/>
          </w:rPr>
          <w:t>2</w:t>
        </w:r>
        <w:r>
          <w:rPr>
            <w:rFonts w:ascii="Arial" w:hAnsi="Arial" w:cs="Arial"/>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rFonts w:ascii="Arial" w:hAnsi="Arial" w:cs="Angsana New"/>
        <w:sz w:val="22"/>
        <w:szCs w:val="22"/>
      </w:rPr>
    </w:pPr>
    <w:r>
      <w:rPr>
        <w:rFonts w:ascii="Arial" w:hAnsi="Arial" w:cs="Angsana New"/>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321005"/>
    <w:multiLevelType w:val="multilevel"/>
    <w:tmpl w:val="34321005"/>
    <w:lvl w:ilvl="0" w:tentative="0">
      <w:start w:val="1"/>
      <w:numFmt w:val="bullet"/>
      <w:lvlText w:val=""/>
      <w:lvlJc w:val="left"/>
      <w:pPr>
        <w:ind w:left="1325" w:hanging="360"/>
      </w:pPr>
      <w:rPr>
        <w:rFonts w:hint="default" w:ascii="Symbol" w:hAnsi="Symbol"/>
      </w:rPr>
    </w:lvl>
    <w:lvl w:ilvl="1" w:tentative="0">
      <w:start w:val="1"/>
      <w:numFmt w:val="bullet"/>
      <w:lvlText w:val="o"/>
      <w:lvlJc w:val="left"/>
      <w:pPr>
        <w:ind w:left="2045" w:hanging="360"/>
      </w:pPr>
      <w:rPr>
        <w:rFonts w:hint="default" w:ascii="Courier New" w:hAnsi="Courier New" w:cs="Courier New"/>
      </w:rPr>
    </w:lvl>
    <w:lvl w:ilvl="2" w:tentative="0">
      <w:start w:val="1"/>
      <w:numFmt w:val="bullet"/>
      <w:lvlText w:val=""/>
      <w:lvlJc w:val="left"/>
      <w:pPr>
        <w:ind w:left="2765" w:hanging="360"/>
      </w:pPr>
      <w:rPr>
        <w:rFonts w:hint="default" w:ascii="Wingdings" w:hAnsi="Wingdings"/>
      </w:rPr>
    </w:lvl>
    <w:lvl w:ilvl="3" w:tentative="0">
      <w:start w:val="1"/>
      <w:numFmt w:val="bullet"/>
      <w:lvlText w:val=""/>
      <w:lvlJc w:val="left"/>
      <w:pPr>
        <w:ind w:left="3485" w:hanging="360"/>
      </w:pPr>
      <w:rPr>
        <w:rFonts w:hint="default" w:ascii="Symbol" w:hAnsi="Symbol"/>
      </w:rPr>
    </w:lvl>
    <w:lvl w:ilvl="4" w:tentative="0">
      <w:start w:val="1"/>
      <w:numFmt w:val="bullet"/>
      <w:lvlText w:val="o"/>
      <w:lvlJc w:val="left"/>
      <w:pPr>
        <w:ind w:left="4205" w:hanging="360"/>
      </w:pPr>
      <w:rPr>
        <w:rFonts w:hint="default" w:ascii="Courier New" w:hAnsi="Courier New" w:cs="Courier New"/>
      </w:rPr>
    </w:lvl>
    <w:lvl w:ilvl="5" w:tentative="0">
      <w:start w:val="1"/>
      <w:numFmt w:val="bullet"/>
      <w:lvlText w:val=""/>
      <w:lvlJc w:val="left"/>
      <w:pPr>
        <w:ind w:left="4925" w:hanging="360"/>
      </w:pPr>
      <w:rPr>
        <w:rFonts w:hint="default" w:ascii="Wingdings" w:hAnsi="Wingdings"/>
      </w:rPr>
    </w:lvl>
    <w:lvl w:ilvl="6" w:tentative="0">
      <w:start w:val="1"/>
      <w:numFmt w:val="bullet"/>
      <w:lvlText w:val=""/>
      <w:lvlJc w:val="left"/>
      <w:pPr>
        <w:ind w:left="5645" w:hanging="360"/>
      </w:pPr>
      <w:rPr>
        <w:rFonts w:hint="default" w:ascii="Symbol" w:hAnsi="Symbol"/>
      </w:rPr>
    </w:lvl>
    <w:lvl w:ilvl="7" w:tentative="0">
      <w:start w:val="1"/>
      <w:numFmt w:val="bullet"/>
      <w:lvlText w:val="o"/>
      <w:lvlJc w:val="left"/>
      <w:pPr>
        <w:ind w:left="6365" w:hanging="360"/>
      </w:pPr>
      <w:rPr>
        <w:rFonts w:hint="default" w:ascii="Courier New" w:hAnsi="Courier New" w:cs="Courier New"/>
      </w:rPr>
    </w:lvl>
    <w:lvl w:ilvl="8" w:tentative="0">
      <w:start w:val="1"/>
      <w:numFmt w:val="bullet"/>
      <w:lvlText w:val=""/>
      <w:lvlJc w:val="left"/>
      <w:pPr>
        <w:ind w:left="7085" w:hanging="360"/>
      </w:pPr>
      <w:rPr>
        <w:rFonts w:hint="default" w:ascii="Wingdings" w:hAnsi="Wingdings"/>
      </w:rPr>
    </w:lvl>
  </w:abstractNum>
  <w:abstractNum w:abstractNumId="1">
    <w:nsid w:val="60AF55BD"/>
    <w:multiLevelType w:val="multilevel"/>
    <w:tmpl w:val="60AF55BD"/>
    <w:lvl w:ilvl="0" w:tentative="0">
      <w:start w:val="1"/>
      <w:numFmt w:val="lowerLetter"/>
      <w:lvlText w:val="%1)"/>
      <w:lvlJc w:val="left"/>
      <w:pPr>
        <w:ind w:left="720" w:hanging="360"/>
      </w:pPr>
      <w:rPr>
        <w:rFonts w:hint="default" w:ascii="Arial" w:hAnsi="Arial" w:cs="Arial"/>
        <w:sz w:val="22"/>
        <w:szCs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8B6"/>
    <w:rsid w:val="000000CD"/>
    <w:rsid w:val="000001CA"/>
    <w:rsid w:val="000006FF"/>
    <w:rsid w:val="00003096"/>
    <w:rsid w:val="000043D9"/>
    <w:rsid w:val="00004E53"/>
    <w:rsid w:val="00004F49"/>
    <w:rsid w:val="00005064"/>
    <w:rsid w:val="000063CD"/>
    <w:rsid w:val="00011384"/>
    <w:rsid w:val="0001169F"/>
    <w:rsid w:val="000131BF"/>
    <w:rsid w:val="000134CD"/>
    <w:rsid w:val="00014299"/>
    <w:rsid w:val="00015BCF"/>
    <w:rsid w:val="00016612"/>
    <w:rsid w:val="000177B9"/>
    <w:rsid w:val="0002006D"/>
    <w:rsid w:val="00021B74"/>
    <w:rsid w:val="00021C70"/>
    <w:rsid w:val="0002339E"/>
    <w:rsid w:val="000234B9"/>
    <w:rsid w:val="00023B77"/>
    <w:rsid w:val="0002421E"/>
    <w:rsid w:val="00024827"/>
    <w:rsid w:val="0002560E"/>
    <w:rsid w:val="00027F6B"/>
    <w:rsid w:val="000306B2"/>
    <w:rsid w:val="000307F3"/>
    <w:rsid w:val="0003142F"/>
    <w:rsid w:val="00032507"/>
    <w:rsid w:val="00032DF7"/>
    <w:rsid w:val="0003315B"/>
    <w:rsid w:val="0003342A"/>
    <w:rsid w:val="000343BC"/>
    <w:rsid w:val="000350E8"/>
    <w:rsid w:val="000362DA"/>
    <w:rsid w:val="00040B1D"/>
    <w:rsid w:val="000414ED"/>
    <w:rsid w:val="00042451"/>
    <w:rsid w:val="00043A48"/>
    <w:rsid w:val="00043BA9"/>
    <w:rsid w:val="000451B8"/>
    <w:rsid w:val="0004538B"/>
    <w:rsid w:val="000456B5"/>
    <w:rsid w:val="00045976"/>
    <w:rsid w:val="000472A9"/>
    <w:rsid w:val="00047533"/>
    <w:rsid w:val="00047A10"/>
    <w:rsid w:val="00050731"/>
    <w:rsid w:val="00053B09"/>
    <w:rsid w:val="00054C25"/>
    <w:rsid w:val="000559AE"/>
    <w:rsid w:val="00055ECA"/>
    <w:rsid w:val="000628A1"/>
    <w:rsid w:val="000636BA"/>
    <w:rsid w:val="00063F11"/>
    <w:rsid w:val="00065542"/>
    <w:rsid w:val="00065839"/>
    <w:rsid w:val="00066FD0"/>
    <w:rsid w:val="00071B25"/>
    <w:rsid w:val="00073772"/>
    <w:rsid w:val="00073E47"/>
    <w:rsid w:val="0007659D"/>
    <w:rsid w:val="00076CE2"/>
    <w:rsid w:val="00077978"/>
    <w:rsid w:val="0007797F"/>
    <w:rsid w:val="00080F22"/>
    <w:rsid w:val="000824AD"/>
    <w:rsid w:val="00082AB5"/>
    <w:rsid w:val="00082D0B"/>
    <w:rsid w:val="000830DF"/>
    <w:rsid w:val="00083283"/>
    <w:rsid w:val="000837AA"/>
    <w:rsid w:val="000851E9"/>
    <w:rsid w:val="00085D95"/>
    <w:rsid w:val="0008645E"/>
    <w:rsid w:val="0008669E"/>
    <w:rsid w:val="0008676C"/>
    <w:rsid w:val="00086892"/>
    <w:rsid w:val="00086E07"/>
    <w:rsid w:val="0008723C"/>
    <w:rsid w:val="0009116B"/>
    <w:rsid w:val="000920F7"/>
    <w:rsid w:val="000921FC"/>
    <w:rsid w:val="00092375"/>
    <w:rsid w:val="00093575"/>
    <w:rsid w:val="00095A74"/>
    <w:rsid w:val="00096851"/>
    <w:rsid w:val="000A06B8"/>
    <w:rsid w:val="000A08E7"/>
    <w:rsid w:val="000A1AB0"/>
    <w:rsid w:val="000A25A9"/>
    <w:rsid w:val="000A313B"/>
    <w:rsid w:val="000A44B7"/>
    <w:rsid w:val="000B0FB5"/>
    <w:rsid w:val="000B1A59"/>
    <w:rsid w:val="000B2CB6"/>
    <w:rsid w:val="000B5F43"/>
    <w:rsid w:val="000B7078"/>
    <w:rsid w:val="000B7C0F"/>
    <w:rsid w:val="000B7F35"/>
    <w:rsid w:val="000C0C60"/>
    <w:rsid w:val="000C243D"/>
    <w:rsid w:val="000C275D"/>
    <w:rsid w:val="000C7020"/>
    <w:rsid w:val="000C7442"/>
    <w:rsid w:val="000D3338"/>
    <w:rsid w:val="000D3B72"/>
    <w:rsid w:val="000D4402"/>
    <w:rsid w:val="000D47A5"/>
    <w:rsid w:val="000D686C"/>
    <w:rsid w:val="000D7F94"/>
    <w:rsid w:val="000E061A"/>
    <w:rsid w:val="000E0E04"/>
    <w:rsid w:val="000E3C40"/>
    <w:rsid w:val="000E635F"/>
    <w:rsid w:val="000E6597"/>
    <w:rsid w:val="000E66D4"/>
    <w:rsid w:val="000E722A"/>
    <w:rsid w:val="000E798E"/>
    <w:rsid w:val="000E7E83"/>
    <w:rsid w:val="000F0097"/>
    <w:rsid w:val="000F07BD"/>
    <w:rsid w:val="000F1C3B"/>
    <w:rsid w:val="000F251D"/>
    <w:rsid w:val="000F2629"/>
    <w:rsid w:val="000F270B"/>
    <w:rsid w:val="000F3351"/>
    <w:rsid w:val="000F44C0"/>
    <w:rsid w:val="000F4FE3"/>
    <w:rsid w:val="000F5F11"/>
    <w:rsid w:val="000F6276"/>
    <w:rsid w:val="000F6C90"/>
    <w:rsid w:val="001003B7"/>
    <w:rsid w:val="00100BC2"/>
    <w:rsid w:val="00100C20"/>
    <w:rsid w:val="001014DA"/>
    <w:rsid w:val="001036AA"/>
    <w:rsid w:val="00103FA8"/>
    <w:rsid w:val="001043F0"/>
    <w:rsid w:val="0010645F"/>
    <w:rsid w:val="00110504"/>
    <w:rsid w:val="001118B6"/>
    <w:rsid w:val="00111992"/>
    <w:rsid w:val="00111A48"/>
    <w:rsid w:val="0011409C"/>
    <w:rsid w:val="00116676"/>
    <w:rsid w:val="00116F5E"/>
    <w:rsid w:val="00117083"/>
    <w:rsid w:val="00117160"/>
    <w:rsid w:val="00117982"/>
    <w:rsid w:val="001205AA"/>
    <w:rsid w:val="00120BE0"/>
    <w:rsid w:val="00122326"/>
    <w:rsid w:val="001228C5"/>
    <w:rsid w:val="00122991"/>
    <w:rsid w:val="001241BE"/>
    <w:rsid w:val="00124F57"/>
    <w:rsid w:val="00125BFD"/>
    <w:rsid w:val="0012659C"/>
    <w:rsid w:val="00131183"/>
    <w:rsid w:val="00132F79"/>
    <w:rsid w:val="00133F96"/>
    <w:rsid w:val="0013526B"/>
    <w:rsid w:val="00135C44"/>
    <w:rsid w:val="00135E5B"/>
    <w:rsid w:val="0013673B"/>
    <w:rsid w:val="00137410"/>
    <w:rsid w:val="00140F6F"/>
    <w:rsid w:val="00140FD4"/>
    <w:rsid w:val="0014111B"/>
    <w:rsid w:val="001419D1"/>
    <w:rsid w:val="0014222E"/>
    <w:rsid w:val="00142253"/>
    <w:rsid w:val="00143C4D"/>
    <w:rsid w:val="00150B91"/>
    <w:rsid w:val="00151298"/>
    <w:rsid w:val="001513F9"/>
    <w:rsid w:val="00151E56"/>
    <w:rsid w:val="00151E8D"/>
    <w:rsid w:val="00152E5C"/>
    <w:rsid w:val="00152E8B"/>
    <w:rsid w:val="001532DA"/>
    <w:rsid w:val="001536B6"/>
    <w:rsid w:val="00154815"/>
    <w:rsid w:val="0015570D"/>
    <w:rsid w:val="001558C1"/>
    <w:rsid w:val="001568C6"/>
    <w:rsid w:val="0015713D"/>
    <w:rsid w:val="00157756"/>
    <w:rsid w:val="00157BD4"/>
    <w:rsid w:val="00160055"/>
    <w:rsid w:val="00160286"/>
    <w:rsid w:val="00161E1A"/>
    <w:rsid w:val="001672A0"/>
    <w:rsid w:val="00167DA8"/>
    <w:rsid w:val="00171158"/>
    <w:rsid w:val="00171AB5"/>
    <w:rsid w:val="00173213"/>
    <w:rsid w:val="00175026"/>
    <w:rsid w:val="001767E9"/>
    <w:rsid w:val="0017790C"/>
    <w:rsid w:val="001802AD"/>
    <w:rsid w:val="00180346"/>
    <w:rsid w:val="00180DBE"/>
    <w:rsid w:val="001817B1"/>
    <w:rsid w:val="00181AFA"/>
    <w:rsid w:val="0018245E"/>
    <w:rsid w:val="0018288A"/>
    <w:rsid w:val="001836F7"/>
    <w:rsid w:val="00186BA7"/>
    <w:rsid w:val="00186CC9"/>
    <w:rsid w:val="001906CE"/>
    <w:rsid w:val="0019187B"/>
    <w:rsid w:val="00191931"/>
    <w:rsid w:val="00192264"/>
    <w:rsid w:val="00193283"/>
    <w:rsid w:val="001938AC"/>
    <w:rsid w:val="00193D8F"/>
    <w:rsid w:val="0019419D"/>
    <w:rsid w:val="001943AD"/>
    <w:rsid w:val="0019759F"/>
    <w:rsid w:val="00197EDE"/>
    <w:rsid w:val="001A0419"/>
    <w:rsid w:val="001A0636"/>
    <w:rsid w:val="001A0A1C"/>
    <w:rsid w:val="001A0B2A"/>
    <w:rsid w:val="001A15FE"/>
    <w:rsid w:val="001A33E6"/>
    <w:rsid w:val="001A643B"/>
    <w:rsid w:val="001B30C9"/>
    <w:rsid w:val="001B5516"/>
    <w:rsid w:val="001B5A5E"/>
    <w:rsid w:val="001B6020"/>
    <w:rsid w:val="001B6553"/>
    <w:rsid w:val="001B69B8"/>
    <w:rsid w:val="001B70EA"/>
    <w:rsid w:val="001C1426"/>
    <w:rsid w:val="001C143D"/>
    <w:rsid w:val="001C1AD8"/>
    <w:rsid w:val="001C2F2E"/>
    <w:rsid w:val="001C34BC"/>
    <w:rsid w:val="001C3D81"/>
    <w:rsid w:val="001C45EC"/>
    <w:rsid w:val="001C48C1"/>
    <w:rsid w:val="001C51C4"/>
    <w:rsid w:val="001C55FC"/>
    <w:rsid w:val="001C5BC7"/>
    <w:rsid w:val="001C6F9C"/>
    <w:rsid w:val="001C7F12"/>
    <w:rsid w:val="001D03BC"/>
    <w:rsid w:val="001D250D"/>
    <w:rsid w:val="001D4CCE"/>
    <w:rsid w:val="001D6195"/>
    <w:rsid w:val="001D6616"/>
    <w:rsid w:val="001D6CA3"/>
    <w:rsid w:val="001E0E12"/>
    <w:rsid w:val="001E12A3"/>
    <w:rsid w:val="001E2229"/>
    <w:rsid w:val="001E27E3"/>
    <w:rsid w:val="001E2D7B"/>
    <w:rsid w:val="001E4EEE"/>
    <w:rsid w:val="001E5181"/>
    <w:rsid w:val="001E553B"/>
    <w:rsid w:val="001E5893"/>
    <w:rsid w:val="001E7D8E"/>
    <w:rsid w:val="001F0BBF"/>
    <w:rsid w:val="001F1C4A"/>
    <w:rsid w:val="001F329E"/>
    <w:rsid w:val="001F33B5"/>
    <w:rsid w:val="001F3B4C"/>
    <w:rsid w:val="001F4329"/>
    <w:rsid w:val="001F5F4B"/>
    <w:rsid w:val="001F6823"/>
    <w:rsid w:val="0020253C"/>
    <w:rsid w:val="00202716"/>
    <w:rsid w:val="00202DA2"/>
    <w:rsid w:val="002035BB"/>
    <w:rsid w:val="00205C9E"/>
    <w:rsid w:val="00207171"/>
    <w:rsid w:val="00207D87"/>
    <w:rsid w:val="00210E33"/>
    <w:rsid w:val="002110BA"/>
    <w:rsid w:val="002112D2"/>
    <w:rsid w:val="002146AC"/>
    <w:rsid w:val="00214804"/>
    <w:rsid w:val="0021487C"/>
    <w:rsid w:val="00216C48"/>
    <w:rsid w:val="0021782E"/>
    <w:rsid w:val="0021794B"/>
    <w:rsid w:val="00221BE0"/>
    <w:rsid w:val="00221C6F"/>
    <w:rsid w:val="00223501"/>
    <w:rsid w:val="00224DD2"/>
    <w:rsid w:val="00225692"/>
    <w:rsid w:val="00225A0B"/>
    <w:rsid w:val="0023040E"/>
    <w:rsid w:val="00231B41"/>
    <w:rsid w:val="00231C2F"/>
    <w:rsid w:val="0023252B"/>
    <w:rsid w:val="00232663"/>
    <w:rsid w:val="0023336F"/>
    <w:rsid w:val="00233706"/>
    <w:rsid w:val="002339B1"/>
    <w:rsid w:val="002343EE"/>
    <w:rsid w:val="00234B10"/>
    <w:rsid w:val="0023600F"/>
    <w:rsid w:val="00236A5D"/>
    <w:rsid w:val="00236AB8"/>
    <w:rsid w:val="00237352"/>
    <w:rsid w:val="00237D06"/>
    <w:rsid w:val="00242445"/>
    <w:rsid w:val="002425DC"/>
    <w:rsid w:val="0024262D"/>
    <w:rsid w:val="0024275A"/>
    <w:rsid w:val="00246290"/>
    <w:rsid w:val="0024683E"/>
    <w:rsid w:val="00246D0E"/>
    <w:rsid w:val="0024786A"/>
    <w:rsid w:val="00251F96"/>
    <w:rsid w:val="00252130"/>
    <w:rsid w:val="00252BEC"/>
    <w:rsid w:val="002531F4"/>
    <w:rsid w:val="002535AA"/>
    <w:rsid w:val="002544FC"/>
    <w:rsid w:val="00255B08"/>
    <w:rsid w:val="00256961"/>
    <w:rsid w:val="00260DB8"/>
    <w:rsid w:val="002613F0"/>
    <w:rsid w:val="002632E4"/>
    <w:rsid w:val="002636B1"/>
    <w:rsid w:val="002641F7"/>
    <w:rsid w:val="00267AD8"/>
    <w:rsid w:val="00273B14"/>
    <w:rsid w:val="002752AE"/>
    <w:rsid w:val="00277902"/>
    <w:rsid w:val="0027794F"/>
    <w:rsid w:val="002813F1"/>
    <w:rsid w:val="00284D74"/>
    <w:rsid w:val="002865D4"/>
    <w:rsid w:val="00287495"/>
    <w:rsid w:val="00290281"/>
    <w:rsid w:val="00294111"/>
    <w:rsid w:val="00295096"/>
    <w:rsid w:val="002950F6"/>
    <w:rsid w:val="00296169"/>
    <w:rsid w:val="0029741F"/>
    <w:rsid w:val="002A12F7"/>
    <w:rsid w:val="002A15C1"/>
    <w:rsid w:val="002A1CCF"/>
    <w:rsid w:val="002A1FF8"/>
    <w:rsid w:val="002A311D"/>
    <w:rsid w:val="002A3871"/>
    <w:rsid w:val="002A57D6"/>
    <w:rsid w:val="002A5BEC"/>
    <w:rsid w:val="002A7C55"/>
    <w:rsid w:val="002A7ED6"/>
    <w:rsid w:val="002B0FE6"/>
    <w:rsid w:val="002B5ED0"/>
    <w:rsid w:val="002B6857"/>
    <w:rsid w:val="002B6D73"/>
    <w:rsid w:val="002B7FF0"/>
    <w:rsid w:val="002C34E3"/>
    <w:rsid w:val="002C3C48"/>
    <w:rsid w:val="002C4A68"/>
    <w:rsid w:val="002C4EBA"/>
    <w:rsid w:val="002C598B"/>
    <w:rsid w:val="002D03EC"/>
    <w:rsid w:val="002D14BE"/>
    <w:rsid w:val="002D2081"/>
    <w:rsid w:val="002D244D"/>
    <w:rsid w:val="002D32A8"/>
    <w:rsid w:val="002D32B1"/>
    <w:rsid w:val="002D3BE5"/>
    <w:rsid w:val="002D4FF7"/>
    <w:rsid w:val="002D73E7"/>
    <w:rsid w:val="002D79C2"/>
    <w:rsid w:val="002E075F"/>
    <w:rsid w:val="002E180A"/>
    <w:rsid w:val="002E29E7"/>
    <w:rsid w:val="002E309A"/>
    <w:rsid w:val="002E4DC5"/>
    <w:rsid w:val="002E536B"/>
    <w:rsid w:val="002E5C48"/>
    <w:rsid w:val="002E7CDD"/>
    <w:rsid w:val="002F40DC"/>
    <w:rsid w:val="002F5EA9"/>
    <w:rsid w:val="002F6202"/>
    <w:rsid w:val="002F6BEB"/>
    <w:rsid w:val="00300B96"/>
    <w:rsid w:val="00300CCC"/>
    <w:rsid w:val="003016D3"/>
    <w:rsid w:val="0030291A"/>
    <w:rsid w:val="0030587D"/>
    <w:rsid w:val="0030656B"/>
    <w:rsid w:val="00311DD0"/>
    <w:rsid w:val="0031331F"/>
    <w:rsid w:val="00314ABD"/>
    <w:rsid w:val="00316119"/>
    <w:rsid w:val="00316414"/>
    <w:rsid w:val="00317856"/>
    <w:rsid w:val="00320A15"/>
    <w:rsid w:val="00320E59"/>
    <w:rsid w:val="003235B9"/>
    <w:rsid w:val="00325473"/>
    <w:rsid w:val="00326231"/>
    <w:rsid w:val="003265DB"/>
    <w:rsid w:val="0033217A"/>
    <w:rsid w:val="00332205"/>
    <w:rsid w:val="00333725"/>
    <w:rsid w:val="0033420A"/>
    <w:rsid w:val="00335FC7"/>
    <w:rsid w:val="003411FE"/>
    <w:rsid w:val="0034198D"/>
    <w:rsid w:val="0034496C"/>
    <w:rsid w:val="00345E05"/>
    <w:rsid w:val="00346B70"/>
    <w:rsid w:val="003470D8"/>
    <w:rsid w:val="00347FBF"/>
    <w:rsid w:val="00350145"/>
    <w:rsid w:val="0035023D"/>
    <w:rsid w:val="0035189C"/>
    <w:rsid w:val="00354427"/>
    <w:rsid w:val="003550C8"/>
    <w:rsid w:val="00355363"/>
    <w:rsid w:val="00360379"/>
    <w:rsid w:val="0036136D"/>
    <w:rsid w:val="00362865"/>
    <w:rsid w:val="00363286"/>
    <w:rsid w:val="0036555F"/>
    <w:rsid w:val="0036576B"/>
    <w:rsid w:val="0037165D"/>
    <w:rsid w:val="00372B96"/>
    <w:rsid w:val="00373F6E"/>
    <w:rsid w:val="003747E7"/>
    <w:rsid w:val="00374BC5"/>
    <w:rsid w:val="0037675B"/>
    <w:rsid w:val="00376776"/>
    <w:rsid w:val="00381285"/>
    <w:rsid w:val="00382946"/>
    <w:rsid w:val="00383481"/>
    <w:rsid w:val="003844EC"/>
    <w:rsid w:val="00384DA8"/>
    <w:rsid w:val="00385057"/>
    <w:rsid w:val="00385E87"/>
    <w:rsid w:val="003864F1"/>
    <w:rsid w:val="00387301"/>
    <w:rsid w:val="003920D6"/>
    <w:rsid w:val="003927CB"/>
    <w:rsid w:val="0039365F"/>
    <w:rsid w:val="0039699B"/>
    <w:rsid w:val="00396CA7"/>
    <w:rsid w:val="003973E0"/>
    <w:rsid w:val="003A04BF"/>
    <w:rsid w:val="003A14EF"/>
    <w:rsid w:val="003A20C1"/>
    <w:rsid w:val="003A2903"/>
    <w:rsid w:val="003A39A4"/>
    <w:rsid w:val="003A4B48"/>
    <w:rsid w:val="003A4C58"/>
    <w:rsid w:val="003A5A8F"/>
    <w:rsid w:val="003A789C"/>
    <w:rsid w:val="003B158C"/>
    <w:rsid w:val="003B283E"/>
    <w:rsid w:val="003B5B6C"/>
    <w:rsid w:val="003B5E64"/>
    <w:rsid w:val="003B6EF1"/>
    <w:rsid w:val="003B702D"/>
    <w:rsid w:val="003C12F3"/>
    <w:rsid w:val="003C1706"/>
    <w:rsid w:val="003C17DA"/>
    <w:rsid w:val="003C287A"/>
    <w:rsid w:val="003C3208"/>
    <w:rsid w:val="003C38AD"/>
    <w:rsid w:val="003C6D8D"/>
    <w:rsid w:val="003C7BD8"/>
    <w:rsid w:val="003D3455"/>
    <w:rsid w:val="003D355F"/>
    <w:rsid w:val="003D358B"/>
    <w:rsid w:val="003D6029"/>
    <w:rsid w:val="003E0251"/>
    <w:rsid w:val="003E081B"/>
    <w:rsid w:val="003E13D1"/>
    <w:rsid w:val="003E307D"/>
    <w:rsid w:val="003E394C"/>
    <w:rsid w:val="003E4EDC"/>
    <w:rsid w:val="003E7473"/>
    <w:rsid w:val="003E7B5E"/>
    <w:rsid w:val="003E7F60"/>
    <w:rsid w:val="003E7F80"/>
    <w:rsid w:val="003F02FF"/>
    <w:rsid w:val="003F1783"/>
    <w:rsid w:val="003F1A2F"/>
    <w:rsid w:val="003F22A0"/>
    <w:rsid w:val="003F5C68"/>
    <w:rsid w:val="003F74D3"/>
    <w:rsid w:val="00401014"/>
    <w:rsid w:val="00402424"/>
    <w:rsid w:val="00402E43"/>
    <w:rsid w:val="00403517"/>
    <w:rsid w:val="0040395F"/>
    <w:rsid w:val="00406DA8"/>
    <w:rsid w:val="00407304"/>
    <w:rsid w:val="00407E51"/>
    <w:rsid w:val="0041252B"/>
    <w:rsid w:val="00412BEB"/>
    <w:rsid w:val="00414DB0"/>
    <w:rsid w:val="00415FD5"/>
    <w:rsid w:val="00417265"/>
    <w:rsid w:val="004177F9"/>
    <w:rsid w:val="0042017E"/>
    <w:rsid w:val="00421DAC"/>
    <w:rsid w:val="00425264"/>
    <w:rsid w:val="004277FA"/>
    <w:rsid w:val="00427E46"/>
    <w:rsid w:val="004300BC"/>
    <w:rsid w:val="004305D8"/>
    <w:rsid w:val="0043134C"/>
    <w:rsid w:val="00431E7C"/>
    <w:rsid w:val="004326EC"/>
    <w:rsid w:val="00433180"/>
    <w:rsid w:val="004354AF"/>
    <w:rsid w:val="00440F7E"/>
    <w:rsid w:val="004427C4"/>
    <w:rsid w:val="004443D0"/>
    <w:rsid w:val="004457B6"/>
    <w:rsid w:val="00446615"/>
    <w:rsid w:val="00446817"/>
    <w:rsid w:val="004473A3"/>
    <w:rsid w:val="004477C6"/>
    <w:rsid w:val="0044792E"/>
    <w:rsid w:val="00452C03"/>
    <w:rsid w:val="00452CF6"/>
    <w:rsid w:val="00453BA4"/>
    <w:rsid w:val="0045687F"/>
    <w:rsid w:val="0045692A"/>
    <w:rsid w:val="004600AC"/>
    <w:rsid w:val="004600CD"/>
    <w:rsid w:val="0046158D"/>
    <w:rsid w:val="0046264A"/>
    <w:rsid w:val="00463256"/>
    <w:rsid w:val="004636BA"/>
    <w:rsid w:val="0046398F"/>
    <w:rsid w:val="00464170"/>
    <w:rsid w:val="00464443"/>
    <w:rsid w:val="004649AB"/>
    <w:rsid w:val="0046796A"/>
    <w:rsid w:val="00470AB1"/>
    <w:rsid w:val="00471A5F"/>
    <w:rsid w:val="004736C4"/>
    <w:rsid w:val="00473D85"/>
    <w:rsid w:val="0047515C"/>
    <w:rsid w:val="004755B7"/>
    <w:rsid w:val="00475657"/>
    <w:rsid w:val="00476933"/>
    <w:rsid w:val="00476B3E"/>
    <w:rsid w:val="00477473"/>
    <w:rsid w:val="00480017"/>
    <w:rsid w:val="00480423"/>
    <w:rsid w:val="00480F8D"/>
    <w:rsid w:val="00482718"/>
    <w:rsid w:val="00482830"/>
    <w:rsid w:val="004834DB"/>
    <w:rsid w:val="00485121"/>
    <w:rsid w:val="00486470"/>
    <w:rsid w:val="00490125"/>
    <w:rsid w:val="0049022C"/>
    <w:rsid w:val="004911D3"/>
    <w:rsid w:val="00493DB1"/>
    <w:rsid w:val="0049632A"/>
    <w:rsid w:val="00496F16"/>
    <w:rsid w:val="00497239"/>
    <w:rsid w:val="00497B91"/>
    <w:rsid w:val="004A1137"/>
    <w:rsid w:val="004A3591"/>
    <w:rsid w:val="004A4A7E"/>
    <w:rsid w:val="004A5FF6"/>
    <w:rsid w:val="004A733C"/>
    <w:rsid w:val="004A7D2B"/>
    <w:rsid w:val="004B023A"/>
    <w:rsid w:val="004B0C05"/>
    <w:rsid w:val="004B0DAC"/>
    <w:rsid w:val="004B42C8"/>
    <w:rsid w:val="004B4E85"/>
    <w:rsid w:val="004B55ED"/>
    <w:rsid w:val="004B64BF"/>
    <w:rsid w:val="004B7A95"/>
    <w:rsid w:val="004C1FF7"/>
    <w:rsid w:val="004C297F"/>
    <w:rsid w:val="004C29D7"/>
    <w:rsid w:val="004C4283"/>
    <w:rsid w:val="004C4778"/>
    <w:rsid w:val="004C538B"/>
    <w:rsid w:val="004C63D6"/>
    <w:rsid w:val="004C6682"/>
    <w:rsid w:val="004C67C3"/>
    <w:rsid w:val="004D00EA"/>
    <w:rsid w:val="004D1F80"/>
    <w:rsid w:val="004D369C"/>
    <w:rsid w:val="004D378B"/>
    <w:rsid w:val="004D3FC6"/>
    <w:rsid w:val="004D46F5"/>
    <w:rsid w:val="004D5B01"/>
    <w:rsid w:val="004D7EBA"/>
    <w:rsid w:val="004E01D0"/>
    <w:rsid w:val="004E0A15"/>
    <w:rsid w:val="004E19D1"/>
    <w:rsid w:val="004E2C10"/>
    <w:rsid w:val="004E3B9F"/>
    <w:rsid w:val="004E3C84"/>
    <w:rsid w:val="004E499A"/>
    <w:rsid w:val="004E6C10"/>
    <w:rsid w:val="004E7988"/>
    <w:rsid w:val="004F0148"/>
    <w:rsid w:val="004F1633"/>
    <w:rsid w:val="004F16D9"/>
    <w:rsid w:val="004F2E02"/>
    <w:rsid w:val="004F4847"/>
    <w:rsid w:val="004F4C7D"/>
    <w:rsid w:val="004F5B6C"/>
    <w:rsid w:val="004F606B"/>
    <w:rsid w:val="004F7CBE"/>
    <w:rsid w:val="004F7F49"/>
    <w:rsid w:val="00501D38"/>
    <w:rsid w:val="005036D0"/>
    <w:rsid w:val="00504526"/>
    <w:rsid w:val="00504C83"/>
    <w:rsid w:val="00506104"/>
    <w:rsid w:val="00507006"/>
    <w:rsid w:val="0051167C"/>
    <w:rsid w:val="00514942"/>
    <w:rsid w:val="00514E11"/>
    <w:rsid w:val="005150D7"/>
    <w:rsid w:val="0051569A"/>
    <w:rsid w:val="00515878"/>
    <w:rsid w:val="0051594A"/>
    <w:rsid w:val="00515CAD"/>
    <w:rsid w:val="00515CD8"/>
    <w:rsid w:val="005176B3"/>
    <w:rsid w:val="00517CFB"/>
    <w:rsid w:val="0052229A"/>
    <w:rsid w:val="0052526E"/>
    <w:rsid w:val="005255F9"/>
    <w:rsid w:val="0052594A"/>
    <w:rsid w:val="00527150"/>
    <w:rsid w:val="005329B3"/>
    <w:rsid w:val="00533C01"/>
    <w:rsid w:val="0053793A"/>
    <w:rsid w:val="00540DD5"/>
    <w:rsid w:val="0054199B"/>
    <w:rsid w:val="00541C81"/>
    <w:rsid w:val="00542198"/>
    <w:rsid w:val="005442A1"/>
    <w:rsid w:val="005454DA"/>
    <w:rsid w:val="0054639E"/>
    <w:rsid w:val="00546DBF"/>
    <w:rsid w:val="00547C33"/>
    <w:rsid w:val="00551455"/>
    <w:rsid w:val="0055183F"/>
    <w:rsid w:val="0055371D"/>
    <w:rsid w:val="005544F5"/>
    <w:rsid w:val="00554C9E"/>
    <w:rsid w:val="0055513D"/>
    <w:rsid w:val="00556E68"/>
    <w:rsid w:val="0056088E"/>
    <w:rsid w:val="00560C63"/>
    <w:rsid w:val="005610C3"/>
    <w:rsid w:val="0056531E"/>
    <w:rsid w:val="0056613D"/>
    <w:rsid w:val="00566CDC"/>
    <w:rsid w:val="00566FBB"/>
    <w:rsid w:val="00570524"/>
    <w:rsid w:val="005706F7"/>
    <w:rsid w:val="00571FD5"/>
    <w:rsid w:val="0057204C"/>
    <w:rsid w:val="0057243A"/>
    <w:rsid w:val="00572970"/>
    <w:rsid w:val="005734D1"/>
    <w:rsid w:val="00573C82"/>
    <w:rsid w:val="005748AD"/>
    <w:rsid w:val="005760F8"/>
    <w:rsid w:val="00580232"/>
    <w:rsid w:val="00580245"/>
    <w:rsid w:val="0058174D"/>
    <w:rsid w:val="005818FF"/>
    <w:rsid w:val="005868FF"/>
    <w:rsid w:val="00591265"/>
    <w:rsid w:val="00591480"/>
    <w:rsid w:val="0059289B"/>
    <w:rsid w:val="00592E53"/>
    <w:rsid w:val="00593941"/>
    <w:rsid w:val="00593A62"/>
    <w:rsid w:val="00593F7B"/>
    <w:rsid w:val="00594B8D"/>
    <w:rsid w:val="00596C6D"/>
    <w:rsid w:val="00597566"/>
    <w:rsid w:val="005A3411"/>
    <w:rsid w:val="005A3F18"/>
    <w:rsid w:val="005A4FB7"/>
    <w:rsid w:val="005A7223"/>
    <w:rsid w:val="005B1307"/>
    <w:rsid w:val="005B21AF"/>
    <w:rsid w:val="005B36F8"/>
    <w:rsid w:val="005B3836"/>
    <w:rsid w:val="005B388A"/>
    <w:rsid w:val="005B40FA"/>
    <w:rsid w:val="005B43B0"/>
    <w:rsid w:val="005B4963"/>
    <w:rsid w:val="005B6F44"/>
    <w:rsid w:val="005C0348"/>
    <w:rsid w:val="005C1AEA"/>
    <w:rsid w:val="005C28BF"/>
    <w:rsid w:val="005C6A6B"/>
    <w:rsid w:val="005C6CC3"/>
    <w:rsid w:val="005C7EE1"/>
    <w:rsid w:val="005D0572"/>
    <w:rsid w:val="005D0EC2"/>
    <w:rsid w:val="005D1522"/>
    <w:rsid w:val="005D2C1F"/>
    <w:rsid w:val="005D2EFE"/>
    <w:rsid w:val="005D3C00"/>
    <w:rsid w:val="005D3FD6"/>
    <w:rsid w:val="005D40C0"/>
    <w:rsid w:val="005D40E2"/>
    <w:rsid w:val="005D4A9B"/>
    <w:rsid w:val="005D6B09"/>
    <w:rsid w:val="005D73E9"/>
    <w:rsid w:val="005E08F5"/>
    <w:rsid w:val="005E19D0"/>
    <w:rsid w:val="005E2001"/>
    <w:rsid w:val="005E25CE"/>
    <w:rsid w:val="005E27CF"/>
    <w:rsid w:val="005E301A"/>
    <w:rsid w:val="005E3856"/>
    <w:rsid w:val="005E5599"/>
    <w:rsid w:val="005E5DA2"/>
    <w:rsid w:val="005E5F14"/>
    <w:rsid w:val="005E67DC"/>
    <w:rsid w:val="005E72C9"/>
    <w:rsid w:val="005F09F7"/>
    <w:rsid w:val="005F2C6E"/>
    <w:rsid w:val="005F35E2"/>
    <w:rsid w:val="005F37B0"/>
    <w:rsid w:val="005F3CB7"/>
    <w:rsid w:val="005F6D50"/>
    <w:rsid w:val="005F6D6F"/>
    <w:rsid w:val="005F761D"/>
    <w:rsid w:val="005F79EB"/>
    <w:rsid w:val="00600EAE"/>
    <w:rsid w:val="00600F51"/>
    <w:rsid w:val="00602C86"/>
    <w:rsid w:val="00602F25"/>
    <w:rsid w:val="00604A49"/>
    <w:rsid w:val="00605B2E"/>
    <w:rsid w:val="00605C66"/>
    <w:rsid w:val="0060609C"/>
    <w:rsid w:val="00606203"/>
    <w:rsid w:val="00606899"/>
    <w:rsid w:val="0060789C"/>
    <w:rsid w:val="00607CA2"/>
    <w:rsid w:val="006178CA"/>
    <w:rsid w:val="006207B5"/>
    <w:rsid w:val="00620E6B"/>
    <w:rsid w:val="0062295E"/>
    <w:rsid w:val="00630B61"/>
    <w:rsid w:val="006339B4"/>
    <w:rsid w:val="006342EF"/>
    <w:rsid w:val="00635805"/>
    <w:rsid w:val="00636890"/>
    <w:rsid w:val="00636CB6"/>
    <w:rsid w:val="00637F64"/>
    <w:rsid w:val="00640859"/>
    <w:rsid w:val="006418BC"/>
    <w:rsid w:val="0064237F"/>
    <w:rsid w:val="00645E67"/>
    <w:rsid w:val="00645EE0"/>
    <w:rsid w:val="00651213"/>
    <w:rsid w:val="0065665F"/>
    <w:rsid w:val="00657765"/>
    <w:rsid w:val="00661831"/>
    <w:rsid w:val="00666507"/>
    <w:rsid w:val="00666588"/>
    <w:rsid w:val="00666E4C"/>
    <w:rsid w:val="0067071A"/>
    <w:rsid w:val="006713B2"/>
    <w:rsid w:val="00672995"/>
    <w:rsid w:val="00674BB6"/>
    <w:rsid w:val="00675624"/>
    <w:rsid w:val="00676A6C"/>
    <w:rsid w:val="00676C07"/>
    <w:rsid w:val="00677867"/>
    <w:rsid w:val="00677E7E"/>
    <w:rsid w:val="0068031C"/>
    <w:rsid w:val="00681008"/>
    <w:rsid w:val="00681920"/>
    <w:rsid w:val="0068193D"/>
    <w:rsid w:val="00682EA8"/>
    <w:rsid w:val="00682F6F"/>
    <w:rsid w:val="00684336"/>
    <w:rsid w:val="006855C7"/>
    <w:rsid w:val="006861DA"/>
    <w:rsid w:val="00690793"/>
    <w:rsid w:val="00691D77"/>
    <w:rsid w:val="006924D9"/>
    <w:rsid w:val="00692CEB"/>
    <w:rsid w:val="0069328E"/>
    <w:rsid w:val="0069476C"/>
    <w:rsid w:val="00694FAB"/>
    <w:rsid w:val="0069507D"/>
    <w:rsid w:val="00695B6F"/>
    <w:rsid w:val="006A0428"/>
    <w:rsid w:val="006A0E2B"/>
    <w:rsid w:val="006A443E"/>
    <w:rsid w:val="006A4911"/>
    <w:rsid w:val="006A52E4"/>
    <w:rsid w:val="006B0CA9"/>
    <w:rsid w:val="006B15DC"/>
    <w:rsid w:val="006B28B2"/>
    <w:rsid w:val="006B3B92"/>
    <w:rsid w:val="006B3CD3"/>
    <w:rsid w:val="006B410A"/>
    <w:rsid w:val="006B4E48"/>
    <w:rsid w:val="006B6CEC"/>
    <w:rsid w:val="006B70BE"/>
    <w:rsid w:val="006B7891"/>
    <w:rsid w:val="006C0DF6"/>
    <w:rsid w:val="006C0EC7"/>
    <w:rsid w:val="006C20AE"/>
    <w:rsid w:val="006C404B"/>
    <w:rsid w:val="006C5B19"/>
    <w:rsid w:val="006D091A"/>
    <w:rsid w:val="006D16AB"/>
    <w:rsid w:val="006D2413"/>
    <w:rsid w:val="006D2E27"/>
    <w:rsid w:val="006D3791"/>
    <w:rsid w:val="006E00FD"/>
    <w:rsid w:val="006E1539"/>
    <w:rsid w:val="006E15D1"/>
    <w:rsid w:val="006E1A02"/>
    <w:rsid w:val="006E26DA"/>
    <w:rsid w:val="006E38D2"/>
    <w:rsid w:val="006E51D1"/>
    <w:rsid w:val="006E585D"/>
    <w:rsid w:val="006E6997"/>
    <w:rsid w:val="006E6D6F"/>
    <w:rsid w:val="006F04DB"/>
    <w:rsid w:val="006F0EA5"/>
    <w:rsid w:val="006F0F59"/>
    <w:rsid w:val="006F13D1"/>
    <w:rsid w:val="006F1E52"/>
    <w:rsid w:val="006F31A1"/>
    <w:rsid w:val="006F3BA8"/>
    <w:rsid w:val="006F44E5"/>
    <w:rsid w:val="006F5CCF"/>
    <w:rsid w:val="007007B4"/>
    <w:rsid w:val="00702162"/>
    <w:rsid w:val="0070377E"/>
    <w:rsid w:val="007038B9"/>
    <w:rsid w:val="00703B5E"/>
    <w:rsid w:val="007060F0"/>
    <w:rsid w:val="00711B98"/>
    <w:rsid w:val="00712F9F"/>
    <w:rsid w:val="00714496"/>
    <w:rsid w:val="00714A91"/>
    <w:rsid w:val="007152C2"/>
    <w:rsid w:val="00715659"/>
    <w:rsid w:val="00716155"/>
    <w:rsid w:val="00716DAD"/>
    <w:rsid w:val="00721A1E"/>
    <w:rsid w:val="00722ADF"/>
    <w:rsid w:val="00722E01"/>
    <w:rsid w:val="00724731"/>
    <w:rsid w:val="0072526F"/>
    <w:rsid w:val="00726F21"/>
    <w:rsid w:val="007272EF"/>
    <w:rsid w:val="007275C1"/>
    <w:rsid w:val="0073059E"/>
    <w:rsid w:val="00731122"/>
    <w:rsid w:val="00733BF5"/>
    <w:rsid w:val="00733FFC"/>
    <w:rsid w:val="00734313"/>
    <w:rsid w:val="007344CA"/>
    <w:rsid w:val="00734662"/>
    <w:rsid w:val="00735F0E"/>
    <w:rsid w:val="00737A73"/>
    <w:rsid w:val="00740A78"/>
    <w:rsid w:val="00740F37"/>
    <w:rsid w:val="007410CF"/>
    <w:rsid w:val="00742722"/>
    <w:rsid w:val="00743435"/>
    <w:rsid w:val="00743E90"/>
    <w:rsid w:val="00743EB7"/>
    <w:rsid w:val="00746AA2"/>
    <w:rsid w:val="00747B3B"/>
    <w:rsid w:val="00750D6B"/>
    <w:rsid w:val="00750FA5"/>
    <w:rsid w:val="007513B5"/>
    <w:rsid w:val="00753BD1"/>
    <w:rsid w:val="00754FC7"/>
    <w:rsid w:val="0075658B"/>
    <w:rsid w:val="0075728B"/>
    <w:rsid w:val="00757487"/>
    <w:rsid w:val="00757B4A"/>
    <w:rsid w:val="007602B9"/>
    <w:rsid w:val="00760EBE"/>
    <w:rsid w:val="00761476"/>
    <w:rsid w:val="00762028"/>
    <w:rsid w:val="0076363E"/>
    <w:rsid w:val="00764AB4"/>
    <w:rsid w:val="00765001"/>
    <w:rsid w:val="00766746"/>
    <w:rsid w:val="007670B0"/>
    <w:rsid w:val="00771026"/>
    <w:rsid w:val="007712FC"/>
    <w:rsid w:val="00771BC3"/>
    <w:rsid w:val="00771BDD"/>
    <w:rsid w:val="00772892"/>
    <w:rsid w:val="00772AF7"/>
    <w:rsid w:val="00773E8F"/>
    <w:rsid w:val="007748C9"/>
    <w:rsid w:val="007756BE"/>
    <w:rsid w:val="0077660D"/>
    <w:rsid w:val="00777606"/>
    <w:rsid w:val="00777D42"/>
    <w:rsid w:val="007809E1"/>
    <w:rsid w:val="00782420"/>
    <w:rsid w:val="00782571"/>
    <w:rsid w:val="00782A0E"/>
    <w:rsid w:val="00782B82"/>
    <w:rsid w:val="007833DA"/>
    <w:rsid w:val="0078601F"/>
    <w:rsid w:val="007870E4"/>
    <w:rsid w:val="007902DA"/>
    <w:rsid w:val="00790CFE"/>
    <w:rsid w:val="007918BB"/>
    <w:rsid w:val="00792DFD"/>
    <w:rsid w:val="00793352"/>
    <w:rsid w:val="00797D84"/>
    <w:rsid w:val="007A0B71"/>
    <w:rsid w:val="007A386A"/>
    <w:rsid w:val="007A4C59"/>
    <w:rsid w:val="007A6184"/>
    <w:rsid w:val="007A682E"/>
    <w:rsid w:val="007B067C"/>
    <w:rsid w:val="007B1D94"/>
    <w:rsid w:val="007B26EE"/>
    <w:rsid w:val="007B3055"/>
    <w:rsid w:val="007C0864"/>
    <w:rsid w:val="007C444C"/>
    <w:rsid w:val="007C509B"/>
    <w:rsid w:val="007C7C2F"/>
    <w:rsid w:val="007D0DC6"/>
    <w:rsid w:val="007D1454"/>
    <w:rsid w:val="007D1CFE"/>
    <w:rsid w:val="007D20EE"/>
    <w:rsid w:val="007D2F33"/>
    <w:rsid w:val="007D481D"/>
    <w:rsid w:val="007D5D8F"/>
    <w:rsid w:val="007D5F3B"/>
    <w:rsid w:val="007D6809"/>
    <w:rsid w:val="007E2350"/>
    <w:rsid w:val="007E2941"/>
    <w:rsid w:val="007E4F76"/>
    <w:rsid w:val="007E5D4A"/>
    <w:rsid w:val="007E5DEB"/>
    <w:rsid w:val="007E6C2A"/>
    <w:rsid w:val="007E7E1D"/>
    <w:rsid w:val="007F0A12"/>
    <w:rsid w:val="007F0D3C"/>
    <w:rsid w:val="007F14F8"/>
    <w:rsid w:val="007F1719"/>
    <w:rsid w:val="007F2144"/>
    <w:rsid w:val="007F392F"/>
    <w:rsid w:val="007F3DA9"/>
    <w:rsid w:val="007F4108"/>
    <w:rsid w:val="007F4464"/>
    <w:rsid w:val="007F4739"/>
    <w:rsid w:val="007F4E9E"/>
    <w:rsid w:val="007F515D"/>
    <w:rsid w:val="007F52AB"/>
    <w:rsid w:val="0080186A"/>
    <w:rsid w:val="00801F0B"/>
    <w:rsid w:val="00803EBC"/>
    <w:rsid w:val="008063FE"/>
    <w:rsid w:val="008065BB"/>
    <w:rsid w:val="0080713E"/>
    <w:rsid w:val="00810F40"/>
    <w:rsid w:val="00812887"/>
    <w:rsid w:val="00813347"/>
    <w:rsid w:val="008138CD"/>
    <w:rsid w:val="00820BCB"/>
    <w:rsid w:val="00822F4E"/>
    <w:rsid w:val="00823EE2"/>
    <w:rsid w:val="00824030"/>
    <w:rsid w:val="00824EFF"/>
    <w:rsid w:val="00826104"/>
    <w:rsid w:val="0082707D"/>
    <w:rsid w:val="00827C6A"/>
    <w:rsid w:val="00830D33"/>
    <w:rsid w:val="008313CA"/>
    <w:rsid w:val="00831D45"/>
    <w:rsid w:val="00835461"/>
    <w:rsid w:val="00835D8C"/>
    <w:rsid w:val="0084156D"/>
    <w:rsid w:val="008429AB"/>
    <w:rsid w:val="00842FDE"/>
    <w:rsid w:val="0084386E"/>
    <w:rsid w:val="008450BF"/>
    <w:rsid w:val="00845372"/>
    <w:rsid w:val="00847251"/>
    <w:rsid w:val="00850F21"/>
    <w:rsid w:val="00853584"/>
    <w:rsid w:val="00853731"/>
    <w:rsid w:val="00853990"/>
    <w:rsid w:val="0085407E"/>
    <w:rsid w:val="00856355"/>
    <w:rsid w:val="008606C3"/>
    <w:rsid w:val="00860D0A"/>
    <w:rsid w:val="008621F4"/>
    <w:rsid w:val="008624A7"/>
    <w:rsid w:val="008628E8"/>
    <w:rsid w:val="008715F1"/>
    <w:rsid w:val="008727C0"/>
    <w:rsid w:val="0087451C"/>
    <w:rsid w:val="00874B7C"/>
    <w:rsid w:val="00875453"/>
    <w:rsid w:val="00875A57"/>
    <w:rsid w:val="00875BDD"/>
    <w:rsid w:val="00876E76"/>
    <w:rsid w:val="00876F4F"/>
    <w:rsid w:val="00880F4B"/>
    <w:rsid w:val="00880F5D"/>
    <w:rsid w:val="008813E9"/>
    <w:rsid w:val="00881862"/>
    <w:rsid w:val="00881E5A"/>
    <w:rsid w:val="008854AA"/>
    <w:rsid w:val="0088563B"/>
    <w:rsid w:val="00885C59"/>
    <w:rsid w:val="008871BE"/>
    <w:rsid w:val="00887DD3"/>
    <w:rsid w:val="008911EA"/>
    <w:rsid w:val="0089306D"/>
    <w:rsid w:val="008939A4"/>
    <w:rsid w:val="00893D7A"/>
    <w:rsid w:val="00893FFA"/>
    <w:rsid w:val="0089461B"/>
    <w:rsid w:val="008956FB"/>
    <w:rsid w:val="008974C1"/>
    <w:rsid w:val="008A3A0E"/>
    <w:rsid w:val="008A4326"/>
    <w:rsid w:val="008A5D78"/>
    <w:rsid w:val="008B0495"/>
    <w:rsid w:val="008B16E3"/>
    <w:rsid w:val="008B2675"/>
    <w:rsid w:val="008B3168"/>
    <w:rsid w:val="008B3C29"/>
    <w:rsid w:val="008B6B55"/>
    <w:rsid w:val="008B6B66"/>
    <w:rsid w:val="008C08B6"/>
    <w:rsid w:val="008C0EF4"/>
    <w:rsid w:val="008C1AB4"/>
    <w:rsid w:val="008C21C6"/>
    <w:rsid w:val="008C2F5A"/>
    <w:rsid w:val="008C3A03"/>
    <w:rsid w:val="008C4C4A"/>
    <w:rsid w:val="008C5091"/>
    <w:rsid w:val="008C589E"/>
    <w:rsid w:val="008C5DF0"/>
    <w:rsid w:val="008C61E0"/>
    <w:rsid w:val="008C7195"/>
    <w:rsid w:val="008C7E8A"/>
    <w:rsid w:val="008D4CC6"/>
    <w:rsid w:val="008E0DA5"/>
    <w:rsid w:val="008E1B28"/>
    <w:rsid w:val="008E2677"/>
    <w:rsid w:val="008E2B81"/>
    <w:rsid w:val="008E37F9"/>
    <w:rsid w:val="008E3CCF"/>
    <w:rsid w:val="008E52F2"/>
    <w:rsid w:val="008E54C4"/>
    <w:rsid w:val="008E6322"/>
    <w:rsid w:val="008E716B"/>
    <w:rsid w:val="008E7643"/>
    <w:rsid w:val="008F1206"/>
    <w:rsid w:val="008F13CF"/>
    <w:rsid w:val="008F14E3"/>
    <w:rsid w:val="008F1D30"/>
    <w:rsid w:val="008F28E8"/>
    <w:rsid w:val="008F3713"/>
    <w:rsid w:val="008F3F1E"/>
    <w:rsid w:val="008F4F77"/>
    <w:rsid w:val="008F51F8"/>
    <w:rsid w:val="008F5F40"/>
    <w:rsid w:val="00900337"/>
    <w:rsid w:val="0090247F"/>
    <w:rsid w:val="00903D18"/>
    <w:rsid w:val="00904E2C"/>
    <w:rsid w:val="009073A5"/>
    <w:rsid w:val="00907801"/>
    <w:rsid w:val="00907A7E"/>
    <w:rsid w:val="00910BFC"/>
    <w:rsid w:val="0091138E"/>
    <w:rsid w:val="00911E37"/>
    <w:rsid w:val="00913747"/>
    <w:rsid w:val="009139CF"/>
    <w:rsid w:val="00916F92"/>
    <w:rsid w:val="009206DC"/>
    <w:rsid w:val="009209A1"/>
    <w:rsid w:val="00921DB9"/>
    <w:rsid w:val="00921EA1"/>
    <w:rsid w:val="009229BB"/>
    <w:rsid w:val="009235D3"/>
    <w:rsid w:val="00925781"/>
    <w:rsid w:val="009258FB"/>
    <w:rsid w:val="00925C97"/>
    <w:rsid w:val="00927385"/>
    <w:rsid w:val="009277D3"/>
    <w:rsid w:val="00932CF4"/>
    <w:rsid w:val="009334FC"/>
    <w:rsid w:val="00933571"/>
    <w:rsid w:val="009341FD"/>
    <w:rsid w:val="009363A9"/>
    <w:rsid w:val="00936A9E"/>
    <w:rsid w:val="00940E67"/>
    <w:rsid w:val="00941C81"/>
    <w:rsid w:val="009424B8"/>
    <w:rsid w:val="009425DC"/>
    <w:rsid w:val="0094371C"/>
    <w:rsid w:val="0094604B"/>
    <w:rsid w:val="00947E98"/>
    <w:rsid w:val="009511C3"/>
    <w:rsid w:val="00951639"/>
    <w:rsid w:val="00951999"/>
    <w:rsid w:val="009519BC"/>
    <w:rsid w:val="0095294F"/>
    <w:rsid w:val="00952BCA"/>
    <w:rsid w:val="00954501"/>
    <w:rsid w:val="00955338"/>
    <w:rsid w:val="0095697B"/>
    <w:rsid w:val="00960A53"/>
    <w:rsid w:val="00961376"/>
    <w:rsid w:val="009637B0"/>
    <w:rsid w:val="0096468F"/>
    <w:rsid w:val="00964850"/>
    <w:rsid w:val="00965071"/>
    <w:rsid w:val="00966A00"/>
    <w:rsid w:val="00967744"/>
    <w:rsid w:val="009725EA"/>
    <w:rsid w:val="00972FA3"/>
    <w:rsid w:val="0097338A"/>
    <w:rsid w:val="00975073"/>
    <w:rsid w:val="00981168"/>
    <w:rsid w:val="00981637"/>
    <w:rsid w:val="00981FD9"/>
    <w:rsid w:val="009820C5"/>
    <w:rsid w:val="0098311D"/>
    <w:rsid w:val="00983422"/>
    <w:rsid w:val="00983DD6"/>
    <w:rsid w:val="00984DFA"/>
    <w:rsid w:val="009875BF"/>
    <w:rsid w:val="00991CD9"/>
    <w:rsid w:val="00992FAA"/>
    <w:rsid w:val="009936F7"/>
    <w:rsid w:val="00993BC5"/>
    <w:rsid w:val="00993C33"/>
    <w:rsid w:val="00994CA0"/>
    <w:rsid w:val="009951B7"/>
    <w:rsid w:val="00996BD8"/>
    <w:rsid w:val="00996FB8"/>
    <w:rsid w:val="0099727C"/>
    <w:rsid w:val="00997C8E"/>
    <w:rsid w:val="009A2A5C"/>
    <w:rsid w:val="009A2AD1"/>
    <w:rsid w:val="009A2D45"/>
    <w:rsid w:val="009A3EBE"/>
    <w:rsid w:val="009A5620"/>
    <w:rsid w:val="009A6ECE"/>
    <w:rsid w:val="009B3719"/>
    <w:rsid w:val="009B3C79"/>
    <w:rsid w:val="009B7DD3"/>
    <w:rsid w:val="009C0035"/>
    <w:rsid w:val="009C0CDE"/>
    <w:rsid w:val="009C258A"/>
    <w:rsid w:val="009C2764"/>
    <w:rsid w:val="009C3C58"/>
    <w:rsid w:val="009C4766"/>
    <w:rsid w:val="009C51ED"/>
    <w:rsid w:val="009C57CF"/>
    <w:rsid w:val="009C5DB2"/>
    <w:rsid w:val="009C60C0"/>
    <w:rsid w:val="009C7317"/>
    <w:rsid w:val="009D0934"/>
    <w:rsid w:val="009D2863"/>
    <w:rsid w:val="009D4E2E"/>
    <w:rsid w:val="009D527D"/>
    <w:rsid w:val="009D5F75"/>
    <w:rsid w:val="009D6CA7"/>
    <w:rsid w:val="009E00AD"/>
    <w:rsid w:val="009E2C2B"/>
    <w:rsid w:val="009E2CDE"/>
    <w:rsid w:val="009E39BF"/>
    <w:rsid w:val="009E3E3F"/>
    <w:rsid w:val="009E4383"/>
    <w:rsid w:val="009E47D1"/>
    <w:rsid w:val="009E4C4C"/>
    <w:rsid w:val="009E4CFB"/>
    <w:rsid w:val="009E54F6"/>
    <w:rsid w:val="009E5B92"/>
    <w:rsid w:val="009E69AE"/>
    <w:rsid w:val="009E7E59"/>
    <w:rsid w:val="009F1E77"/>
    <w:rsid w:val="009F2E92"/>
    <w:rsid w:val="009F46DF"/>
    <w:rsid w:val="009F486B"/>
    <w:rsid w:val="009F4C48"/>
    <w:rsid w:val="009F54FD"/>
    <w:rsid w:val="009F6030"/>
    <w:rsid w:val="00A00470"/>
    <w:rsid w:val="00A008F1"/>
    <w:rsid w:val="00A035D2"/>
    <w:rsid w:val="00A051A6"/>
    <w:rsid w:val="00A051CC"/>
    <w:rsid w:val="00A07EB7"/>
    <w:rsid w:val="00A124D3"/>
    <w:rsid w:val="00A12E5C"/>
    <w:rsid w:val="00A15316"/>
    <w:rsid w:val="00A15656"/>
    <w:rsid w:val="00A16353"/>
    <w:rsid w:val="00A17F64"/>
    <w:rsid w:val="00A21E10"/>
    <w:rsid w:val="00A2256B"/>
    <w:rsid w:val="00A22C31"/>
    <w:rsid w:val="00A22F2A"/>
    <w:rsid w:val="00A23ABB"/>
    <w:rsid w:val="00A24B4A"/>
    <w:rsid w:val="00A25C38"/>
    <w:rsid w:val="00A261FC"/>
    <w:rsid w:val="00A26B42"/>
    <w:rsid w:val="00A27BA7"/>
    <w:rsid w:val="00A313A9"/>
    <w:rsid w:val="00A32329"/>
    <w:rsid w:val="00A34108"/>
    <w:rsid w:val="00A34F56"/>
    <w:rsid w:val="00A3505B"/>
    <w:rsid w:val="00A35BCC"/>
    <w:rsid w:val="00A36996"/>
    <w:rsid w:val="00A36D7F"/>
    <w:rsid w:val="00A37A47"/>
    <w:rsid w:val="00A37FD9"/>
    <w:rsid w:val="00A41D6B"/>
    <w:rsid w:val="00A42770"/>
    <w:rsid w:val="00A43328"/>
    <w:rsid w:val="00A44CC2"/>
    <w:rsid w:val="00A4558D"/>
    <w:rsid w:val="00A45CDE"/>
    <w:rsid w:val="00A46066"/>
    <w:rsid w:val="00A4645A"/>
    <w:rsid w:val="00A46750"/>
    <w:rsid w:val="00A474FE"/>
    <w:rsid w:val="00A50631"/>
    <w:rsid w:val="00A50C67"/>
    <w:rsid w:val="00A549E8"/>
    <w:rsid w:val="00A55FA7"/>
    <w:rsid w:val="00A61AC2"/>
    <w:rsid w:val="00A61E9E"/>
    <w:rsid w:val="00A63284"/>
    <w:rsid w:val="00A63E0C"/>
    <w:rsid w:val="00A63FA3"/>
    <w:rsid w:val="00A6448B"/>
    <w:rsid w:val="00A65060"/>
    <w:rsid w:val="00A66169"/>
    <w:rsid w:val="00A675BA"/>
    <w:rsid w:val="00A71AF3"/>
    <w:rsid w:val="00A71DF6"/>
    <w:rsid w:val="00A721D2"/>
    <w:rsid w:val="00A73C43"/>
    <w:rsid w:val="00A7438A"/>
    <w:rsid w:val="00A74D24"/>
    <w:rsid w:val="00A75B3B"/>
    <w:rsid w:val="00A76575"/>
    <w:rsid w:val="00A774F0"/>
    <w:rsid w:val="00A77A74"/>
    <w:rsid w:val="00A77BF6"/>
    <w:rsid w:val="00A77C80"/>
    <w:rsid w:val="00A80A7E"/>
    <w:rsid w:val="00A816FB"/>
    <w:rsid w:val="00A83E77"/>
    <w:rsid w:val="00A841A9"/>
    <w:rsid w:val="00A84B9A"/>
    <w:rsid w:val="00A874AF"/>
    <w:rsid w:val="00A90349"/>
    <w:rsid w:val="00A91E46"/>
    <w:rsid w:val="00A92064"/>
    <w:rsid w:val="00A93C1C"/>
    <w:rsid w:val="00A9424B"/>
    <w:rsid w:val="00A95CDF"/>
    <w:rsid w:val="00A95F1A"/>
    <w:rsid w:val="00A9768E"/>
    <w:rsid w:val="00A97B47"/>
    <w:rsid w:val="00AA00ED"/>
    <w:rsid w:val="00AA1428"/>
    <w:rsid w:val="00AA19FC"/>
    <w:rsid w:val="00AA1F90"/>
    <w:rsid w:val="00AA26B0"/>
    <w:rsid w:val="00AA298D"/>
    <w:rsid w:val="00AA2B15"/>
    <w:rsid w:val="00AA3A7E"/>
    <w:rsid w:val="00AA472D"/>
    <w:rsid w:val="00AA4CA9"/>
    <w:rsid w:val="00AA6BCD"/>
    <w:rsid w:val="00AA73FE"/>
    <w:rsid w:val="00AB0A04"/>
    <w:rsid w:val="00AB1E78"/>
    <w:rsid w:val="00AB334C"/>
    <w:rsid w:val="00AB3E38"/>
    <w:rsid w:val="00AB472A"/>
    <w:rsid w:val="00AB59FA"/>
    <w:rsid w:val="00AB6247"/>
    <w:rsid w:val="00AB6A56"/>
    <w:rsid w:val="00AB6CB6"/>
    <w:rsid w:val="00AB76EC"/>
    <w:rsid w:val="00AC18C6"/>
    <w:rsid w:val="00AC4790"/>
    <w:rsid w:val="00AC7F25"/>
    <w:rsid w:val="00AD1BB3"/>
    <w:rsid w:val="00AD6587"/>
    <w:rsid w:val="00AE060A"/>
    <w:rsid w:val="00AE0933"/>
    <w:rsid w:val="00AE24FB"/>
    <w:rsid w:val="00AE35CA"/>
    <w:rsid w:val="00AE3769"/>
    <w:rsid w:val="00AE4BCB"/>
    <w:rsid w:val="00AE574F"/>
    <w:rsid w:val="00AE610B"/>
    <w:rsid w:val="00AF1828"/>
    <w:rsid w:val="00AF351D"/>
    <w:rsid w:val="00AF378F"/>
    <w:rsid w:val="00AF3DBD"/>
    <w:rsid w:val="00AF5E7A"/>
    <w:rsid w:val="00AF709D"/>
    <w:rsid w:val="00AF73E5"/>
    <w:rsid w:val="00B00CD6"/>
    <w:rsid w:val="00B01F64"/>
    <w:rsid w:val="00B02121"/>
    <w:rsid w:val="00B02146"/>
    <w:rsid w:val="00B03411"/>
    <w:rsid w:val="00B04025"/>
    <w:rsid w:val="00B050F8"/>
    <w:rsid w:val="00B0696A"/>
    <w:rsid w:val="00B07925"/>
    <w:rsid w:val="00B11769"/>
    <w:rsid w:val="00B21A17"/>
    <w:rsid w:val="00B21F75"/>
    <w:rsid w:val="00B2229C"/>
    <w:rsid w:val="00B23641"/>
    <w:rsid w:val="00B23FB1"/>
    <w:rsid w:val="00B24512"/>
    <w:rsid w:val="00B2678D"/>
    <w:rsid w:val="00B27183"/>
    <w:rsid w:val="00B27A97"/>
    <w:rsid w:val="00B27FB9"/>
    <w:rsid w:val="00B30668"/>
    <w:rsid w:val="00B312CD"/>
    <w:rsid w:val="00B34AFF"/>
    <w:rsid w:val="00B34E33"/>
    <w:rsid w:val="00B3577E"/>
    <w:rsid w:val="00B35AE7"/>
    <w:rsid w:val="00B35BDC"/>
    <w:rsid w:val="00B3637A"/>
    <w:rsid w:val="00B36577"/>
    <w:rsid w:val="00B36E96"/>
    <w:rsid w:val="00B41FB6"/>
    <w:rsid w:val="00B43F2A"/>
    <w:rsid w:val="00B45095"/>
    <w:rsid w:val="00B47998"/>
    <w:rsid w:val="00B47B25"/>
    <w:rsid w:val="00B50AE2"/>
    <w:rsid w:val="00B50B5E"/>
    <w:rsid w:val="00B50F32"/>
    <w:rsid w:val="00B51333"/>
    <w:rsid w:val="00B516D1"/>
    <w:rsid w:val="00B53BDA"/>
    <w:rsid w:val="00B5432C"/>
    <w:rsid w:val="00B54712"/>
    <w:rsid w:val="00B554BC"/>
    <w:rsid w:val="00B5726F"/>
    <w:rsid w:val="00B57432"/>
    <w:rsid w:val="00B61AF4"/>
    <w:rsid w:val="00B62201"/>
    <w:rsid w:val="00B63445"/>
    <w:rsid w:val="00B640B9"/>
    <w:rsid w:val="00B651AA"/>
    <w:rsid w:val="00B65749"/>
    <w:rsid w:val="00B66808"/>
    <w:rsid w:val="00B673D6"/>
    <w:rsid w:val="00B702EE"/>
    <w:rsid w:val="00B70387"/>
    <w:rsid w:val="00B704CD"/>
    <w:rsid w:val="00B711ED"/>
    <w:rsid w:val="00B71730"/>
    <w:rsid w:val="00B7199A"/>
    <w:rsid w:val="00B73945"/>
    <w:rsid w:val="00B76292"/>
    <w:rsid w:val="00B76D8F"/>
    <w:rsid w:val="00B81093"/>
    <w:rsid w:val="00B82B16"/>
    <w:rsid w:val="00B84BF8"/>
    <w:rsid w:val="00B8673C"/>
    <w:rsid w:val="00B86E3B"/>
    <w:rsid w:val="00B90E4B"/>
    <w:rsid w:val="00B91483"/>
    <w:rsid w:val="00B9174B"/>
    <w:rsid w:val="00B93975"/>
    <w:rsid w:val="00B95168"/>
    <w:rsid w:val="00B97681"/>
    <w:rsid w:val="00BA020B"/>
    <w:rsid w:val="00BA0C47"/>
    <w:rsid w:val="00BA353D"/>
    <w:rsid w:val="00BA3717"/>
    <w:rsid w:val="00BA3879"/>
    <w:rsid w:val="00BA4DA7"/>
    <w:rsid w:val="00BA597B"/>
    <w:rsid w:val="00BA6463"/>
    <w:rsid w:val="00BA7207"/>
    <w:rsid w:val="00BB0192"/>
    <w:rsid w:val="00BB0F22"/>
    <w:rsid w:val="00BB22CA"/>
    <w:rsid w:val="00BB398D"/>
    <w:rsid w:val="00BB41AE"/>
    <w:rsid w:val="00BB5FC9"/>
    <w:rsid w:val="00BB6095"/>
    <w:rsid w:val="00BB62BF"/>
    <w:rsid w:val="00BC31A9"/>
    <w:rsid w:val="00BC3203"/>
    <w:rsid w:val="00BC3600"/>
    <w:rsid w:val="00BC385F"/>
    <w:rsid w:val="00BC4068"/>
    <w:rsid w:val="00BC69A5"/>
    <w:rsid w:val="00BC6FB8"/>
    <w:rsid w:val="00BD29E6"/>
    <w:rsid w:val="00BE03A2"/>
    <w:rsid w:val="00BE1152"/>
    <w:rsid w:val="00BE1442"/>
    <w:rsid w:val="00BE4901"/>
    <w:rsid w:val="00BE55EC"/>
    <w:rsid w:val="00BE6E81"/>
    <w:rsid w:val="00BF11A0"/>
    <w:rsid w:val="00BF240C"/>
    <w:rsid w:val="00BF2C58"/>
    <w:rsid w:val="00BF2D77"/>
    <w:rsid w:val="00BF35E9"/>
    <w:rsid w:val="00BF404E"/>
    <w:rsid w:val="00BF4D59"/>
    <w:rsid w:val="00BF68B1"/>
    <w:rsid w:val="00C01C21"/>
    <w:rsid w:val="00C03583"/>
    <w:rsid w:val="00C039A1"/>
    <w:rsid w:val="00C05092"/>
    <w:rsid w:val="00C05F28"/>
    <w:rsid w:val="00C069EC"/>
    <w:rsid w:val="00C06BDD"/>
    <w:rsid w:val="00C06C16"/>
    <w:rsid w:val="00C10062"/>
    <w:rsid w:val="00C10783"/>
    <w:rsid w:val="00C11E84"/>
    <w:rsid w:val="00C13207"/>
    <w:rsid w:val="00C17931"/>
    <w:rsid w:val="00C17EBA"/>
    <w:rsid w:val="00C20D21"/>
    <w:rsid w:val="00C21369"/>
    <w:rsid w:val="00C21391"/>
    <w:rsid w:val="00C2244D"/>
    <w:rsid w:val="00C226FC"/>
    <w:rsid w:val="00C24E30"/>
    <w:rsid w:val="00C2542F"/>
    <w:rsid w:val="00C26DDC"/>
    <w:rsid w:val="00C27F96"/>
    <w:rsid w:val="00C31FE7"/>
    <w:rsid w:val="00C32093"/>
    <w:rsid w:val="00C3334E"/>
    <w:rsid w:val="00C345E2"/>
    <w:rsid w:val="00C35CE3"/>
    <w:rsid w:val="00C37F41"/>
    <w:rsid w:val="00C41199"/>
    <w:rsid w:val="00C47526"/>
    <w:rsid w:val="00C50361"/>
    <w:rsid w:val="00C50812"/>
    <w:rsid w:val="00C546D9"/>
    <w:rsid w:val="00C55681"/>
    <w:rsid w:val="00C56050"/>
    <w:rsid w:val="00C607EC"/>
    <w:rsid w:val="00C623FF"/>
    <w:rsid w:val="00C6266B"/>
    <w:rsid w:val="00C635C4"/>
    <w:rsid w:val="00C63FEC"/>
    <w:rsid w:val="00C649D5"/>
    <w:rsid w:val="00C65219"/>
    <w:rsid w:val="00C66773"/>
    <w:rsid w:val="00C73339"/>
    <w:rsid w:val="00C74A12"/>
    <w:rsid w:val="00C752B6"/>
    <w:rsid w:val="00C76FA2"/>
    <w:rsid w:val="00C81965"/>
    <w:rsid w:val="00C82923"/>
    <w:rsid w:val="00C82CA0"/>
    <w:rsid w:val="00C84385"/>
    <w:rsid w:val="00C91404"/>
    <w:rsid w:val="00C919A0"/>
    <w:rsid w:val="00C9236F"/>
    <w:rsid w:val="00C925D1"/>
    <w:rsid w:val="00C94829"/>
    <w:rsid w:val="00C94C72"/>
    <w:rsid w:val="00C9617D"/>
    <w:rsid w:val="00C967DF"/>
    <w:rsid w:val="00C96B27"/>
    <w:rsid w:val="00CA10E4"/>
    <w:rsid w:val="00CA2B3D"/>
    <w:rsid w:val="00CA2ED4"/>
    <w:rsid w:val="00CA3B6D"/>
    <w:rsid w:val="00CA3F33"/>
    <w:rsid w:val="00CA4AB8"/>
    <w:rsid w:val="00CA530C"/>
    <w:rsid w:val="00CA5953"/>
    <w:rsid w:val="00CA6920"/>
    <w:rsid w:val="00CA7A16"/>
    <w:rsid w:val="00CA7B81"/>
    <w:rsid w:val="00CB073D"/>
    <w:rsid w:val="00CB20D9"/>
    <w:rsid w:val="00CB5C1F"/>
    <w:rsid w:val="00CB6233"/>
    <w:rsid w:val="00CB6237"/>
    <w:rsid w:val="00CC0C5C"/>
    <w:rsid w:val="00CC1028"/>
    <w:rsid w:val="00CC4416"/>
    <w:rsid w:val="00CC487A"/>
    <w:rsid w:val="00CC4EE2"/>
    <w:rsid w:val="00CC6EE9"/>
    <w:rsid w:val="00CC737E"/>
    <w:rsid w:val="00CD3681"/>
    <w:rsid w:val="00CD522C"/>
    <w:rsid w:val="00CD67B1"/>
    <w:rsid w:val="00CD6875"/>
    <w:rsid w:val="00CD69EF"/>
    <w:rsid w:val="00CD7806"/>
    <w:rsid w:val="00CE0174"/>
    <w:rsid w:val="00CE1C03"/>
    <w:rsid w:val="00CE20FF"/>
    <w:rsid w:val="00CE25C4"/>
    <w:rsid w:val="00CE279F"/>
    <w:rsid w:val="00CE36E1"/>
    <w:rsid w:val="00CE396B"/>
    <w:rsid w:val="00CE4C6B"/>
    <w:rsid w:val="00CE5113"/>
    <w:rsid w:val="00CE5335"/>
    <w:rsid w:val="00CE62E2"/>
    <w:rsid w:val="00CE7297"/>
    <w:rsid w:val="00CE7338"/>
    <w:rsid w:val="00CF00E0"/>
    <w:rsid w:val="00CF0276"/>
    <w:rsid w:val="00CF0984"/>
    <w:rsid w:val="00CF0B09"/>
    <w:rsid w:val="00CF270E"/>
    <w:rsid w:val="00CF331B"/>
    <w:rsid w:val="00CF37CF"/>
    <w:rsid w:val="00CF3BCB"/>
    <w:rsid w:val="00CF40E9"/>
    <w:rsid w:val="00D01292"/>
    <w:rsid w:val="00D01849"/>
    <w:rsid w:val="00D01C11"/>
    <w:rsid w:val="00D0240B"/>
    <w:rsid w:val="00D02753"/>
    <w:rsid w:val="00D0477C"/>
    <w:rsid w:val="00D071C2"/>
    <w:rsid w:val="00D07843"/>
    <w:rsid w:val="00D11AF1"/>
    <w:rsid w:val="00D125B2"/>
    <w:rsid w:val="00D128FF"/>
    <w:rsid w:val="00D138AB"/>
    <w:rsid w:val="00D13E3C"/>
    <w:rsid w:val="00D158C1"/>
    <w:rsid w:val="00D160B5"/>
    <w:rsid w:val="00D1642F"/>
    <w:rsid w:val="00D20AEE"/>
    <w:rsid w:val="00D21D17"/>
    <w:rsid w:val="00D223C0"/>
    <w:rsid w:val="00D230AE"/>
    <w:rsid w:val="00D23F47"/>
    <w:rsid w:val="00D24B4E"/>
    <w:rsid w:val="00D26323"/>
    <w:rsid w:val="00D26512"/>
    <w:rsid w:val="00D27830"/>
    <w:rsid w:val="00D33222"/>
    <w:rsid w:val="00D33263"/>
    <w:rsid w:val="00D35094"/>
    <w:rsid w:val="00D3509C"/>
    <w:rsid w:val="00D358C9"/>
    <w:rsid w:val="00D35934"/>
    <w:rsid w:val="00D36700"/>
    <w:rsid w:val="00D43CE8"/>
    <w:rsid w:val="00D44653"/>
    <w:rsid w:val="00D449C4"/>
    <w:rsid w:val="00D4549D"/>
    <w:rsid w:val="00D45ADD"/>
    <w:rsid w:val="00D45E99"/>
    <w:rsid w:val="00D463E7"/>
    <w:rsid w:val="00D46523"/>
    <w:rsid w:val="00D46FF3"/>
    <w:rsid w:val="00D50106"/>
    <w:rsid w:val="00D525DA"/>
    <w:rsid w:val="00D55B1F"/>
    <w:rsid w:val="00D56265"/>
    <w:rsid w:val="00D5705E"/>
    <w:rsid w:val="00D572B7"/>
    <w:rsid w:val="00D6041D"/>
    <w:rsid w:val="00D60F56"/>
    <w:rsid w:val="00D61885"/>
    <w:rsid w:val="00D64278"/>
    <w:rsid w:val="00D652C3"/>
    <w:rsid w:val="00D67265"/>
    <w:rsid w:val="00D70FB9"/>
    <w:rsid w:val="00D72DD7"/>
    <w:rsid w:val="00D7397B"/>
    <w:rsid w:val="00D77024"/>
    <w:rsid w:val="00D77852"/>
    <w:rsid w:val="00D8252C"/>
    <w:rsid w:val="00D82D40"/>
    <w:rsid w:val="00D82DC3"/>
    <w:rsid w:val="00D84F26"/>
    <w:rsid w:val="00D8662B"/>
    <w:rsid w:val="00D8705B"/>
    <w:rsid w:val="00D9159A"/>
    <w:rsid w:val="00D918DD"/>
    <w:rsid w:val="00D91ECB"/>
    <w:rsid w:val="00D92490"/>
    <w:rsid w:val="00D94B62"/>
    <w:rsid w:val="00DA3747"/>
    <w:rsid w:val="00DA3E67"/>
    <w:rsid w:val="00DA4293"/>
    <w:rsid w:val="00DA5F0E"/>
    <w:rsid w:val="00DA6C68"/>
    <w:rsid w:val="00DA72D1"/>
    <w:rsid w:val="00DB1304"/>
    <w:rsid w:val="00DB3875"/>
    <w:rsid w:val="00DB555C"/>
    <w:rsid w:val="00DB5718"/>
    <w:rsid w:val="00DB710E"/>
    <w:rsid w:val="00DB762A"/>
    <w:rsid w:val="00DB7F22"/>
    <w:rsid w:val="00DC26EA"/>
    <w:rsid w:val="00DC5A4B"/>
    <w:rsid w:val="00DC63A8"/>
    <w:rsid w:val="00DC6563"/>
    <w:rsid w:val="00DC72F8"/>
    <w:rsid w:val="00DD0AA0"/>
    <w:rsid w:val="00DD119B"/>
    <w:rsid w:val="00DD1B70"/>
    <w:rsid w:val="00DD22BA"/>
    <w:rsid w:val="00DD253A"/>
    <w:rsid w:val="00DD3266"/>
    <w:rsid w:val="00DD352A"/>
    <w:rsid w:val="00DD45E9"/>
    <w:rsid w:val="00DD4728"/>
    <w:rsid w:val="00DD58F6"/>
    <w:rsid w:val="00DD5B86"/>
    <w:rsid w:val="00DD64D8"/>
    <w:rsid w:val="00DD6604"/>
    <w:rsid w:val="00DD68FD"/>
    <w:rsid w:val="00DD7F0D"/>
    <w:rsid w:val="00DE1C7C"/>
    <w:rsid w:val="00DE5046"/>
    <w:rsid w:val="00DE5D27"/>
    <w:rsid w:val="00DE66F6"/>
    <w:rsid w:val="00DF09BE"/>
    <w:rsid w:val="00DF16D9"/>
    <w:rsid w:val="00DF354C"/>
    <w:rsid w:val="00DF355C"/>
    <w:rsid w:val="00DF3CB7"/>
    <w:rsid w:val="00DF6231"/>
    <w:rsid w:val="00DF6975"/>
    <w:rsid w:val="00E00DB9"/>
    <w:rsid w:val="00E02078"/>
    <w:rsid w:val="00E026B9"/>
    <w:rsid w:val="00E026CB"/>
    <w:rsid w:val="00E05870"/>
    <w:rsid w:val="00E06C12"/>
    <w:rsid w:val="00E0713D"/>
    <w:rsid w:val="00E10A76"/>
    <w:rsid w:val="00E12C8C"/>
    <w:rsid w:val="00E13495"/>
    <w:rsid w:val="00E15B6D"/>
    <w:rsid w:val="00E162C0"/>
    <w:rsid w:val="00E20326"/>
    <w:rsid w:val="00E20353"/>
    <w:rsid w:val="00E205D2"/>
    <w:rsid w:val="00E2147A"/>
    <w:rsid w:val="00E21C9B"/>
    <w:rsid w:val="00E22682"/>
    <w:rsid w:val="00E25096"/>
    <w:rsid w:val="00E25AFC"/>
    <w:rsid w:val="00E27C90"/>
    <w:rsid w:val="00E30038"/>
    <w:rsid w:val="00E302EA"/>
    <w:rsid w:val="00E3037F"/>
    <w:rsid w:val="00E30937"/>
    <w:rsid w:val="00E31F2A"/>
    <w:rsid w:val="00E31F92"/>
    <w:rsid w:val="00E3266F"/>
    <w:rsid w:val="00E33DF6"/>
    <w:rsid w:val="00E34471"/>
    <w:rsid w:val="00E40592"/>
    <w:rsid w:val="00E40D41"/>
    <w:rsid w:val="00E410B3"/>
    <w:rsid w:val="00E41468"/>
    <w:rsid w:val="00E41DED"/>
    <w:rsid w:val="00E423DE"/>
    <w:rsid w:val="00E42F31"/>
    <w:rsid w:val="00E42FFD"/>
    <w:rsid w:val="00E43A79"/>
    <w:rsid w:val="00E43D84"/>
    <w:rsid w:val="00E44722"/>
    <w:rsid w:val="00E44D18"/>
    <w:rsid w:val="00E45D30"/>
    <w:rsid w:val="00E472AB"/>
    <w:rsid w:val="00E52605"/>
    <w:rsid w:val="00E5267F"/>
    <w:rsid w:val="00E53A8A"/>
    <w:rsid w:val="00E5589F"/>
    <w:rsid w:val="00E5694F"/>
    <w:rsid w:val="00E578D9"/>
    <w:rsid w:val="00E602B9"/>
    <w:rsid w:val="00E62766"/>
    <w:rsid w:val="00E64439"/>
    <w:rsid w:val="00E64481"/>
    <w:rsid w:val="00E64C2C"/>
    <w:rsid w:val="00E6775B"/>
    <w:rsid w:val="00E71E6F"/>
    <w:rsid w:val="00E721BB"/>
    <w:rsid w:val="00E72B32"/>
    <w:rsid w:val="00E76646"/>
    <w:rsid w:val="00E80169"/>
    <w:rsid w:val="00E801C5"/>
    <w:rsid w:val="00E804E7"/>
    <w:rsid w:val="00E808A2"/>
    <w:rsid w:val="00E810BC"/>
    <w:rsid w:val="00E82470"/>
    <w:rsid w:val="00E82E72"/>
    <w:rsid w:val="00E83815"/>
    <w:rsid w:val="00E84F1E"/>
    <w:rsid w:val="00E857DA"/>
    <w:rsid w:val="00E86028"/>
    <w:rsid w:val="00E86322"/>
    <w:rsid w:val="00E86F68"/>
    <w:rsid w:val="00E87344"/>
    <w:rsid w:val="00E87BCC"/>
    <w:rsid w:val="00E9413D"/>
    <w:rsid w:val="00E94AEA"/>
    <w:rsid w:val="00E96333"/>
    <w:rsid w:val="00EA1815"/>
    <w:rsid w:val="00EA2DAC"/>
    <w:rsid w:val="00EA2F50"/>
    <w:rsid w:val="00EA3414"/>
    <w:rsid w:val="00EA3E57"/>
    <w:rsid w:val="00EA42A6"/>
    <w:rsid w:val="00EA4528"/>
    <w:rsid w:val="00EA577F"/>
    <w:rsid w:val="00EA6EAE"/>
    <w:rsid w:val="00EA78BD"/>
    <w:rsid w:val="00EB3BA7"/>
    <w:rsid w:val="00EB6503"/>
    <w:rsid w:val="00EB6A08"/>
    <w:rsid w:val="00EB73F8"/>
    <w:rsid w:val="00EC0C06"/>
    <w:rsid w:val="00EC0DCB"/>
    <w:rsid w:val="00EC1087"/>
    <w:rsid w:val="00EC1BA0"/>
    <w:rsid w:val="00EC2FF9"/>
    <w:rsid w:val="00EC7FAB"/>
    <w:rsid w:val="00ED1C90"/>
    <w:rsid w:val="00ED1CC6"/>
    <w:rsid w:val="00ED2172"/>
    <w:rsid w:val="00ED33C3"/>
    <w:rsid w:val="00ED4EC1"/>
    <w:rsid w:val="00ED5293"/>
    <w:rsid w:val="00ED72EC"/>
    <w:rsid w:val="00ED77DE"/>
    <w:rsid w:val="00EE155B"/>
    <w:rsid w:val="00EE1FFF"/>
    <w:rsid w:val="00EE49E1"/>
    <w:rsid w:val="00EE546B"/>
    <w:rsid w:val="00EE5684"/>
    <w:rsid w:val="00EE64F7"/>
    <w:rsid w:val="00EF2AEA"/>
    <w:rsid w:val="00EF3BDE"/>
    <w:rsid w:val="00EF4920"/>
    <w:rsid w:val="00EF617B"/>
    <w:rsid w:val="00EF6814"/>
    <w:rsid w:val="00F030B0"/>
    <w:rsid w:val="00F03D8E"/>
    <w:rsid w:val="00F03F92"/>
    <w:rsid w:val="00F05006"/>
    <w:rsid w:val="00F05110"/>
    <w:rsid w:val="00F0527F"/>
    <w:rsid w:val="00F0550E"/>
    <w:rsid w:val="00F07884"/>
    <w:rsid w:val="00F10DFC"/>
    <w:rsid w:val="00F110F8"/>
    <w:rsid w:val="00F11308"/>
    <w:rsid w:val="00F11492"/>
    <w:rsid w:val="00F12D0C"/>
    <w:rsid w:val="00F1355A"/>
    <w:rsid w:val="00F1735C"/>
    <w:rsid w:val="00F21416"/>
    <w:rsid w:val="00F2237B"/>
    <w:rsid w:val="00F24272"/>
    <w:rsid w:val="00F24AEF"/>
    <w:rsid w:val="00F24FB6"/>
    <w:rsid w:val="00F26119"/>
    <w:rsid w:val="00F26D1C"/>
    <w:rsid w:val="00F301D2"/>
    <w:rsid w:val="00F30C60"/>
    <w:rsid w:val="00F30C71"/>
    <w:rsid w:val="00F31B66"/>
    <w:rsid w:val="00F32675"/>
    <w:rsid w:val="00F32A87"/>
    <w:rsid w:val="00F3314D"/>
    <w:rsid w:val="00F3355B"/>
    <w:rsid w:val="00F33DE4"/>
    <w:rsid w:val="00F356F3"/>
    <w:rsid w:val="00F367C0"/>
    <w:rsid w:val="00F36A66"/>
    <w:rsid w:val="00F40D9C"/>
    <w:rsid w:val="00F410C9"/>
    <w:rsid w:val="00F41448"/>
    <w:rsid w:val="00F425D2"/>
    <w:rsid w:val="00F4299D"/>
    <w:rsid w:val="00F44B54"/>
    <w:rsid w:val="00F4580C"/>
    <w:rsid w:val="00F46002"/>
    <w:rsid w:val="00F475E7"/>
    <w:rsid w:val="00F508D6"/>
    <w:rsid w:val="00F512C7"/>
    <w:rsid w:val="00F52EC2"/>
    <w:rsid w:val="00F52F2E"/>
    <w:rsid w:val="00F55544"/>
    <w:rsid w:val="00F55AC1"/>
    <w:rsid w:val="00F6125C"/>
    <w:rsid w:val="00F613A3"/>
    <w:rsid w:val="00F62556"/>
    <w:rsid w:val="00F64432"/>
    <w:rsid w:val="00F64DCC"/>
    <w:rsid w:val="00F733D3"/>
    <w:rsid w:val="00F754B1"/>
    <w:rsid w:val="00F75860"/>
    <w:rsid w:val="00F77AA2"/>
    <w:rsid w:val="00F80D0E"/>
    <w:rsid w:val="00F81AB4"/>
    <w:rsid w:val="00F85687"/>
    <w:rsid w:val="00F8608D"/>
    <w:rsid w:val="00F87668"/>
    <w:rsid w:val="00F87D37"/>
    <w:rsid w:val="00F87E92"/>
    <w:rsid w:val="00F90D58"/>
    <w:rsid w:val="00F90FA8"/>
    <w:rsid w:val="00F91AEB"/>
    <w:rsid w:val="00F936B0"/>
    <w:rsid w:val="00F946F7"/>
    <w:rsid w:val="00F95289"/>
    <w:rsid w:val="00F95F93"/>
    <w:rsid w:val="00F96B72"/>
    <w:rsid w:val="00FA188D"/>
    <w:rsid w:val="00FA2034"/>
    <w:rsid w:val="00FA3694"/>
    <w:rsid w:val="00FA3DC1"/>
    <w:rsid w:val="00FA45BF"/>
    <w:rsid w:val="00FA5990"/>
    <w:rsid w:val="00FA69E9"/>
    <w:rsid w:val="00FB05EF"/>
    <w:rsid w:val="00FB114A"/>
    <w:rsid w:val="00FB189B"/>
    <w:rsid w:val="00FB1D48"/>
    <w:rsid w:val="00FB2EEE"/>
    <w:rsid w:val="00FB3F7E"/>
    <w:rsid w:val="00FB3FDB"/>
    <w:rsid w:val="00FB4967"/>
    <w:rsid w:val="00FB5635"/>
    <w:rsid w:val="00FB718A"/>
    <w:rsid w:val="00FB75D7"/>
    <w:rsid w:val="00FC4862"/>
    <w:rsid w:val="00FC50D5"/>
    <w:rsid w:val="00FC5E6F"/>
    <w:rsid w:val="00FC632F"/>
    <w:rsid w:val="00FC6EDB"/>
    <w:rsid w:val="00FD039A"/>
    <w:rsid w:val="00FD1388"/>
    <w:rsid w:val="00FD198E"/>
    <w:rsid w:val="00FD19B9"/>
    <w:rsid w:val="00FD1CBC"/>
    <w:rsid w:val="00FD2424"/>
    <w:rsid w:val="00FD2BCC"/>
    <w:rsid w:val="00FD4E28"/>
    <w:rsid w:val="00FD50F5"/>
    <w:rsid w:val="00FD5B3F"/>
    <w:rsid w:val="00FD62D1"/>
    <w:rsid w:val="00FD73C8"/>
    <w:rsid w:val="00FD7994"/>
    <w:rsid w:val="00FD7B21"/>
    <w:rsid w:val="00FD7ECE"/>
    <w:rsid w:val="00FE0FC9"/>
    <w:rsid w:val="00FE187A"/>
    <w:rsid w:val="00FE2943"/>
    <w:rsid w:val="00FE3006"/>
    <w:rsid w:val="00FE35B2"/>
    <w:rsid w:val="00FE3943"/>
    <w:rsid w:val="00FE47A6"/>
    <w:rsid w:val="00FE5702"/>
    <w:rsid w:val="00FE5765"/>
    <w:rsid w:val="00FE72EF"/>
    <w:rsid w:val="00FF0350"/>
    <w:rsid w:val="00FF43CA"/>
    <w:rsid w:val="00FF5B30"/>
    <w:rsid w:val="00FF7DEB"/>
    <w:rsid w:val="578E034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iPriority="99" w:semiHidden="0"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0" w:line="240" w:lineRule="auto"/>
      <w:textAlignment w:val="baseline"/>
    </w:pPr>
    <w:rPr>
      <w:rFonts w:ascii="Times New Roman" w:hAnsi="Times New Roman" w:eastAsia="Times New Roman" w:cs="AngsanaUPC"/>
      <w:sz w:val="32"/>
      <w:szCs w:val="32"/>
      <w:lang w:val="en-US" w:eastAsia="en-US" w:bidi="th-TH"/>
    </w:rPr>
  </w:style>
  <w:style w:type="paragraph" w:styleId="2">
    <w:name w:val="heading 1"/>
    <w:basedOn w:val="1"/>
    <w:next w:val="1"/>
    <w:link w:val="45"/>
    <w:qFormat/>
    <w:uiPriority w:val="9"/>
    <w:pPr>
      <w:keepNext/>
      <w:keepLines/>
      <w:spacing w:before="240"/>
      <w:outlineLvl w:val="0"/>
    </w:pPr>
    <w:rPr>
      <w:rFonts w:asciiTheme="majorHAnsi" w:hAnsiTheme="majorHAnsi" w:eastAsiaTheme="majorEastAsia" w:cstheme="majorBidi"/>
      <w:color w:val="376092" w:themeColor="accent1" w:themeShade="BF"/>
      <w:szCs w:val="40"/>
    </w:rPr>
  </w:style>
  <w:style w:type="paragraph" w:styleId="3">
    <w:name w:val="heading 2"/>
    <w:basedOn w:val="1"/>
    <w:next w:val="1"/>
    <w:link w:val="36"/>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33"/>
      <w14:textFill>
        <w14:solidFill>
          <w14:schemeClr w14:val="accent1"/>
        </w14:solidFill>
      </w14:textFill>
    </w:rPr>
  </w:style>
  <w:style w:type="paragraph" w:styleId="4">
    <w:name w:val="heading 6"/>
    <w:basedOn w:val="1"/>
    <w:next w:val="1"/>
    <w:link w:val="35"/>
    <w:unhideWhenUsed/>
    <w:qFormat/>
    <w:uiPriority w:val="9"/>
    <w:pPr>
      <w:keepNext/>
      <w:keepLines/>
      <w:spacing w:before="200"/>
      <w:outlineLvl w:val="5"/>
    </w:pPr>
    <w:rPr>
      <w:rFonts w:asciiTheme="majorHAnsi" w:hAnsiTheme="majorHAnsi" w:eastAsiaTheme="majorEastAsia" w:cstheme="majorBidi"/>
      <w:i/>
      <w:iCs/>
      <w:color w:val="254061" w:themeColor="accent1" w:themeShade="80"/>
      <w:szCs w:val="40"/>
    </w:rPr>
  </w:style>
  <w:style w:type="paragraph" w:styleId="5">
    <w:name w:val="heading 7"/>
    <w:basedOn w:val="1"/>
    <w:next w:val="1"/>
    <w:link w:val="25"/>
    <w:qFormat/>
    <w:uiPriority w:val="0"/>
    <w:pPr>
      <w:keepNext/>
      <w:ind w:right="-77"/>
      <w:jc w:val="thaiDistribute"/>
      <w:outlineLvl w:val="6"/>
    </w:pPr>
    <w:rPr>
      <w:rFonts w:ascii="Angsana New" w:hAnsi="Angsana New" w:cs="Angsana New"/>
      <w:sz w:val="22"/>
      <w:szCs w:val="22"/>
      <w:u w:val="single"/>
    </w:rPr>
  </w:style>
  <w:style w:type="paragraph" w:styleId="6">
    <w:name w:val="heading 8"/>
    <w:basedOn w:val="1"/>
    <w:next w:val="1"/>
    <w:link w:val="26"/>
    <w:qFormat/>
    <w:uiPriority w:val="0"/>
    <w:pPr>
      <w:keepNext/>
      <w:tabs>
        <w:tab w:val="left" w:pos="2160"/>
        <w:tab w:val="right" w:pos="6480"/>
        <w:tab w:val="right" w:pos="8640"/>
      </w:tabs>
      <w:spacing w:line="240" w:lineRule="exact"/>
      <w:jc w:val="both"/>
      <w:outlineLvl w:val="7"/>
    </w:pPr>
    <w:rPr>
      <w:rFonts w:ascii="Angsana New" w:hAnsi="Angsana New"/>
      <w:b/>
      <w:bCs/>
      <w:sz w:val="20"/>
      <w:szCs w:val="20"/>
      <w:u w:val="single"/>
    </w:rPr>
  </w:style>
  <w:style w:type="character" w:default="1" w:styleId="7">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37"/>
    <w:semiHidden/>
    <w:unhideWhenUsed/>
    <w:uiPriority w:val="99"/>
    <w:rPr>
      <w:rFonts w:ascii="Tahoma" w:hAnsi="Tahoma" w:cs="Angsana New"/>
      <w:sz w:val="16"/>
      <w:szCs w:val="20"/>
    </w:rPr>
  </w:style>
  <w:style w:type="paragraph" w:styleId="10">
    <w:name w:val="Block Text"/>
    <w:basedOn w:val="1"/>
    <w:qFormat/>
    <w:uiPriority w:val="99"/>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styleId="11">
    <w:name w:val="Body Text"/>
    <w:basedOn w:val="1"/>
    <w:link w:val="33"/>
    <w:semiHidden/>
    <w:unhideWhenUsed/>
    <w:qFormat/>
    <w:uiPriority w:val="99"/>
    <w:pPr>
      <w:spacing w:after="120"/>
    </w:pPr>
    <w:rPr>
      <w:rFonts w:cs="Angsana New"/>
      <w:szCs w:val="40"/>
    </w:rPr>
  </w:style>
  <w:style w:type="paragraph" w:styleId="12">
    <w:name w:val="Body Text 2"/>
    <w:basedOn w:val="1"/>
    <w:link w:val="31"/>
    <w:qFormat/>
    <w:uiPriority w:val="0"/>
    <w:pPr>
      <w:spacing w:after="120" w:line="480" w:lineRule="auto"/>
    </w:pPr>
  </w:style>
  <w:style w:type="paragraph" w:styleId="13">
    <w:name w:val="Body Text Indent"/>
    <w:basedOn w:val="1"/>
    <w:link w:val="28"/>
    <w:qFormat/>
    <w:uiPriority w:val="0"/>
    <w:pPr>
      <w:spacing w:before="240" w:after="240" w:line="380" w:lineRule="exact"/>
      <w:ind w:left="360" w:hanging="360"/>
      <w:jc w:val="thaiDistribute"/>
    </w:pPr>
    <w:rPr>
      <w:rFonts w:ascii="Angsana New" w:hAnsi="Angsana New" w:cs="Angsana New"/>
    </w:rPr>
  </w:style>
  <w:style w:type="paragraph" w:styleId="14">
    <w:name w:val="Body Text Indent 2"/>
    <w:basedOn w:val="1"/>
    <w:link w:val="29"/>
    <w:qFormat/>
    <w:uiPriority w:val="0"/>
    <w:pPr>
      <w:spacing w:before="120" w:after="120" w:line="380" w:lineRule="exact"/>
      <w:ind w:left="360"/>
      <w:jc w:val="thaiDistribute"/>
    </w:pPr>
    <w:rPr>
      <w:rFonts w:ascii="Angsana New" w:hAnsi="Angsana New" w:cs="Angsana New"/>
    </w:rPr>
  </w:style>
  <w:style w:type="paragraph" w:styleId="15">
    <w:name w:val="Body Text Indent 3"/>
    <w:basedOn w:val="1"/>
    <w:link w:val="34"/>
    <w:unhideWhenUsed/>
    <w:qFormat/>
    <w:uiPriority w:val="99"/>
    <w:pPr>
      <w:spacing w:after="120"/>
      <w:ind w:left="283"/>
    </w:pPr>
    <w:rPr>
      <w:rFonts w:cs="Angsana New"/>
      <w:sz w:val="16"/>
      <w:szCs w:val="20"/>
    </w:rPr>
  </w:style>
  <w:style w:type="character" w:styleId="16">
    <w:name w:val="annotation reference"/>
    <w:basedOn w:val="7"/>
    <w:semiHidden/>
    <w:unhideWhenUsed/>
    <w:uiPriority w:val="99"/>
    <w:rPr>
      <w:sz w:val="16"/>
      <w:szCs w:val="16"/>
    </w:rPr>
  </w:style>
  <w:style w:type="paragraph" w:styleId="17">
    <w:name w:val="annotation text"/>
    <w:basedOn w:val="1"/>
    <w:link w:val="50"/>
    <w:semiHidden/>
    <w:unhideWhenUsed/>
    <w:uiPriority w:val="99"/>
    <w:rPr>
      <w:rFonts w:cs="Angsana New"/>
      <w:sz w:val="20"/>
      <w:szCs w:val="25"/>
    </w:rPr>
  </w:style>
  <w:style w:type="paragraph" w:styleId="18">
    <w:name w:val="annotation subject"/>
    <w:basedOn w:val="17"/>
    <w:next w:val="17"/>
    <w:link w:val="51"/>
    <w:semiHidden/>
    <w:unhideWhenUsed/>
    <w:uiPriority w:val="99"/>
    <w:rPr>
      <w:b/>
      <w:bCs/>
    </w:rPr>
  </w:style>
  <w:style w:type="paragraph" w:styleId="19">
    <w:name w:val="footer"/>
    <w:basedOn w:val="1"/>
    <w:link w:val="27"/>
    <w:qFormat/>
    <w:uiPriority w:val="99"/>
    <w:pPr>
      <w:tabs>
        <w:tab w:val="center" w:pos="4153"/>
        <w:tab w:val="right" w:pos="8306"/>
      </w:tabs>
    </w:pPr>
  </w:style>
  <w:style w:type="paragraph" w:styleId="20">
    <w:name w:val="header"/>
    <w:basedOn w:val="1"/>
    <w:link w:val="30"/>
    <w:qFormat/>
    <w:uiPriority w:val="0"/>
    <w:pPr>
      <w:tabs>
        <w:tab w:val="center" w:pos="4320"/>
        <w:tab w:val="right" w:pos="8640"/>
      </w:tabs>
    </w:pPr>
  </w:style>
  <w:style w:type="paragraph" w:styleId="21">
    <w:name w:val="HTML Preformatted"/>
    <w:basedOn w:val="1"/>
    <w:link w:val="47"/>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22">
    <w:name w:val="List Bullet 5"/>
    <w:basedOn w:val="1"/>
    <w:qFormat/>
    <w:uiPriority w:val="0"/>
    <w:pPr>
      <w:spacing w:line="330" w:lineRule="exact"/>
      <w:ind w:left="252" w:hanging="252"/>
    </w:pPr>
    <w:rPr>
      <w:rFonts w:ascii="Arial" w:hAnsi="Arial" w:cs="Arial"/>
      <w:spacing w:val="-6"/>
      <w:sz w:val="18"/>
      <w:szCs w:val="18"/>
    </w:rPr>
  </w:style>
  <w:style w:type="character" w:styleId="23">
    <w:name w:val="page number"/>
    <w:basedOn w:val="7"/>
    <w:qFormat/>
    <w:uiPriority w:val="0"/>
  </w:style>
  <w:style w:type="table" w:styleId="24">
    <w:name w:val="Table Grid"/>
    <w:basedOn w:val="8"/>
    <w:qFormat/>
    <w:uiPriority w:val="59"/>
    <w:pPr>
      <w:overflowPunct w:val="0"/>
      <w:autoSpaceDE w:val="0"/>
      <w:autoSpaceDN w:val="0"/>
      <w:adjustRightInd w:val="0"/>
      <w:spacing w:after="0" w:line="240" w:lineRule="auto"/>
    </w:pPr>
    <w:rPr>
      <w:rFonts w:ascii="Tms Rmn" w:hAnsi="Tms Rmn" w:eastAsia="Times New Roman" w:cs="Angsana New"/>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
    <w:name w:val="Heading 7 Char"/>
    <w:basedOn w:val="7"/>
    <w:link w:val="5"/>
    <w:qFormat/>
    <w:uiPriority w:val="0"/>
    <w:rPr>
      <w:rFonts w:ascii="Angsana New" w:hAnsi="Angsana New" w:eastAsia="Times New Roman" w:cs="Angsana New"/>
      <w:szCs w:val="22"/>
      <w:u w:val="single"/>
    </w:rPr>
  </w:style>
  <w:style w:type="character" w:customStyle="1" w:styleId="26">
    <w:name w:val="Heading 8 Char"/>
    <w:basedOn w:val="7"/>
    <w:link w:val="6"/>
    <w:qFormat/>
    <w:uiPriority w:val="0"/>
    <w:rPr>
      <w:rFonts w:ascii="Angsana New" w:hAnsi="Angsana New" w:eastAsia="Times New Roman" w:cs="AngsanaUPC"/>
      <w:b/>
      <w:bCs/>
      <w:sz w:val="20"/>
      <w:szCs w:val="20"/>
      <w:u w:val="single"/>
    </w:rPr>
  </w:style>
  <w:style w:type="character" w:customStyle="1" w:styleId="27">
    <w:name w:val="Footer Char"/>
    <w:basedOn w:val="7"/>
    <w:link w:val="19"/>
    <w:qFormat/>
    <w:uiPriority w:val="99"/>
    <w:rPr>
      <w:rFonts w:ascii="Times New Roman" w:hAnsi="Times New Roman" w:eastAsia="Times New Roman" w:cs="AngsanaUPC"/>
      <w:sz w:val="32"/>
      <w:szCs w:val="32"/>
    </w:rPr>
  </w:style>
  <w:style w:type="character" w:customStyle="1" w:styleId="28">
    <w:name w:val="Body Text Indent Char"/>
    <w:basedOn w:val="7"/>
    <w:link w:val="13"/>
    <w:qFormat/>
    <w:uiPriority w:val="0"/>
    <w:rPr>
      <w:rFonts w:ascii="Angsana New" w:hAnsi="Angsana New" w:eastAsia="Times New Roman" w:cs="Angsana New"/>
      <w:sz w:val="32"/>
      <w:szCs w:val="32"/>
    </w:rPr>
  </w:style>
  <w:style w:type="character" w:customStyle="1" w:styleId="29">
    <w:name w:val="Body Text Indent 2 Char"/>
    <w:basedOn w:val="7"/>
    <w:link w:val="14"/>
    <w:qFormat/>
    <w:uiPriority w:val="0"/>
    <w:rPr>
      <w:rFonts w:ascii="Angsana New" w:hAnsi="Angsana New" w:eastAsia="Times New Roman" w:cs="Angsana New"/>
      <w:sz w:val="32"/>
      <w:szCs w:val="32"/>
    </w:rPr>
  </w:style>
  <w:style w:type="character" w:customStyle="1" w:styleId="30">
    <w:name w:val="Header Char"/>
    <w:basedOn w:val="7"/>
    <w:link w:val="20"/>
    <w:uiPriority w:val="0"/>
    <w:rPr>
      <w:rFonts w:ascii="Times New Roman" w:hAnsi="Times New Roman" w:eastAsia="Times New Roman" w:cs="AngsanaUPC"/>
      <w:sz w:val="32"/>
      <w:szCs w:val="32"/>
    </w:rPr>
  </w:style>
  <w:style w:type="character" w:customStyle="1" w:styleId="31">
    <w:name w:val="Body Text 2 Char"/>
    <w:basedOn w:val="7"/>
    <w:link w:val="12"/>
    <w:qFormat/>
    <w:uiPriority w:val="0"/>
    <w:rPr>
      <w:rFonts w:ascii="Times New Roman" w:hAnsi="Times New Roman" w:eastAsia="Times New Roman" w:cs="AngsanaUPC"/>
      <w:sz w:val="32"/>
      <w:szCs w:val="32"/>
    </w:rPr>
  </w:style>
  <w:style w:type="paragraph" w:customStyle="1" w:styleId="32">
    <w:name w:val="block"/>
    <w:basedOn w:val="11"/>
    <w:qFormat/>
    <w:uiPriority w:val="0"/>
    <w:pPr>
      <w:overflowPunct/>
      <w:autoSpaceDE/>
      <w:autoSpaceDN/>
      <w:adjustRightInd/>
      <w:spacing w:after="260" w:line="260" w:lineRule="atLeast"/>
      <w:ind w:left="567"/>
      <w:textAlignment w:val="auto"/>
    </w:pPr>
    <w:rPr>
      <w:rFonts w:cs="Times New Roman"/>
      <w:sz w:val="22"/>
      <w:szCs w:val="20"/>
      <w:lang w:val="en-GB" w:bidi="ar-SA"/>
    </w:rPr>
  </w:style>
  <w:style w:type="character" w:customStyle="1" w:styleId="33">
    <w:name w:val="Body Text Char"/>
    <w:basedOn w:val="7"/>
    <w:link w:val="11"/>
    <w:semiHidden/>
    <w:qFormat/>
    <w:uiPriority w:val="99"/>
    <w:rPr>
      <w:rFonts w:ascii="Times New Roman" w:hAnsi="Times New Roman" w:eastAsia="Times New Roman" w:cs="Angsana New"/>
      <w:sz w:val="32"/>
      <w:szCs w:val="40"/>
    </w:rPr>
  </w:style>
  <w:style w:type="character" w:customStyle="1" w:styleId="34">
    <w:name w:val="Body Text Indent 3 Char"/>
    <w:basedOn w:val="7"/>
    <w:link w:val="15"/>
    <w:uiPriority w:val="99"/>
    <w:rPr>
      <w:rFonts w:ascii="Times New Roman" w:hAnsi="Times New Roman" w:eastAsia="Times New Roman" w:cs="Angsana New"/>
      <w:sz w:val="16"/>
      <w:szCs w:val="20"/>
    </w:rPr>
  </w:style>
  <w:style w:type="character" w:customStyle="1" w:styleId="35">
    <w:name w:val="Heading 6 Char"/>
    <w:basedOn w:val="7"/>
    <w:link w:val="4"/>
    <w:uiPriority w:val="9"/>
    <w:rPr>
      <w:rFonts w:asciiTheme="majorHAnsi" w:hAnsiTheme="majorHAnsi" w:eastAsiaTheme="majorEastAsia" w:cstheme="majorBidi"/>
      <w:i/>
      <w:iCs/>
      <w:color w:val="254061" w:themeColor="accent1" w:themeShade="80"/>
      <w:sz w:val="32"/>
      <w:szCs w:val="40"/>
    </w:rPr>
  </w:style>
  <w:style w:type="character" w:customStyle="1" w:styleId="36">
    <w:name w:val="Heading 2 Char"/>
    <w:basedOn w:val="7"/>
    <w:link w:val="3"/>
    <w:qFormat/>
    <w:uiPriority w:val="9"/>
    <w:rPr>
      <w:rFonts w:asciiTheme="majorHAnsi" w:hAnsiTheme="majorHAnsi" w:eastAsiaTheme="majorEastAsia" w:cstheme="majorBidi"/>
      <w:b/>
      <w:bCs/>
      <w:color w:val="4F81BD" w:themeColor="accent1"/>
      <w:sz w:val="26"/>
      <w:szCs w:val="33"/>
      <w14:textFill>
        <w14:solidFill>
          <w14:schemeClr w14:val="accent1"/>
        </w14:solidFill>
      </w14:textFill>
    </w:rPr>
  </w:style>
  <w:style w:type="character" w:customStyle="1" w:styleId="37">
    <w:name w:val="Balloon Text Char"/>
    <w:basedOn w:val="7"/>
    <w:link w:val="9"/>
    <w:semiHidden/>
    <w:qFormat/>
    <w:uiPriority w:val="99"/>
    <w:rPr>
      <w:rFonts w:ascii="Tahoma" w:hAnsi="Tahoma" w:eastAsia="Times New Roman" w:cs="Angsana New"/>
      <w:sz w:val="16"/>
      <w:szCs w:val="20"/>
    </w:rPr>
  </w:style>
  <w:style w:type="paragraph" w:styleId="38">
    <w:name w:val="List Paragraph"/>
    <w:basedOn w:val="1"/>
    <w:link w:val="49"/>
    <w:qFormat/>
    <w:uiPriority w:val="34"/>
    <w:pPr>
      <w:overflowPunct/>
      <w:autoSpaceDE/>
      <w:autoSpaceDN/>
      <w:adjustRightInd/>
      <w:spacing w:after="160" w:line="259" w:lineRule="auto"/>
      <w:ind w:left="720"/>
      <w:contextualSpacing/>
      <w:textAlignment w:val="auto"/>
    </w:pPr>
    <w:rPr>
      <w:rFonts w:asciiTheme="minorHAnsi" w:hAnsiTheme="minorHAnsi" w:eastAsiaTheme="minorHAnsi" w:cstheme="minorBidi"/>
      <w:sz w:val="22"/>
      <w:szCs w:val="28"/>
    </w:rPr>
  </w:style>
  <w:style w:type="table" w:customStyle="1" w:styleId="39">
    <w:name w:val="Table Grid2"/>
    <w:basedOn w:val="8"/>
    <w:uiPriority w:val="59"/>
    <w:pPr>
      <w:overflowPunct w:val="0"/>
      <w:autoSpaceDE w:val="0"/>
      <w:autoSpaceDN w:val="0"/>
      <w:adjustRightInd w:val="0"/>
      <w:spacing w:after="0" w:line="240" w:lineRule="auto"/>
      <w:textAlignment w:val="baseline"/>
    </w:pPr>
    <w:rPr>
      <w:rFonts w:ascii="Tms Rmn" w:hAnsi="Tms Rmn" w:eastAsia="Times New Roman" w:cs="Angsana New"/>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
    <w:name w:val="Table Grid4"/>
    <w:basedOn w:val="8"/>
    <w:qFormat/>
    <w:uiPriority w:val="59"/>
    <w:pPr>
      <w:overflowPunct w:val="0"/>
      <w:autoSpaceDE w:val="0"/>
      <w:autoSpaceDN w:val="0"/>
      <w:adjustRightInd w:val="0"/>
      <w:spacing w:after="0" w:line="240" w:lineRule="auto"/>
      <w:textAlignment w:val="baseline"/>
    </w:pPr>
    <w:rPr>
      <w:rFonts w:ascii="Tms Rmn" w:hAnsi="Tms Rmn" w:eastAsia="Times New Roman" w:cs="Angsana New"/>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
    <w:name w:val="Table Grid5"/>
    <w:basedOn w:val="8"/>
    <w:qFormat/>
    <w:uiPriority w:val="59"/>
    <w:pPr>
      <w:overflowPunct w:val="0"/>
      <w:autoSpaceDE w:val="0"/>
      <w:autoSpaceDN w:val="0"/>
      <w:adjustRightInd w:val="0"/>
      <w:spacing w:after="0" w:line="240" w:lineRule="auto"/>
      <w:textAlignment w:val="baseline"/>
    </w:pPr>
    <w:rPr>
      <w:rFonts w:ascii="Tms Rmn" w:hAnsi="Tms Rmn" w:eastAsia="Times New Roman" w:cs="Angsana New"/>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
    <w:name w:val="Table Grid6"/>
    <w:basedOn w:val="8"/>
    <w:uiPriority w:val="59"/>
    <w:pPr>
      <w:overflowPunct w:val="0"/>
      <w:autoSpaceDE w:val="0"/>
      <w:autoSpaceDN w:val="0"/>
      <w:adjustRightInd w:val="0"/>
      <w:spacing w:after="0" w:line="240" w:lineRule="auto"/>
      <w:textAlignment w:val="baseline"/>
    </w:pPr>
    <w:rPr>
      <w:rFonts w:ascii="Tms Rmn" w:hAnsi="Tms Rmn" w:eastAsia="Times New Roman" w:cs="Angsana New"/>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
    <w:name w:val="EY Body text (solid)"/>
    <w:basedOn w:val="1"/>
    <w:link w:val="44"/>
    <w:qFormat/>
    <w:uiPriority w:val="0"/>
    <w:pPr>
      <w:tabs>
        <w:tab w:val="left" w:pos="907"/>
      </w:tabs>
      <w:suppressAutoHyphens/>
      <w:overflowPunct/>
      <w:autoSpaceDE/>
      <w:autoSpaceDN/>
      <w:adjustRightInd/>
      <w:spacing w:line="260" w:lineRule="atLeast"/>
      <w:textAlignment w:val="auto"/>
    </w:pPr>
    <w:rPr>
      <w:rFonts w:ascii="EYInterstate Light" w:hAnsi="EYInterstate Light" w:cs="Angsana New"/>
      <w:kern w:val="12"/>
      <w:sz w:val="22"/>
      <w:szCs w:val="24"/>
      <w:lang w:val="en-GB" w:bidi="ar-SA"/>
    </w:rPr>
  </w:style>
  <w:style w:type="character" w:customStyle="1" w:styleId="44">
    <w:name w:val="EY Body text (solid) Char"/>
    <w:link w:val="43"/>
    <w:uiPriority w:val="0"/>
    <w:rPr>
      <w:rFonts w:ascii="EYInterstate Light" w:hAnsi="EYInterstate Light" w:eastAsia="Times New Roman" w:cs="Angsana New"/>
      <w:kern w:val="12"/>
      <w:szCs w:val="24"/>
      <w:lang w:val="en-GB" w:bidi="ar-SA"/>
    </w:rPr>
  </w:style>
  <w:style w:type="character" w:customStyle="1" w:styleId="45">
    <w:name w:val="Heading 1 Char"/>
    <w:basedOn w:val="7"/>
    <w:link w:val="2"/>
    <w:uiPriority w:val="9"/>
    <w:rPr>
      <w:rFonts w:asciiTheme="majorHAnsi" w:hAnsiTheme="majorHAnsi" w:eastAsiaTheme="majorEastAsia" w:cstheme="majorBidi"/>
      <w:color w:val="376092" w:themeColor="accent1" w:themeShade="BF"/>
      <w:sz w:val="32"/>
      <w:szCs w:val="40"/>
    </w:rPr>
  </w:style>
  <w:style w:type="paragraph" w:customStyle="1" w:styleId="46">
    <w:name w:val="เนื้อเรื่อง"/>
    <w:basedOn w:val="1"/>
    <w:uiPriority w:val="0"/>
    <w:pPr>
      <w:overflowPunct/>
      <w:autoSpaceDE/>
      <w:autoSpaceDN/>
      <w:adjustRightInd/>
      <w:ind w:right="386"/>
      <w:textAlignment w:val="auto"/>
    </w:pPr>
    <w:rPr>
      <w:rFonts w:eastAsia="Cordia New" w:cs="Cordia New"/>
      <w:sz w:val="28"/>
      <w:szCs w:val="28"/>
      <w:lang w:val="th-TH" w:eastAsia="th-TH"/>
    </w:rPr>
  </w:style>
  <w:style w:type="character" w:customStyle="1" w:styleId="47">
    <w:name w:val="HTML Preformatted Char"/>
    <w:basedOn w:val="7"/>
    <w:link w:val="21"/>
    <w:semiHidden/>
    <w:qFormat/>
    <w:uiPriority w:val="99"/>
    <w:rPr>
      <w:rFonts w:ascii="Courier New" w:hAnsi="Courier New" w:eastAsia="Times New Roman" w:cs="Courier New"/>
      <w:sz w:val="20"/>
      <w:szCs w:val="20"/>
    </w:rPr>
  </w:style>
  <w:style w:type="character" w:customStyle="1" w:styleId="48">
    <w:name w:val="y2iqfc"/>
    <w:basedOn w:val="7"/>
    <w:qFormat/>
    <w:uiPriority w:val="0"/>
  </w:style>
  <w:style w:type="character" w:customStyle="1" w:styleId="49">
    <w:name w:val="List Paragraph Char"/>
    <w:basedOn w:val="7"/>
    <w:link w:val="38"/>
    <w:locked/>
    <w:uiPriority w:val="34"/>
  </w:style>
  <w:style w:type="character" w:customStyle="1" w:styleId="50">
    <w:name w:val="Comment Text Char"/>
    <w:basedOn w:val="7"/>
    <w:link w:val="17"/>
    <w:semiHidden/>
    <w:uiPriority w:val="99"/>
    <w:rPr>
      <w:rFonts w:ascii="Times New Roman" w:hAnsi="Times New Roman" w:eastAsia="Times New Roman" w:cs="Angsana New"/>
      <w:sz w:val="20"/>
      <w:szCs w:val="25"/>
    </w:rPr>
  </w:style>
  <w:style w:type="character" w:customStyle="1" w:styleId="51">
    <w:name w:val="Comment Subject Char"/>
    <w:basedOn w:val="50"/>
    <w:link w:val="18"/>
    <w:semiHidden/>
    <w:uiPriority w:val="99"/>
    <w:rPr>
      <w:rFonts w:ascii="Times New Roman" w:hAnsi="Times New Roman" w:eastAsia="Times New Roman" w:cs="Angsana New"/>
      <w:b/>
      <w:bCs/>
      <w:sz w:val="20"/>
      <w:szCs w:val="25"/>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C8F0A-4190-4B34-A179-F80893978BC0}">
  <ds:schemaRefs/>
</ds:datastoreItem>
</file>

<file path=docProps/app.xml><?xml version="1.0" encoding="utf-8"?>
<Properties xmlns="http://schemas.openxmlformats.org/officeDocument/2006/extended-properties" xmlns:vt="http://schemas.openxmlformats.org/officeDocument/2006/docPropsVTypes">
  <Template>Normal.dotm</Template>
  <Company>Ernst &amp; Young</Company>
  <Pages>12</Pages>
  <Words>2712</Words>
  <Characters>15464</Characters>
  <Lines>128</Lines>
  <Paragraphs>36</Paragraphs>
  <TotalTime>103</TotalTime>
  <ScaleCrop>false</ScaleCrop>
  <LinksUpToDate>false</LinksUpToDate>
  <CharactersWithSpaces>18140</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2022-10-21T07:01:00Z</dcterms:created>
  <dc:creator>Ernst &amp; Young</dc:creator>
  <cp:lastModifiedBy>Malinee.Th</cp:lastModifiedBy>
  <cp:lastPrinted>2022-11-08T08:25:00Z</cp:lastPrinted>
  <dcterms:modified xsi:type="dcterms:W3CDTF">2022-11-11T05:55:41Z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6234881511094234AD0CBA6D54412414</vt:lpwstr>
  </property>
</Properties>
</file>