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78" w:type="dxa"/>
        <w:tblLook w:val="01E0" w:firstRow="1" w:lastRow="1" w:firstColumn="1" w:lastColumn="1" w:noHBand="0" w:noVBand="0"/>
      </w:tblPr>
      <w:tblGrid>
        <w:gridCol w:w="2718"/>
        <w:gridCol w:w="6960"/>
      </w:tblGrid>
      <w:tr w:rsidR="00B22EB9" w:rsidRPr="008960E9" w14:paraId="121D22DF" w14:textId="77777777" w:rsidTr="00FA2BFD">
        <w:trPr>
          <w:trHeight w:val="2865"/>
        </w:trPr>
        <w:tc>
          <w:tcPr>
            <w:tcW w:w="2718" w:type="dxa"/>
          </w:tcPr>
          <w:p w14:paraId="44F00A5F" w14:textId="77777777" w:rsidR="00B22EB9" w:rsidRPr="008960E9" w:rsidRDefault="00B22EB9" w:rsidP="00FA2BFD">
            <w:pPr>
              <w:rPr>
                <w:rFonts w:ascii="Angsana New" w:hAnsi="Angsana New"/>
                <w:sz w:val="36"/>
                <w:szCs w:val="36"/>
              </w:rPr>
            </w:pPr>
          </w:p>
        </w:tc>
        <w:tc>
          <w:tcPr>
            <w:tcW w:w="6960" w:type="dxa"/>
            <w:vAlign w:val="center"/>
          </w:tcPr>
          <w:p w14:paraId="47CAA5B2" w14:textId="77777777" w:rsidR="00B22EB9" w:rsidRPr="008960E9" w:rsidRDefault="00AA6BA1" w:rsidP="00D02B0B">
            <w:pPr>
              <w:spacing w:line="380" w:lineRule="exact"/>
              <w:ind w:left="-14" w:right="-43"/>
              <w:rPr>
                <w:rFonts w:hAnsi="Times New Roman"/>
                <w:color w:val="7F7E82"/>
                <w:sz w:val="28"/>
              </w:rPr>
            </w:pPr>
            <w:r w:rsidRPr="008960E9">
              <w:rPr>
                <w:rFonts w:hAnsi="Times New Roman"/>
                <w:color w:val="7F7E82"/>
                <w:sz w:val="28"/>
              </w:rPr>
              <w:t>Beyond</w:t>
            </w:r>
            <w:r w:rsidR="00FB1834" w:rsidRPr="008960E9">
              <w:rPr>
                <w:rFonts w:hAnsi="Times New Roman"/>
                <w:color w:val="7F7E82"/>
                <w:sz w:val="28"/>
              </w:rPr>
              <w:t xml:space="preserve"> </w:t>
            </w:r>
            <w:r w:rsidR="00B22EB9" w:rsidRPr="008960E9">
              <w:rPr>
                <w:rFonts w:hAnsi="Times New Roman"/>
                <w:color w:val="7F7E82"/>
                <w:sz w:val="28"/>
              </w:rPr>
              <w:t>Securities</w:t>
            </w:r>
            <w:r w:rsidR="00FB1834" w:rsidRPr="008960E9">
              <w:rPr>
                <w:rFonts w:hAnsi="Times New Roman"/>
                <w:color w:val="7F7E82"/>
                <w:sz w:val="28"/>
              </w:rPr>
              <w:t xml:space="preserve"> </w:t>
            </w:r>
            <w:r w:rsidRPr="008960E9">
              <w:rPr>
                <w:rFonts w:hAnsi="Times New Roman"/>
                <w:color w:val="7F7E82"/>
                <w:sz w:val="28"/>
              </w:rPr>
              <w:t xml:space="preserve">Public </w:t>
            </w:r>
            <w:r w:rsidR="00B22EB9" w:rsidRPr="008960E9">
              <w:rPr>
                <w:rFonts w:hAnsi="Times New Roman"/>
                <w:color w:val="7F7E82"/>
                <w:sz w:val="28"/>
              </w:rPr>
              <w:t xml:space="preserve">Company Limited </w:t>
            </w:r>
          </w:p>
          <w:p w14:paraId="44436692" w14:textId="77777777" w:rsidR="00B22EB9" w:rsidRPr="008960E9" w:rsidRDefault="00CA07ED" w:rsidP="00D02B0B">
            <w:pPr>
              <w:spacing w:line="380" w:lineRule="exact"/>
              <w:ind w:left="-14" w:right="-43"/>
              <w:rPr>
                <w:rFonts w:hAnsi="Times New Roman"/>
                <w:color w:val="7F7E82"/>
                <w:sz w:val="28"/>
              </w:rPr>
            </w:pPr>
            <w:r w:rsidRPr="008960E9">
              <w:rPr>
                <w:rFonts w:hAnsi="Times New Roman"/>
                <w:color w:val="7F7E82"/>
                <w:sz w:val="28"/>
              </w:rPr>
              <w:t>Review report and interim financial information</w:t>
            </w:r>
          </w:p>
          <w:p w14:paraId="68C2BEC3" w14:textId="68DD4A56" w:rsidR="00CA07ED" w:rsidRPr="008960E9" w:rsidRDefault="006C4D48" w:rsidP="00D02B0B">
            <w:pPr>
              <w:spacing w:line="380" w:lineRule="exact"/>
              <w:ind w:left="-14" w:right="-43"/>
              <w:rPr>
                <w:rFonts w:ascii="Angsana New" w:hAnsi="Angsana New"/>
                <w:sz w:val="36"/>
                <w:szCs w:val="36"/>
              </w:rPr>
            </w:pPr>
            <w:r w:rsidRPr="008960E9">
              <w:rPr>
                <w:rFonts w:hAnsi="Times New Roman"/>
                <w:color w:val="7F7E82"/>
                <w:sz w:val="28"/>
              </w:rPr>
              <w:t xml:space="preserve">For the </w:t>
            </w:r>
            <w:r w:rsidR="00680190" w:rsidRPr="00680190">
              <w:rPr>
                <w:rFonts w:hAnsi="Times New Roman"/>
                <w:color w:val="7F7E82"/>
                <w:sz w:val="28"/>
              </w:rPr>
              <w:t xml:space="preserve">three-month and </w:t>
            </w:r>
            <w:r w:rsidR="00DF6AE7">
              <w:rPr>
                <w:rFonts w:hAnsi="Times New Roman"/>
                <w:color w:val="7F7E82"/>
                <w:sz w:val="28"/>
              </w:rPr>
              <w:t xml:space="preserve">nine-month </w:t>
            </w:r>
            <w:r w:rsidRPr="008960E9">
              <w:rPr>
                <w:rFonts w:hAnsi="Times New Roman"/>
                <w:color w:val="7F7E82"/>
                <w:sz w:val="28"/>
              </w:rPr>
              <w:t xml:space="preserve">period </w:t>
            </w:r>
            <w:r w:rsidR="00FE1BE4">
              <w:rPr>
                <w:rFonts w:hAnsi="Times New Roman"/>
                <w:color w:val="7F7E82"/>
                <w:sz w:val="28"/>
              </w:rPr>
              <w:br/>
            </w:r>
            <w:r w:rsidRPr="008960E9">
              <w:rPr>
                <w:rFonts w:hAnsi="Times New Roman"/>
                <w:color w:val="7F7E82"/>
                <w:sz w:val="28"/>
              </w:rPr>
              <w:t xml:space="preserve">ended </w:t>
            </w:r>
            <w:r w:rsidR="00DF6AE7">
              <w:rPr>
                <w:rFonts w:hAnsi="Times New Roman"/>
                <w:color w:val="7F7E82"/>
                <w:sz w:val="28"/>
              </w:rPr>
              <w:t>30 September 2022</w:t>
            </w:r>
          </w:p>
        </w:tc>
      </w:tr>
    </w:tbl>
    <w:p w14:paraId="02CF8B4C" w14:textId="77777777" w:rsidR="00B22EB9" w:rsidRPr="008960E9" w:rsidRDefault="00B22EB9" w:rsidP="00B22EB9">
      <w:pPr>
        <w:sectPr w:rsidR="00B22EB9" w:rsidRPr="008960E9" w:rsidSect="00133DEB">
          <w:headerReference w:type="even" r:id="rId11"/>
          <w:headerReference w:type="default" r:id="rId12"/>
          <w:footerReference w:type="even" r:id="rId13"/>
          <w:footerReference w:type="default" r:id="rId14"/>
          <w:headerReference w:type="first" r:id="rId15"/>
          <w:footerReference w:type="first" r:id="rId16"/>
          <w:pgSz w:w="11909" w:h="16834" w:code="9"/>
          <w:pgMar w:top="2304" w:right="1080" w:bottom="11520" w:left="360" w:header="720" w:footer="720" w:gutter="0"/>
          <w:cols w:space="720"/>
          <w:titlePg/>
          <w:docGrid w:linePitch="360"/>
        </w:sectPr>
      </w:pPr>
    </w:p>
    <w:p w14:paraId="6F1FA49E" w14:textId="77777777" w:rsidR="00473A0F" w:rsidRPr="008960E9" w:rsidRDefault="00473A0F" w:rsidP="008960E9">
      <w:pPr>
        <w:keepNext/>
        <w:widowControl/>
        <w:tabs>
          <w:tab w:val="left" w:pos="2410"/>
        </w:tabs>
        <w:spacing w:line="380" w:lineRule="exact"/>
        <w:jc w:val="both"/>
        <w:outlineLvl w:val="3"/>
        <w:rPr>
          <w:rFonts w:ascii="Arial" w:hAnsi="Arial"/>
          <w:b/>
          <w:bCs/>
          <w:sz w:val="22"/>
          <w:szCs w:val="22"/>
        </w:rPr>
      </w:pPr>
      <w:r w:rsidRPr="008960E9">
        <w:rPr>
          <w:rFonts w:ascii="Arial" w:hAnsi="Arial"/>
          <w:b/>
          <w:bCs/>
          <w:sz w:val="22"/>
          <w:szCs w:val="22"/>
        </w:rPr>
        <w:lastRenderedPageBreak/>
        <w:t>Independent Auditor’s Report on Review of Interim Financial Information</w:t>
      </w:r>
    </w:p>
    <w:p w14:paraId="2BFB4294" w14:textId="77777777" w:rsidR="00473A0F" w:rsidRPr="008960E9" w:rsidRDefault="00473A0F" w:rsidP="008960E9">
      <w:pPr>
        <w:tabs>
          <w:tab w:val="left" w:pos="2410"/>
        </w:tabs>
        <w:spacing w:line="380" w:lineRule="exact"/>
        <w:jc w:val="both"/>
        <w:rPr>
          <w:rFonts w:ascii="Arial" w:hAnsi="Arial"/>
          <w:sz w:val="22"/>
          <w:szCs w:val="22"/>
        </w:rPr>
      </w:pPr>
      <w:r w:rsidRPr="008960E9">
        <w:rPr>
          <w:rFonts w:ascii="Arial" w:hAnsi="Arial"/>
          <w:sz w:val="22"/>
          <w:szCs w:val="22"/>
        </w:rPr>
        <w:t xml:space="preserve">To the Shareholders of </w:t>
      </w:r>
      <w:bookmarkStart w:id="0" w:name="_Hlk70293482"/>
      <w:r w:rsidR="00AA6BA1" w:rsidRPr="008960E9">
        <w:rPr>
          <w:rFonts w:ascii="Arial" w:hAnsi="Arial"/>
          <w:sz w:val="22"/>
          <w:szCs w:val="22"/>
        </w:rPr>
        <w:t>Beyond</w:t>
      </w:r>
      <w:r w:rsidR="00FB1834" w:rsidRPr="008960E9">
        <w:rPr>
          <w:rFonts w:ascii="Arial" w:hAnsi="Arial"/>
          <w:sz w:val="22"/>
          <w:szCs w:val="22"/>
        </w:rPr>
        <w:t xml:space="preserve"> Securities </w:t>
      </w:r>
      <w:r w:rsidR="00AA6BA1" w:rsidRPr="008960E9">
        <w:rPr>
          <w:rFonts w:ascii="Arial" w:hAnsi="Arial"/>
          <w:sz w:val="22"/>
          <w:szCs w:val="22"/>
        </w:rPr>
        <w:t xml:space="preserve">Public </w:t>
      </w:r>
      <w:r w:rsidR="00FB1834" w:rsidRPr="008960E9">
        <w:rPr>
          <w:rFonts w:ascii="Arial" w:hAnsi="Arial"/>
          <w:sz w:val="22"/>
          <w:szCs w:val="22"/>
        </w:rPr>
        <w:t>Company Limited</w:t>
      </w:r>
      <w:bookmarkEnd w:id="0"/>
    </w:p>
    <w:p w14:paraId="6135F803" w14:textId="0A4C6E42" w:rsidR="00BE53CF" w:rsidRPr="008960E9" w:rsidRDefault="00473A0F" w:rsidP="008960E9">
      <w:pPr>
        <w:spacing w:before="360" w:after="120" w:line="380" w:lineRule="exact"/>
        <w:rPr>
          <w:rFonts w:ascii="Arial" w:hAnsi="Arial" w:cs="Arial"/>
          <w:sz w:val="22"/>
          <w:szCs w:val="22"/>
        </w:rPr>
      </w:pPr>
      <w:r w:rsidRPr="008960E9">
        <w:rPr>
          <w:rFonts w:ascii="Arial" w:hAnsi="Arial" w:cs="Arial"/>
          <w:sz w:val="22"/>
          <w:szCs w:val="22"/>
        </w:rPr>
        <w:t xml:space="preserve">I have reviewed the accompanying statement of financial position </w:t>
      </w:r>
      <w:bookmarkStart w:id="1" w:name="_Hlk70293463"/>
      <w:r w:rsidR="00FB1834" w:rsidRPr="008960E9">
        <w:rPr>
          <w:rFonts w:ascii="Arial" w:hAnsi="Arial" w:cs="Arial"/>
          <w:sz w:val="22"/>
          <w:szCs w:val="22"/>
        </w:rPr>
        <w:t xml:space="preserve">in which the equity method is applied </w:t>
      </w:r>
      <w:bookmarkStart w:id="2" w:name="_Hlk70293061"/>
      <w:bookmarkEnd w:id="1"/>
      <w:r w:rsidRPr="008960E9">
        <w:rPr>
          <w:rFonts w:ascii="Arial" w:hAnsi="Arial" w:cs="Arial"/>
          <w:sz w:val="22"/>
          <w:szCs w:val="22"/>
        </w:rPr>
        <w:t xml:space="preserve">of </w:t>
      </w:r>
      <w:r w:rsidR="00AA6BA1" w:rsidRPr="008960E9">
        <w:rPr>
          <w:rFonts w:ascii="Arial" w:hAnsi="Arial" w:cs="Arial"/>
          <w:sz w:val="22"/>
          <w:szCs w:val="22"/>
        </w:rPr>
        <w:t>Beyond</w:t>
      </w:r>
      <w:r w:rsidR="00FB1834" w:rsidRPr="008960E9">
        <w:rPr>
          <w:rFonts w:ascii="Arial" w:hAnsi="Arial" w:cs="Arial"/>
          <w:sz w:val="22"/>
          <w:szCs w:val="22"/>
        </w:rPr>
        <w:t xml:space="preserve"> Securities </w:t>
      </w:r>
      <w:r w:rsidR="00AA6BA1" w:rsidRPr="008960E9">
        <w:rPr>
          <w:rFonts w:ascii="Arial" w:hAnsi="Arial" w:cs="Arial"/>
          <w:sz w:val="22"/>
          <w:szCs w:val="22"/>
        </w:rPr>
        <w:t xml:space="preserve">Public </w:t>
      </w:r>
      <w:r w:rsidR="00FB1834" w:rsidRPr="008960E9">
        <w:rPr>
          <w:rFonts w:ascii="Arial" w:hAnsi="Arial" w:cs="Arial"/>
          <w:sz w:val="22"/>
          <w:szCs w:val="22"/>
        </w:rPr>
        <w:t xml:space="preserve">Company Limited </w:t>
      </w:r>
      <w:bookmarkEnd w:id="2"/>
      <w:r w:rsidRPr="008960E9">
        <w:rPr>
          <w:rFonts w:ascii="Arial" w:hAnsi="Arial" w:cs="Arial"/>
          <w:sz w:val="22"/>
          <w:szCs w:val="22"/>
        </w:rPr>
        <w:t xml:space="preserve">as at </w:t>
      </w:r>
      <w:r w:rsidR="00DF6AE7">
        <w:rPr>
          <w:rFonts w:ascii="Arial" w:hAnsi="Arial" w:cs="Arial"/>
          <w:sz w:val="22"/>
          <w:szCs w:val="22"/>
        </w:rPr>
        <w:t>30 September 2022</w:t>
      </w:r>
      <w:r w:rsidRPr="008960E9">
        <w:rPr>
          <w:rFonts w:ascii="Arial" w:hAnsi="Arial" w:cs="Arial"/>
          <w:sz w:val="22"/>
          <w:szCs w:val="22"/>
        </w:rPr>
        <w:t>, the statements of comprehensive income</w:t>
      </w:r>
      <w:r w:rsidR="00D06E1F" w:rsidRPr="00114D73">
        <w:rPr>
          <w:rFonts w:ascii="Arial" w:eastAsia="Calibri" w:hAnsi="Arial" w:cs="Arial"/>
          <w:color w:val="000000"/>
          <w:sz w:val="22"/>
          <w:szCs w:val="22"/>
        </w:rPr>
        <w:t xml:space="preserve">, in which the equity method is applied, </w:t>
      </w:r>
      <w:r w:rsidR="00D06E1F" w:rsidRPr="00114D73">
        <w:rPr>
          <w:rFonts w:ascii="Arial" w:hAnsi="Arial" w:cs="Arial"/>
          <w:sz w:val="22"/>
          <w:szCs w:val="22"/>
        </w:rPr>
        <w:t xml:space="preserve">for the three-month and </w:t>
      </w:r>
      <w:r w:rsidR="00D02B0B">
        <w:rPr>
          <w:rFonts w:ascii="Arial" w:hAnsi="Arial" w:cs="Arial"/>
          <w:sz w:val="22"/>
          <w:szCs w:val="22"/>
        </w:rPr>
        <w:t xml:space="preserve">                                 </w:t>
      </w:r>
      <w:r w:rsidR="00D06E1F" w:rsidRPr="00114D73">
        <w:rPr>
          <w:rFonts w:ascii="Arial" w:hAnsi="Arial" w:cs="Arial"/>
          <w:sz w:val="22"/>
          <w:szCs w:val="22"/>
        </w:rPr>
        <w:t>nine-month periods</w:t>
      </w:r>
      <w:r w:rsidR="00D06E1F">
        <w:rPr>
          <w:rFonts w:ascii="Arial" w:hAnsi="Arial" w:cs="Arial"/>
          <w:sz w:val="22"/>
          <w:szCs w:val="22"/>
        </w:rPr>
        <w:t xml:space="preserve"> then </w:t>
      </w:r>
      <w:r w:rsidR="00D06E1F" w:rsidRPr="00114D73">
        <w:rPr>
          <w:rFonts w:ascii="Arial" w:hAnsi="Arial" w:cs="Arial"/>
          <w:sz w:val="22"/>
          <w:szCs w:val="22"/>
        </w:rPr>
        <w:t>ended</w:t>
      </w:r>
      <w:r w:rsidRPr="008960E9">
        <w:rPr>
          <w:rFonts w:ascii="Arial" w:hAnsi="Arial" w:cs="Arial"/>
          <w:sz w:val="22"/>
          <w:szCs w:val="22"/>
        </w:rPr>
        <w:t xml:space="preserve">, changes in owners’ equity </w:t>
      </w:r>
      <w:r w:rsidR="009F1EAA">
        <w:rPr>
          <w:rFonts w:ascii="Arial" w:hAnsi="Arial" w:cs="Arial"/>
          <w:sz w:val="22"/>
          <w:szCs w:val="22"/>
        </w:rPr>
        <w:t xml:space="preserve">in which the equity method is applied </w:t>
      </w:r>
      <w:r w:rsidRPr="008960E9">
        <w:rPr>
          <w:rFonts w:ascii="Arial" w:hAnsi="Arial" w:cs="Arial"/>
          <w:sz w:val="22"/>
          <w:szCs w:val="22"/>
        </w:rPr>
        <w:t>and cash flows</w:t>
      </w:r>
      <w:r w:rsidR="006C4D48" w:rsidRPr="008960E9">
        <w:rPr>
          <w:rFonts w:ascii="Arial" w:hAnsi="Arial" w:cs="Arial"/>
          <w:sz w:val="22"/>
          <w:szCs w:val="22"/>
        </w:rPr>
        <w:t xml:space="preserve"> in which the equity method is applied,</w:t>
      </w:r>
      <w:r w:rsidRPr="008960E9">
        <w:rPr>
          <w:rFonts w:ascii="Arial" w:hAnsi="Arial" w:cs="Arial"/>
          <w:sz w:val="22"/>
          <w:szCs w:val="22"/>
        </w:rPr>
        <w:t xml:space="preserve"> for the </w:t>
      </w:r>
      <w:r w:rsidR="00DF6AE7">
        <w:rPr>
          <w:rFonts w:ascii="Arial" w:hAnsi="Arial" w:cs="Arial"/>
          <w:sz w:val="22"/>
          <w:szCs w:val="22"/>
        </w:rPr>
        <w:t xml:space="preserve">nine-month </w:t>
      </w:r>
      <w:r w:rsidRPr="008960E9">
        <w:rPr>
          <w:rFonts w:ascii="Arial" w:hAnsi="Arial" w:cs="Arial"/>
          <w:sz w:val="22"/>
          <w:szCs w:val="22"/>
        </w:rPr>
        <w:t xml:space="preserve">period then ended, as well as the condensed notes to the </w:t>
      </w:r>
      <w:r w:rsidR="00FB1834" w:rsidRPr="008960E9">
        <w:rPr>
          <w:rFonts w:ascii="Arial" w:hAnsi="Arial" w:cs="Arial"/>
          <w:sz w:val="22"/>
          <w:szCs w:val="22"/>
        </w:rPr>
        <w:t xml:space="preserve">interim </w:t>
      </w:r>
      <w:r w:rsidRPr="008960E9">
        <w:rPr>
          <w:rFonts w:ascii="Arial" w:hAnsi="Arial" w:cs="Arial"/>
          <w:sz w:val="22"/>
          <w:szCs w:val="22"/>
        </w:rPr>
        <w:t>financial statements</w:t>
      </w:r>
      <w:r w:rsidRPr="008960E9">
        <w:rPr>
          <w:rFonts w:ascii="Arial" w:hAnsi="Arial" w:cs="Arial"/>
          <w:sz w:val="22"/>
          <w:szCs w:val="22"/>
          <w:cs/>
        </w:rPr>
        <w:t xml:space="preserve">. </w:t>
      </w:r>
      <w:r w:rsidRPr="008960E9">
        <w:rPr>
          <w:rFonts w:ascii="Arial" w:hAnsi="Arial" w:cs="Arial"/>
          <w:sz w:val="22"/>
          <w:szCs w:val="22"/>
        </w:rPr>
        <w:t>I have also reviewed the separate financial information of</w:t>
      </w:r>
      <w:r w:rsidR="00FB1834" w:rsidRPr="008960E9">
        <w:rPr>
          <w:rFonts w:ascii="Arial" w:hAnsi="Arial" w:cs="Arial"/>
          <w:sz w:val="22"/>
          <w:szCs w:val="22"/>
        </w:rPr>
        <w:t xml:space="preserve"> </w:t>
      </w:r>
      <w:r w:rsidR="00AA6BA1" w:rsidRPr="008960E9">
        <w:rPr>
          <w:rFonts w:ascii="Arial" w:hAnsi="Arial" w:cs="Arial"/>
          <w:sz w:val="22"/>
          <w:szCs w:val="22"/>
        </w:rPr>
        <w:t>Beyond</w:t>
      </w:r>
      <w:r w:rsidR="00FB1834" w:rsidRPr="008960E9">
        <w:rPr>
          <w:rFonts w:ascii="Arial" w:hAnsi="Arial" w:cs="Arial"/>
          <w:sz w:val="22"/>
          <w:szCs w:val="22"/>
        </w:rPr>
        <w:t xml:space="preserve"> Securities</w:t>
      </w:r>
      <w:r w:rsidR="00AA6BA1" w:rsidRPr="008960E9">
        <w:rPr>
          <w:rFonts w:ascii="Arial" w:hAnsi="Arial" w:cs="Arial"/>
          <w:sz w:val="22"/>
          <w:szCs w:val="22"/>
        </w:rPr>
        <w:t xml:space="preserve"> Public</w:t>
      </w:r>
      <w:r w:rsidR="00FB1834" w:rsidRPr="008960E9">
        <w:rPr>
          <w:rFonts w:ascii="Arial" w:hAnsi="Arial" w:cs="Arial"/>
          <w:sz w:val="22"/>
          <w:szCs w:val="22"/>
        </w:rPr>
        <w:t xml:space="preserve"> Company Limited </w:t>
      </w:r>
      <w:r w:rsidRPr="008960E9">
        <w:rPr>
          <w:rFonts w:ascii="Arial" w:hAnsi="Arial" w:cs="Arial"/>
          <w:sz w:val="22"/>
          <w:szCs w:val="22"/>
        </w:rPr>
        <w:t>for the same period</w:t>
      </w:r>
      <w:r w:rsidR="00CA07ED" w:rsidRPr="008960E9">
        <w:rPr>
          <w:rFonts w:ascii="Arial" w:hAnsi="Arial" w:cs="Arial"/>
          <w:sz w:val="22"/>
          <w:szCs w:val="22"/>
        </w:rPr>
        <w:t xml:space="preserve"> (collectively “interim financial information”).</w:t>
      </w:r>
      <w:r w:rsidRPr="008960E9">
        <w:rPr>
          <w:rFonts w:ascii="Arial" w:hAnsi="Arial" w:cs="Arial"/>
          <w:sz w:val="22"/>
          <w:szCs w:val="22"/>
        </w:rPr>
        <w:t xml:space="preserve"> Management is responsible for the preparation and presentation of this interim financial information in accordance with</w:t>
      </w:r>
      <w:r w:rsidRPr="008960E9">
        <w:rPr>
          <w:rFonts w:ascii="Arial" w:hAnsi="Arial" w:cs="Arial"/>
          <w:sz w:val="22"/>
          <w:szCs w:val="22"/>
          <w:cs/>
        </w:rPr>
        <w:t xml:space="preserve"> </w:t>
      </w:r>
      <w:r w:rsidRPr="008960E9">
        <w:rPr>
          <w:rFonts w:ascii="Arial" w:hAnsi="Arial" w:cs="Arial"/>
          <w:sz w:val="22"/>
          <w:szCs w:val="22"/>
        </w:rPr>
        <w:t>Thai Accounting Standard 34 Interim Financial Reporting. My responsibility is to express a conclusion on this interim financial information based on my review.</w:t>
      </w:r>
    </w:p>
    <w:p w14:paraId="6E787988" w14:textId="77777777" w:rsidR="00473A0F" w:rsidRPr="008960E9" w:rsidRDefault="00473A0F" w:rsidP="008960E9">
      <w:pPr>
        <w:spacing w:before="120" w:after="120" w:line="380" w:lineRule="exact"/>
        <w:rPr>
          <w:rFonts w:ascii="Arial" w:hAnsi="Arial" w:cs="Arial"/>
          <w:sz w:val="22"/>
          <w:szCs w:val="22"/>
        </w:rPr>
      </w:pPr>
      <w:r w:rsidRPr="008960E9">
        <w:rPr>
          <w:rFonts w:ascii="Arial" w:hAnsi="Arial" w:cs="Arial"/>
          <w:b/>
          <w:bCs/>
          <w:sz w:val="22"/>
          <w:szCs w:val="22"/>
        </w:rPr>
        <w:t>Scope of Review</w:t>
      </w:r>
    </w:p>
    <w:p w14:paraId="1EDB4C92" w14:textId="77777777" w:rsidR="00BE53CF" w:rsidRPr="008960E9" w:rsidRDefault="00FB1834" w:rsidP="008960E9">
      <w:pPr>
        <w:spacing w:before="120" w:after="120" w:line="380" w:lineRule="exact"/>
        <w:rPr>
          <w:rFonts w:ascii="Arial" w:hAnsi="Arial" w:cs="Arial"/>
          <w:sz w:val="22"/>
          <w:szCs w:val="22"/>
        </w:rPr>
      </w:pPr>
      <w:r w:rsidRPr="008960E9">
        <w:rPr>
          <w:rFonts w:ascii="Arial" w:hAnsi="Arial" w:cs="Arial"/>
          <w:sz w:val="22"/>
          <w:szCs w:val="22"/>
        </w:rPr>
        <w:t xml:space="preserve">I conducted my review in accordance with Thai Standard on Review Engagements </w:t>
      </w:r>
      <w:r w:rsidRPr="008960E9">
        <w:rPr>
          <w:rFonts w:ascii="Arial" w:hAnsi="Arial" w:cs="Arial"/>
          <w:sz w:val="22"/>
          <w:szCs w:val="22"/>
          <w:cs/>
        </w:rPr>
        <w:t>2410</w:t>
      </w:r>
      <w:r w:rsidRPr="008960E9">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E1541BF" w14:textId="77777777" w:rsidR="008960E9" w:rsidRDefault="008960E9" w:rsidP="008960E9">
      <w:pPr>
        <w:spacing w:before="120" w:after="120" w:line="380" w:lineRule="exact"/>
        <w:rPr>
          <w:rFonts w:ascii="Arial" w:hAnsi="Arial" w:cs="Arial"/>
          <w:b/>
          <w:bCs/>
          <w:sz w:val="22"/>
          <w:szCs w:val="22"/>
        </w:rPr>
      </w:pPr>
    </w:p>
    <w:p w14:paraId="70882BE1" w14:textId="77777777" w:rsidR="008960E9" w:rsidRDefault="008960E9" w:rsidP="008960E9">
      <w:pPr>
        <w:spacing w:before="120" w:after="120" w:line="380" w:lineRule="exact"/>
        <w:rPr>
          <w:rFonts w:ascii="Arial" w:hAnsi="Arial" w:cs="Arial"/>
          <w:b/>
          <w:bCs/>
          <w:sz w:val="22"/>
          <w:szCs w:val="22"/>
        </w:rPr>
        <w:sectPr w:rsidR="008960E9" w:rsidSect="008960E9">
          <w:footerReference w:type="first" r:id="rId17"/>
          <w:pgSz w:w="11909" w:h="16834" w:code="9"/>
          <w:pgMar w:top="3600" w:right="1080" w:bottom="1080" w:left="1296" w:header="706" w:footer="706" w:gutter="0"/>
          <w:pgNumType w:start="2"/>
          <w:cols w:space="720"/>
          <w:titlePg/>
          <w:docGrid w:linePitch="360"/>
        </w:sectPr>
      </w:pPr>
    </w:p>
    <w:p w14:paraId="33083B5E" w14:textId="77777777" w:rsidR="00BE53CF" w:rsidRPr="00DE0656" w:rsidRDefault="00FD799A" w:rsidP="00DE0656">
      <w:pPr>
        <w:spacing w:before="120" w:after="120" w:line="380" w:lineRule="exact"/>
        <w:rPr>
          <w:rFonts w:ascii="Arial" w:hAnsi="Arial" w:cs="Arial"/>
          <w:b/>
          <w:bCs/>
          <w:sz w:val="22"/>
          <w:szCs w:val="22"/>
        </w:rPr>
      </w:pPr>
      <w:r>
        <w:rPr>
          <w:rFonts w:ascii="Arial" w:hAnsi="Arial" w:cs="Arial"/>
          <w:b/>
          <w:bCs/>
          <w:sz w:val="22"/>
          <w:szCs w:val="22"/>
        </w:rPr>
        <w:lastRenderedPageBreak/>
        <w:t>Conclusion</w:t>
      </w:r>
    </w:p>
    <w:p w14:paraId="5DDA5CE3" w14:textId="77777777" w:rsidR="00273DA9" w:rsidRPr="00DE0656" w:rsidRDefault="00FB1834" w:rsidP="00DE0656">
      <w:pPr>
        <w:pStyle w:val="BodyText3"/>
        <w:spacing w:before="120" w:line="380" w:lineRule="exact"/>
        <w:rPr>
          <w:rFonts w:ascii="Arial" w:hAnsi="Arial" w:cs="Arial"/>
          <w:sz w:val="22"/>
          <w:szCs w:val="22"/>
        </w:rPr>
      </w:pPr>
      <w:r w:rsidRPr="00DE0656">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Pr="00DE0656">
        <w:rPr>
          <w:rFonts w:ascii="Arial" w:hAnsi="Arial"/>
          <w:sz w:val="22"/>
          <w:szCs w:val="22"/>
        </w:rPr>
        <w:t xml:space="preserve"> </w:t>
      </w:r>
    </w:p>
    <w:p w14:paraId="1D2A6535" w14:textId="77777777" w:rsidR="00DE0656" w:rsidRPr="00DE0656" w:rsidRDefault="00DE0656" w:rsidP="00DE0656">
      <w:pPr>
        <w:spacing w:before="120" w:after="120" w:line="380" w:lineRule="exact"/>
        <w:rPr>
          <w:rFonts w:ascii="Arial" w:hAnsi="Arial" w:cs="Arial"/>
          <w:b/>
          <w:bCs/>
          <w:sz w:val="22"/>
          <w:szCs w:val="22"/>
        </w:rPr>
      </w:pPr>
      <w:r w:rsidRPr="00DE0656">
        <w:rPr>
          <w:rFonts w:ascii="Arial" w:hAnsi="Arial" w:cs="Arial"/>
          <w:b/>
          <w:bCs/>
          <w:sz w:val="22"/>
          <w:szCs w:val="22"/>
        </w:rPr>
        <w:t xml:space="preserve">Emphasis of </w:t>
      </w:r>
      <w:r w:rsidRPr="00DE0656">
        <w:rPr>
          <w:rFonts w:ascii="Arial" w:hAnsi="Arial"/>
          <w:b/>
          <w:bCs/>
          <w:sz w:val="22"/>
          <w:szCs w:val="22"/>
        </w:rPr>
        <w:t>M</w:t>
      </w:r>
      <w:r w:rsidRPr="00DE0656">
        <w:rPr>
          <w:rFonts w:ascii="Arial" w:hAnsi="Arial" w:cs="Arial"/>
          <w:b/>
          <w:bCs/>
          <w:sz w:val="22"/>
          <w:szCs w:val="22"/>
        </w:rPr>
        <w:t>atter</w:t>
      </w:r>
    </w:p>
    <w:p w14:paraId="7E795594" w14:textId="77777777" w:rsidR="00DE0656" w:rsidRPr="00DE0656" w:rsidRDefault="00DE0656" w:rsidP="00DE0656">
      <w:pPr>
        <w:spacing w:before="120" w:after="120" w:line="380" w:lineRule="exact"/>
        <w:rPr>
          <w:rFonts w:ascii="Arial" w:hAnsi="Arial" w:cs="Arial"/>
          <w:sz w:val="22"/>
          <w:szCs w:val="22"/>
        </w:rPr>
      </w:pPr>
      <w:r w:rsidRPr="00DE0656">
        <w:rPr>
          <w:rFonts w:ascii="Arial" w:hAnsi="Arial" w:cs="Arial"/>
          <w:sz w:val="22"/>
          <w:szCs w:val="22"/>
        </w:rPr>
        <w:t>I draw attention to</w:t>
      </w:r>
      <w:r w:rsidRPr="00DE0656">
        <w:rPr>
          <w:rFonts w:ascii="Arial" w:hAnsi="Arial" w:cs="Arial"/>
          <w:sz w:val="22"/>
          <w:szCs w:val="22"/>
          <w:cs/>
        </w:rPr>
        <w:t xml:space="preserve"> </w:t>
      </w:r>
      <w:r w:rsidRPr="00DE0656">
        <w:rPr>
          <w:rFonts w:ascii="Arial" w:hAnsi="Arial" w:cs="Arial"/>
          <w:sz w:val="22"/>
          <w:szCs w:val="22"/>
        </w:rPr>
        <w:t>the following notes to the interim financial statements:</w:t>
      </w:r>
    </w:p>
    <w:p w14:paraId="68AEEB5E" w14:textId="77777777" w:rsidR="00DF6AE7" w:rsidRPr="00996D51" w:rsidRDefault="00DE0656" w:rsidP="00DF6AE7">
      <w:pPr>
        <w:pStyle w:val="ListParagraph"/>
        <w:numPr>
          <w:ilvl w:val="0"/>
          <w:numId w:val="6"/>
        </w:numPr>
        <w:overflowPunct w:val="0"/>
        <w:autoSpaceDE w:val="0"/>
        <w:autoSpaceDN w:val="0"/>
        <w:adjustRightInd w:val="0"/>
        <w:spacing w:before="120" w:after="120" w:line="380" w:lineRule="exact"/>
        <w:ind w:left="540"/>
        <w:contextualSpacing w:val="0"/>
        <w:textAlignment w:val="baseline"/>
        <w:rPr>
          <w:rFonts w:ascii="Arial" w:hAnsi="Arial" w:cs="Arial"/>
          <w:szCs w:val="22"/>
        </w:rPr>
      </w:pPr>
      <w:r w:rsidRPr="00DE0656">
        <w:rPr>
          <w:rFonts w:ascii="Arial" w:hAnsi="Arial" w:cs="Arial"/>
          <w:szCs w:val="22"/>
        </w:rPr>
        <w:t xml:space="preserve">Note 1.2 </w:t>
      </w:r>
      <w:r w:rsidR="00DF6AE7" w:rsidRPr="00996D51">
        <w:rPr>
          <w:rFonts w:ascii="Arial" w:hAnsi="Arial" w:cs="Arial"/>
          <w:szCs w:val="22"/>
        </w:rPr>
        <w:t>to the financial statements, regarding the results of a special audit of the observations of the Company’s auditor for the year 2021, which noted a suspicion that transactions of the Company might fall within the scope of Section 89/25 of the Securities and Exchange Act B.E. 2535. The Company hired an independent specialist to perform special audit procedures investigating facts relating to such circumstance and has already received the report on the special audit caried out by the independent specialist. The Audit Committee has passed a resolution acknowledging the report and a detailed summary of the results as described in Note to the financial statements.</w:t>
      </w:r>
    </w:p>
    <w:p w14:paraId="2F7290BF" w14:textId="3066DF8B" w:rsidR="00DF6AE7" w:rsidRDefault="00DE0656" w:rsidP="00AE7FE2">
      <w:pPr>
        <w:pStyle w:val="ListParagraph"/>
        <w:numPr>
          <w:ilvl w:val="0"/>
          <w:numId w:val="6"/>
        </w:numPr>
        <w:overflowPunct w:val="0"/>
        <w:autoSpaceDE w:val="0"/>
        <w:autoSpaceDN w:val="0"/>
        <w:adjustRightInd w:val="0"/>
        <w:spacing w:before="120" w:after="120" w:line="380" w:lineRule="exact"/>
        <w:ind w:left="540"/>
        <w:contextualSpacing w:val="0"/>
        <w:textAlignment w:val="baseline"/>
        <w:rPr>
          <w:rFonts w:ascii="Arial" w:hAnsi="Arial" w:cs="Arial"/>
          <w:szCs w:val="22"/>
        </w:rPr>
      </w:pPr>
      <w:r w:rsidRPr="00DE0656">
        <w:rPr>
          <w:rFonts w:ascii="Arial" w:hAnsi="Arial" w:cs="Arial"/>
          <w:szCs w:val="22"/>
        </w:rPr>
        <w:t xml:space="preserve">Note 2 </w:t>
      </w:r>
      <w:r w:rsidR="00DF6AE7" w:rsidRPr="0042628A">
        <w:rPr>
          <w:rFonts w:ascii="Arial" w:hAnsi="Arial" w:cs="Arial"/>
          <w:szCs w:val="22"/>
        </w:rPr>
        <w:t xml:space="preserve">to the financial statements, regarding the restatement of the previous year’s financial statements with respect to recognition of share of loss from investment in an associate. </w:t>
      </w:r>
      <w:r w:rsidR="00D02B0B">
        <w:rPr>
          <w:rFonts w:ascii="Arial" w:hAnsi="Arial" w:cs="Arial"/>
          <w:szCs w:val="22"/>
        </w:rPr>
        <w:t xml:space="preserve">                           </w:t>
      </w:r>
      <w:r w:rsidR="00DF6AE7" w:rsidRPr="0042628A">
        <w:rPr>
          <w:rFonts w:ascii="Arial" w:hAnsi="Arial" w:cs="Arial"/>
          <w:szCs w:val="22"/>
        </w:rPr>
        <w:t>The Company restated the statements of financial position in which the equity method is applied as at 31 December 2021, presented as comparative information, in order to reflect the adjustments made. However, the Company has not presented the consolidated statements of financial position as at 1 January 2021 as comparative information because the restatement does not affect the consolidated financial position</w:t>
      </w:r>
      <w:r w:rsidR="00DF6AE7">
        <w:rPr>
          <w:rFonts w:ascii="Arial" w:hAnsi="Arial" w:cs="Arial"/>
          <w:szCs w:val="22"/>
        </w:rPr>
        <w:t xml:space="preserve"> at such date</w:t>
      </w:r>
      <w:r w:rsidR="00DF6AE7" w:rsidRPr="0042628A">
        <w:rPr>
          <w:rFonts w:ascii="Arial" w:hAnsi="Arial" w:cs="Arial"/>
          <w:szCs w:val="22"/>
        </w:rPr>
        <w:t>.</w:t>
      </w:r>
    </w:p>
    <w:p w14:paraId="57261A2E" w14:textId="7ED14B33" w:rsidR="00AE7FE2" w:rsidRPr="00AE7FE2" w:rsidRDefault="00EE3208" w:rsidP="00AE7FE2">
      <w:pPr>
        <w:pStyle w:val="ListParagraph"/>
        <w:numPr>
          <w:ilvl w:val="0"/>
          <w:numId w:val="6"/>
        </w:numPr>
        <w:overflowPunct w:val="0"/>
        <w:autoSpaceDE w:val="0"/>
        <w:autoSpaceDN w:val="0"/>
        <w:adjustRightInd w:val="0"/>
        <w:spacing w:before="120" w:after="120" w:line="380" w:lineRule="exact"/>
        <w:ind w:left="540"/>
        <w:contextualSpacing w:val="0"/>
        <w:textAlignment w:val="baseline"/>
        <w:rPr>
          <w:rFonts w:ascii="Arial" w:hAnsi="Arial" w:cs="Arial"/>
          <w:szCs w:val="22"/>
        </w:rPr>
      </w:pPr>
      <w:r w:rsidRPr="00EE3208">
        <w:rPr>
          <w:rFonts w:ascii="Arial" w:hAnsi="Arial" w:cs="Arial"/>
          <w:szCs w:val="22"/>
        </w:rPr>
        <w:t>Notes 8 and 10 to the financial statements regarding the Company’s provision, in September 2022, of loans to Thai Smile Bus Company Limited, an indirectly held associated company, for business acquisitions, comprising ordinary shares of Smart Bus Company Limited and E Smart Transport Company Limited. This lending was approved by the Extraordinary General Meeting of the Company. For the investments, the associated company is in the process of having the fair value of the identifiable assets acquired and liabilities assumed at the acquisition date appraised by an independent appraiser</w:t>
      </w:r>
      <w:r w:rsidRPr="00EE3208">
        <w:rPr>
          <w:rFonts w:ascii="Arial" w:hAnsi="Arial" w:cs="Arial" w:hint="cs"/>
          <w:szCs w:val="22"/>
          <w:cs/>
        </w:rPr>
        <w:t>.</w:t>
      </w:r>
    </w:p>
    <w:p w14:paraId="000E5FDA" w14:textId="77777777" w:rsidR="00DE0656" w:rsidRPr="00F7634E" w:rsidRDefault="00DE0656" w:rsidP="00AE7FE2">
      <w:pPr>
        <w:spacing w:before="120" w:after="120" w:line="380" w:lineRule="exact"/>
        <w:rPr>
          <w:rFonts w:ascii="Arial" w:hAnsi="Arial"/>
          <w:sz w:val="22"/>
          <w:szCs w:val="22"/>
        </w:rPr>
      </w:pPr>
      <w:r w:rsidRPr="00DE0656">
        <w:rPr>
          <w:rFonts w:ascii="Arial" w:hAnsi="Arial" w:cs="Arial"/>
          <w:sz w:val="22"/>
          <w:szCs w:val="22"/>
        </w:rPr>
        <w:t>My conclusion is not modified in respect of these matters.</w:t>
      </w:r>
      <w:r w:rsidRPr="00F7634E">
        <w:rPr>
          <w:rFonts w:ascii="Arial" w:hAnsi="Arial" w:cs="Arial"/>
        </w:rPr>
        <w:t xml:space="preserve"> </w:t>
      </w:r>
    </w:p>
    <w:p w14:paraId="427FDAC7" w14:textId="77777777" w:rsidR="00A60F04" w:rsidRDefault="00A60F04" w:rsidP="00A60F04">
      <w:pPr>
        <w:spacing w:before="120" w:after="120" w:line="380" w:lineRule="exact"/>
      </w:pPr>
    </w:p>
    <w:p w14:paraId="3DF8E10E" w14:textId="77777777" w:rsidR="00A60F04" w:rsidRPr="002461D9" w:rsidRDefault="00A60F04" w:rsidP="00A60F04">
      <w:pPr>
        <w:spacing w:before="120" w:after="120" w:line="380" w:lineRule="exact"/>
      </w:pPr>
    </w:p>
    <w:p w14:paraId="0FDEB89F" w14:textId="77777777" w:rsidR="00BE53CF" w:rsidRPr="008960E9" w:rsidRDefault="008960E9" w:rsidP="00A60F04">
      <w:pPr>
        <w:spacing w:before="120" w:after="120" w:line="380" w:lineRule="exact"/>
        <w:rPr>
          <w:rFonts w:ascii="Arial" w:hAnsi="Arial" w:cs="Arial"/>
          <w:b/>
          <w:bCs/>
          <w:sz w:val="22"/>
          <w:szCs w:val="22"/>
        </w:rPr>
      </w:pPr>
      <w:r>
        <w:rPr>
          <w:rFonts w:ascii="Arial" w:hAnsi="Arial" w:cs="Arial"/>
          <w:b/>
          <w:bCs/>
          <w:sz w:val="22"/>
          <w:szCs w:val="22"/>
        </w:rPr>
        <w:br w:type="page"/>
      </w:r>
      <w:r w:rsidR="00BE53CF" w:rsidRPr="008960E9">
        <w:rPr>
          <w:rFonts w:ascii="Arial" w:hAnsi="Arial" w:cs="Arial"/>
          <w:b/>
          <w:bCs/>
          <w:sz w:val="22"/>
          <w:szCs w:val="22"/>
        </w:rPr>
        <w:lastRenderedPageBreak/>
        <w:t>Other matter</w:t>
      </w:r>
      <w:r w:rsidR="00DE1951" w:rsidRPr="008960E9">
        <w:rPr>
          <w:rFonts w:ascii="Arial" w:hAnsi="Arial" w:cs="Arial"/>
          <w:b/>
          <w:bCs/>
          <w:sz w:val="22"/>
          <w:szCs w:val="22"/>
        </w:rPr>
        <w:t>s</w:t>
      </w:r>
    </w:p>
    <w:p w14:paraId="6E5D59C4" w14:textId="77777777" w:rsidR="00AA5AFD" w:rsidRPr="008960E9" w:rsidRDefault="00BE53CF" w:rsidP="008960E9">
      <w:pPr>
        <w:pStyle w:val="BodyText3"/>
        <w:spacing w:before="120" w:line="380" w:lineRule="exact"/>
        <w:rPr>
          <w:rFonts w:ascii="Arial" w:hAnsi="Arial" w:cs="Arial"/>
          <w:sz w:val="22"/>
          <w:szCs w:val="22"/>
        </w:rPr>
      </w:pPr>
      <w:r w:rsidRPr="008960E9">
        <w:rPr>
          <w:rFonts w:ascii="Arial" w:hAnsi="Arial" w:cs="Arial"/>
          <w:sz w:val="22"/>
          <w:szCs w:val="22"/>
        </w:rPr>
        <w:t>The statement of financial position in which the equity method is applied and the separate statement</w:t>
      </w:r>
      <w:r w:rsidR="006C4D48" w:rsidRPr="008960E9">
        <w:rPr>
          <w:rFonts w:ascii="Arial" w:hAnsi="Arial" w:cs="Arial"/>
          <w:sz w:val="22"/>
          <w:szCs w:val="22"/>
        </w:rPr>
        <w:t xml:space="preserve"> of financial position</w:t>
      </w:r>
      <w:r w:rsidRPr="008960E9">
        <w:rPr>
          <w:rFonts w:ascii="Arial" w:hAnsi="Arial" w:cs="Arial"/>
          <w:sz w:val="22"/>
          <w:szCs w:val="22"/>
        </w:rPr>
        <w:t xml:space="preserve"> of </w:t>
      </w:r>
      <w:r w:rsidR="00AA6BA1" w:rsidRPr="008960E9">
        <w:rPr>
          <w:rFonts w:ascii="Arial" w:hAnsi="Arial" w:cs="Arial"/>
          <w:sz w:val="22"/>
          <w:szCs w:val="22"/>
        </w:rPr>
        <w:t>Beyond</w:t>
      </w:r>
      <w:r w:rsidRPr="008960E9">
        <w:rPr>
          <w:rFonts w:ascii="Arial" w:hAnsi="Arial" w:cs="Arial"/>
          <w:sz w:val="22"/>
          <w:szCs w:val="22"/>
        </w:rPr>
        <w:t xml:space="preserve"> Securities </w:t>
      </w:r>
      <w:r w:rsidR="00AA6BA1" w:rsidRPr="008960E9">
        <w:rPr>
          <w:rFonts w:ascii="Arial" w:hAnsi="Arial" w:cs="Arial"/>
          <w:sz w:val="22"/>
          <w:szCs w:val="22"/>
        </w:rPr>
        <w:t xml:space="preserve">Public </w:t>
      </w:r>
      <w:r w:rsidRPr="008960E9">
        <w:rPr>
          <w:rFonts w:ascii="Arial" w:hAnsi="Arial" w:cs="Arial"/>
          <w:sz w:val="22"/>
          <w:szCs w:val="22"/>
        </w:rPr>
        <w:t>Company Limited as at 31 December 202</w:t>
      </w:r>
      <w:r w:rsidR="00AA6BA1" w:rsidRPr="008960E9">
        <w:rPr>
          <w:rFonts w:ascii="Arial" w:hAnsi="Arial" w:cs="Arial"/>
          <w:sz w:val="22"/>
          <w:szCs w:val="22"/>
        </w:rPr>
        <w:t>1</w:t>
      </w:r>
      <w:r w:rsidR="005E702F" w:rsidRPr="008960E9">
        <w:rPr>
          <w:rFonts w:ascii="Arial" w:hAnsi="Arial" w:cs="Arial"/>
          <w:sz w:val="22"/>
          <w:szCs w:val="22"/>
        </w:rPr>
        <w:t xml:space="preserve"> (before </w:t>
      </w:r>
      <w:r w:rsidR="00DE1951" w:rsidRPr="008960E9">
        <w:rPr>
          <w:rFonts w:ascii="Arial" w:hAnsi="Arial" w:cs="Arial"/>
          <w:sz w:val="22"/>
          <w:szCs w:val="22"/>
        </w:rPr>
        <w:t xml:space="preserve">being </w:t>
      </w:r>
      <w:r w:rsidR="005E702F" w:rsidRPr="008960E9">
        <w:rPr>
          <w:rFonts w:ascii="Arial" w:hAnsi="Arial" w:cs="Arial"/>
          <w:sz w:val="22"/>
          <w:szCs w:val="22"/>
        </w:rPr>
        <w:t>restated)</w:t>
      </w:r>
      <w:r w:rsidRPr="008960E9">
        <w:rPr>
          <w:rFonts w:ascii="Arial" w:hAnsi="Arial" w:cs="Arial"/>
          <w:sz w:val="22"/>
          <w:szCs w:val="22"/>
        </w:rPr>
        <w:t xml:space="preserve"> were </w:t>
      </w:r>
      <w:r w:rsidR="00AA6BA1" w:rsidRPr="008960E9">
        <w:rPr>
          <w:rFonts w:ascii="Arial" w:hAnsi="Arial" w:cs="Arial"/>
          <w:sz w:val="22"/>
          <w:szCs w:val="22"/>
        </w:rPr>
        <w:t xml:space="preserve">engaged to be </w:t>
      </w:r>
      <w:r w:rsidRPr="008960E9">
        <w:rPr>
          <w:rFonts w:ascii="Arial" w:hAnsi="Arial" w:cs="Arial"/>
          <w:sz w:val="22"/>
          <w:szCs w:val="22"/>
        </w:rPr>
        <w:t xml:space="preserve">audited by another auditor who expressed </w:t>
      </w:r>
      <w:r w:rsidR="00AA5AFD" w:rsidRPr="008960E9">
        <w:rPr>
          <w:rFonts w:ascii="Arial" w:hAnsi="Arial" w:cs="Arial"/>
          <w:sz w:val="22"/>
          <w:szCs w:val="22"/>
        </w:rPr>
        <w:t>an disclaimer of</w:t>
      </w:r>
      <w:r w:rsidRPr="008960E9">
        <w:rPr>
          <w:rFonts w:ascii="Arial" w:hAnsi="Arial" w:cs="Arial"/>
          <w:sz w:val="22"/>
          <w:szCs w:val="22"/>
        </w:rPr>
        <w:t xml:space="preserve"> opinion on those statements, under his report dated </w:t>
      </w:r>
      <w:r w:rsidR="009C3181">
        <w:rPr>
          <w:rFonts w:ascii="Arial" w:hAnsi="Arial" w:cs="Arial"/>
          <w:sz w:val="22"/>
          <w:szCs w:val="22"/>
        </w:rPr>
        <w:t>28</w:t>
      </w:r>
      <w:r w:rsidRPr="008960E9">
        <w:rPr>
          <w:rFonts w:ascii="Arial" w:hAnsi="Arial" w:cs="Arial"/>
          <w:sz w:val="22"/>
          <w:szCs w:val="22"/>
        </w:rPr>
        <w:t xml:space="preserve"> February 202</w:t>
      </w:r>
      <w:r w:rsidR="00D269B6">
        <w:rPr>
          <w:rFonts w:ascii="Arial" w:hAnsi="Arial" w:cs="Arial"/>
          <w:sz w:val="22"/>
          <w:szCs w:val="22"/>
        </w:rPr>
        <w:t>2</w:t>
      </w:r>
      <w:r w:rsidRPr="008960E9">
        <w:rPr>
          <w:rFonts w:ascii="Arial" w:hAnsi="Arial" w:cs="Arial"/>
          <w:sz w:val="22"/>
          <w:szCs w:val="22"/>
        </w:rPr>
        <w:t xml:space="preserve">. </w:t>
      </w:r>
      <w:r w:rsidR="00AA5AFD" w:rsidRPr="008960E9">
        <w:rPr>
          <w:rFonts w:ascii="Arial" w:hAnsi="Arial" w:cs="Arial"/>
          <w:sz w:val="22"/>
          <w:szCs w:val="22"/>
        </w:rPr>
        <w:t xml:space="preserve">Basis for Disclaimer of Opinion </w:t>
      </w:r>
      <w:r w:rsidR="00DE1951" w:rsidRPr="008960E9">
        <w:rPr>
          <w:rFonts w:ascii="Arial" w:hAnsi="Arial" w:cs="Arial"/>
          <w:sz w:val="22"/>
          <w:szCs w:val="22"/>
        </w:rPr>
        <w:t>is</w:t>
      </w:r>
      <w:r w:rsidR="00AA5AFD" w:rsidRPr="008960E9">
        <w:rPr>
          <w:rFonts w:ascii="Arial" w:hAnsi="Arial" w:cs="Arial"/>
          <w:sz w:val="22"/>
          <w:szCs w:val="22"/>
        </w:rPr>
        <w:t xml:space="preserve"> as </w:t>
      </w:r>
      <w:r w:rsidR="00DE1951" w:rsidRPr="008960E9">
        <w:rPr>
          <w:rFonts w:ascii="Arial" w:hAnsi="Arial" w:cs="Arial"/>
          <w:sz w:val="22"/>
          <w:szCs w:val="22"/>
        </w:rPr>
        <w:t>follows</w:t>
      </w:r>
      <w:r w:rsidR="00AA5AFD" w:rsidRPr="008960E9">
        <w:rPr>
          <w:rFonts w:ascii="Arial" w:hAnsi="Arial" w:cs="Arial"/>
          <w:sz w:val="22"/>
          <w:szCs w:val="22"/>
        </w:rPr>
        <w:t xml:space="preserve">: </w:t>
      </w:r>
    </w:p>
    <w:p w14:paraId="1252D226" w14:textId="106EC9C2" w:rsidR="00B41CAD" w:rsidRDefault="00B41CAD" w:rsidP="00B41CAD">
      <w:pPr>
        <w:pStyle w:val="BodyText3"/>
        <w:spacing w:before="120" w:line="380" w:lineRule="exact"/>
        <w:ind w:left="540" w:hanging="540"/>
        <w:rPr>
          <w:rFonts w:ascii="Arial" w:hAnsi="Arial" w:cs="Arial"/>
          <w:sz w:val="22"/>
          <w:szCs w:val="22"/>
        </w:rPr>
      </w:pPr>
      <w:r>
        <w:rPr>
          <w:rFonts w:ascii="Arial" w:hAnsi="Arial" w:cs="Arial"/>
          <w:sz w:val="22"/>
          <w:szCs w:val="22"/>
        </w:rPr>
        <w:t xml:space="preserve">1. </w:t>
      </w:r>
      <w:r>
        <w:rPr>
          <w:rFonts w:ascii="Arial" w:hAnsi="Arial" w:cstheme="minorBidi"/>
          <w:sz w:val="22"/>
          <w:szCs w:val="22"/>
          <w:cs/>
        </w:rPr>
        <w:tab/>
      </w:r>
      <w:r>
        <w:rPr>
          <w:rFonts w:ascii="Arial" w:hAnsi="Arial" w:cs="Arial"/>
          <w:sz w:val="22"/>
          <w:szCs w:val="22"/>
        </w:rPr>
        <w:t>As at 31 December 2021, the Company had investments in debt securities and equity securities totaling Baht 241.1 million, loans to other party amounting to Baht 40.0 million and a loan to ACE Incorporation Co., Ltd. (“ACE”) that ACE had loaned to others of Baht 106.8 million, or a total of Baht 387.9 million, for which allowance for expected credit loss and allowance for revaluation were provided in full. The related transactions occurred between 2018 and 2020.</w:t>
      </w:r>
      <w:r>
        <w:rPr>
          <w:rFonts w:ascii="Angsana New" w:hAnsi="Angsana New"/>
          <w:sz w:val="22"/>
          <w:szCs w:val="22"/>
          <w:cs/>
        </w:rPr>
        <w:t xml:space="preserve"> </w:t>
      </w:r>
      <w:r>
        <w:rPr>
          <w:rFonts w:ascii="Arial" w:hAnsi="Arial" w:cs="Arial"/>
          <w:sz w:val="22"/>
          <w:szCs w:val="22"/>
        </w:rPr>
        <w:t>Based on audit procedures performed, the another auditor noted that such investments and loans may be managed inappropriately because information used to seek for approval was not suitable. In December 2021, the Securities and Exchange Commission issued a report on the observations of a routine inspection dated 21 December 2021 to the Company’s management, regarding the suspicion that the Company had committed offenses under the Securities and Exchange Act B.E. 2535, particularly in management of assets for investment, the provision of loans to ACE and other companies and inability to effectively manage potential risk and possible action to inappropriately benefit parties related to the Company, that significantly impacted significant the Company’s financial position and resulted in persistent operating losses. These factors are possible indicators of conduct raising the suspicion that the directors, executives or others responsible for the operations of the Company at that time committed an offence under section 89/25 of the Securities and Exchange Act B.E 2535. On 9 February 2022, the another auditor informed the circumstances to the Company’s Audit Committee, so that the inspection was continued without delay, and the Audit Committee shall report results of the preliminary inspection to the SEC and the Auditor within 30 days after the date informed. The matters are in the process of audit, so the another auditor was unable to make a conclusion whether any adjustments are required for the accompanying financial statements.</w:t>
      </w:r>
    </w:p>
    <w:p w14:paraId="0E54B3B4" w14:textId="77777777" w:rsidR="00B41CAD" w:rsidRDefault="00B41CAD" w:rsidP="00B41CAD">
      <w:pPr>
        <w:spacing w:before="120" w:after="120" w:line="380" w:lineRule="exact"/>
        <w:ind w:left="540" w:hanging="540"/>
        <w:rPr>
          <w:rFonts w:ascii="Arial" w:hAnsi="Arial" w:cs="Arial"/>
          <w:sz w:val="22"/>
          <w:szCs w:val="22"/>
        </w:rPr>
      </w:pPr>
      <w:r>
        <w:rPr>
          <w:rFonts w:ascii="Arial" w:hAnsi="Arial" w:cs="Arial"/>
        </w:rPr>
        <w:br w:type="page"/>
      </w:r>
    </w:p>
    <w:p w14:paraId="627EC732" w14:textId="0954BDEB" w:rsidR="00B41CAD" w:rsidRDefault="00B41CAD" w:rsidP="00B41CAD">
      <w:pPr>
        <w:pStyle w:val="BodyText3"/>
        <w:spacing w:before="120" w:line="380" w:lineRule="exact"/>
        <w:ind w:left="540" w:hanging="540"/>
        <w:rPr>
          <w:rFonts w:ascii="Arial" w:hAnsi="Arial" w:cs="Arial"/>
          <w:sz w:val="22"/>
          <w:szCs w:val="22"/>
        </w:rPr>
      </w:pPr>
      <w:r>
        <w:rPr>
          <w:rFonts w:ascii="Arial" w:hAnsi="Arial" w:cs="Arial"/>
          <w:sz w:val="22"/>
          <w:szCs w:val="22"/>
        </w:rPr>
        <w:lastRenderedPageBreak/>
        <w:t>2.</w:t>
      </w:r>
      <w:r>
        <w:rPr>
          <w:rFonts w:ascii="Arial" w:hAnsi="Arial" w:cstheme="minorBidi"/>
          <w:sz w:val="22"/>
          <w:szCs w:val="22"/>
          <w:cs/>
        </w:rPr>
        <w:tab/>
      </w:r>
      <w:r>
        <w:rPr>
          <w:rFonts w:ascii="Arial" w:hAnsi="Arial" w:cs="Arial"/>
          <w:sz w:val="22"/>
          <w:szCs w:val="22"/>
        </w:rPr>
        <w:t>As at 31 December 2021, the Company had investment in associate, ACE Incorporation Co., Ltd., amounting to Baht 445.9 million. Such investment applied equity method.                           The Company did not recognise equity in such associate because the audit of associate’s financial statements had not yet been completed, and the another auditor was unable to use alternative audit procedures to satisfy himself as to the appropriateness of such investment in associate.</w:t>
      </w:r>
    </w:p>
    <w:p w14:paraId="6ECB3617" w14:textId="418C8A41" w:rsidR="00114D73" w:rsidRDefault="000B2E3F" w:rsidP="00A60F04">
      <w:pPr>
        <w:pStyle w:val="BodyText3"/>
        <w:spacing w:before="120" w:line="380" w:lineRule="exact"/>
        <w:rPr>
          <w:rFonts w:ascii="Arial" w:hAnsi="Arial" w:cs="Arial"/>
          <w:sz w:val="22"/>
          <w:szCs w:val="22"/>
        </w:rPr>
      </w:pPr>
      <w:r w:rsidRPr="00114D73">
        <w:rPr>
          <w:rFonts w:ascii="Arial" w:hAnsi="Arial" w:cs="Arial"/>
          <w:sz w:val="22"/>
          <w:szCs w:val="22"/>
        </w:rPr>
        <w:t xml:space="preserve">The statements of comprehensive </w:t>
      </w:r>
      <w:r w:rsidR="00A60F04" w:rsidRPr="00114D73">
        <w:rPr>
          <w:rFonts w:ascii="Arial" w:hAnsi="Arial" w:cs="Arial"/>
          <w:sz w:val="22"/>
          <w:szCs w:val="22"/>
        </w:rPr>
        <w:t>income</w:t>
      </w:r>
      <w:r w:rsidR="00EB40B2" w:rsidRPr="00114D73">
        <w:rPr>
          <w:rFonts w:ascii="Arial" w:eastAsia="Calibri" w:hAnsi="Arial" w:cs="Arial"/>
          <w:color w:val="000000"/>
          <w:sz w:val="22"/>
          <w:szCs w:val="22"/>
        </w:rPr>
        <w:t xml:space="preserve">, in which the equity method is applied, </w:t>
      </w:r>
      <w:r w:rsidRPr="00114D73">
        <w:rPr>
          <w:rFonts w:ascii="Arial" w:hAnsi="Arial" w:cs="Arial"/>
          <w:sz w:val="22"/>
          <w:szCs w:val="22"/>
        </w:rPr>
        <w:t>for the</w:t>
      </w:r>
      <w:r w:rsidR="00D02B0B">
        <w:rPr>
          <w:rFonts w:ascii="Arial" w:hAnsi="Arial" w:cs="Arial"/>
          <w:sz w:val="22"/>
          <w:szCs w:val="22"/>
        </w:rPr>
        <w:t xml:space="preserve">                                     </w:t>
      </w:r>
      <w:r w:rsidRPr="00114D73">
        <w:rPr>
          <w:rFonts w:ascii="Arial" w:hAnsi="Arial" w:cs="Arial"/>
          <w:sz w:val="22"/>
          <w:szCs w:val="22"/>
        </w:rPr>
        <w:t xml:space="preserve"> three-month and nine-month periods ended September 30, 2021</w:t>
      </w:r>
      <w:r w:rsidR="00A60F04" w:rsidRPr="00114D73">
        <w:rPr>
          <w:rFonts w:ascii="Arial" w:hAnsi="Arial" w:cs="Arial"/>
          <w:sz w:val="22"/>
          <w:szCs w:val="22"/>
        </w:rPr>
        <w:t>, changes in owners’ equity</w:t>
      </w:r>
      <w:r w:rsidR="00EB40B2" w:rsidRPr="00114D73">
        <w:rPr>
          <w:rFonts w:ascii="Arial" w:eastAsia="Calibri" w:hAnsi="Arial" w:cs="Arial"/>
          <w:color w:val="000000"/>
          <w:sz w:val="22"/>
          <w:szCs w:val="22"/>
        </w:rPr>
        <w:t xml:space="preserve">, in which the equity method is applied, </w:t>
      </w:r>
      <w:r w:rsidR="00A60F04" w:rsidRPr="00114D73">
        <w:rPr>
          <w:rFonts w:ascii="Arial" w:hAnsi="Arial" w:cs="Arial"/>
          <w:sz w:val="22"/>
          <w:szCs w:val="22"/>
        </w:rPr>
        <w:t xml:space="preserve"> and cash flows</w:t>
      </w:r>
      <w:r w:rsidR="00EB40B2" w:rsidRPr="00114D73">
        <w:rPr>
          <w:rFonts w:ascii="Arial" w:eastAsia="Calibri" w:hAnsi="Arial" w:cs="Arial"/>
          <w:color w:val="000000"/>
          <w:sz w:val="22"/>
          <w:szCs w:val="22"/>
        </w:rPr>
        <w:t xml:space="preserve">, in which the equity method is applied, </w:t>
      </w:r>
      <w:r w:rsidR="00A60F04" w:rsidRPr="00114D73">
        <w:rPr>
          <w:rFonts w:ascii="Arial" w:hAnsi="Arial" w:cs="Arial"/>
          <w:sz w:val="22"/>
          <w:szCs w:val="22"/>
        </w:rPr>
        <w:t xml:space="preserve">for the </w:t>
      </w:r>
      <w:r w:rsidR="00DF6AE7" w:rsidRPr="00114D73">
        <w:rPr>
          <w:rFonts w:ascii="Arial" w:hAnsi="Arial" w:cs="Arial"/>
          <w:sz w:val="22"/>
          <w:szCs w:val="22"/>
        </w:rPr>
        <w:t xml:space="preserve">nine-month </w:t>
      </w:r>
      <w:r w:rsidR="00A60F04" w:rsidRPr="00114D73">
        <w:rPr>
          <w:rFonts w:ascii="Arial" w:hAnsi="Arial" w:cs="Arial"/>
          <w:sz w:val="22"/>
          <w:szCs w:val="22"/>
        </w:rPr>
        <w:t xml:space="preserve">period </w:t>
      </w:r>
      <w:r w:rsidR="00114D73" w:rsidRPr="00114D73">
        <w:rPr>
          <w:rFonts w:ascii="Arial" w:hAnsi="Arial" w:cs="Arial"/>
          <w:sz w:val="22"/>
          <w:szCs w:val="22"/>
        </w:rPr>
        <w:t xml:space="preserve">then ended </w:t>
      </w:r>
      <w:r w:rsidR="00A60F04" w:rsidRPr="00114D73">
        <w:rPr>
          <w:rFonts w:ascii="Arial" w:hAnsi="Arial" w:cs="Arial"/>
          <w:sz w:val="22"/>
          <w:szCs w:val="22"/>
        </w:rPr>
        <w:t>of Beyond Securities Public Company Limited and the separate statements of comprehensive income</w:t>
      </w:r>
      <w:r w:rsidR="00114D73" w:rsidRPr="00114D73">
        <w:rPr>
          <w:rFonts w:ascii="Arial" w:hAnsi="Arial" w:cs="Arial"/>
          <w:sz w:val="22"/>
          <w:szCs w:val="22"/>
        </w:rPr>
        <w:t xml:space="preserve"> for the three-month and nine-month periods ended September 30, 2021</w:t>
      </w:r>
      <w:r w:rsidR="00A60F04" w:rsidRPr="00114D73">
        <w:rPr>
          <w:rFonts w:ascii="Arial" w:hAnsi="Arial" w:cs="Arial"/>
          <w:sz w:val="22"/>
          <w:szCs w:val="22"/>
        </w:rPr>
        <w:t xml:space="preserve">, changes in owners’ equity and cash flows for the </w:t>
      </w:r>
      <w:r w:rsidR="00DF6AE7" w:rsidRPr="00114D73">
        <w:rPr>
          <w:rFonts w:ascii="Arial" w:hAnsi="Arial" w:cs="Arial"/>
          <w:sz w:val="22"/>
          <w:szCs w:val="22"/>
        </w:rPr>
        <w:t xml:space="preserve">nine-month </w:t>
      </w:r>
      <w:r w:rsidR="00A60F04" w:rsidRPr="00114D73">
        <w:rPr>
          <w:rFonts w:ascii="Arial" w:hAnsi="Arial" w:cs="Arial"/>
          <w:sz w:val="22"/>
          <w:szCs w:val="22"/>
        </w:rPr>
        <w:t>period then ended of Beyond Securities Public Company Limited, presented herein as comparative information,</w:t>
      </w:r>
      <w:r w:rsidR="00A60F04" w:rsidRPr="00114D73">
        <w:rPr>
          <w:rFonts w:ascii="Arial" w:hAnsi="Arial" w:cs="Arial"/>
          <w:sz w:val="22"/>
          <w:szCs w:val="22"/>
          <w:cs/>
        </w:rPr>
        <w:t xml:space="preserve"> </w:t>
      </w:r>
      <w:r w:rsidR="00A60F04" w:rsidRPr="00114D73">
        <w:rPr>
          <w:rFonts w:ascii="Arial" w:hAnsi="Arial" w:cs="Arial"/>
          <w:sz w:val="22"/>
          <w:szCs w:val="22"/>
        </w:rPr>
        <w:t xml:space="preserve">were reviewed </w:t>
      </w:r>
      <w:r w:rsidR="00114D73" w:rsidRPr="00114D73">
        <w:rPr>
          <w:rFonts w:ascii="Arial" w:hAnsi="Arial" w:cs="Arial"/>
          <w:sz w:val="22"/>
          <w:szCs w:val="22"/>
        </w:rPr>
        <w:t xml:space="preserve">by the aforementioned auditor who concluded, under his report dated </w:t>
      </w:r>
      <w:r w:rsidR="00555982">
        <w:rPr>
          <w:rFonts w:ascii="Arial" w:hAnsi="Arial" w:cs="Arial"/>
          <w:sz w:val="22"/>
          <w:szCs w:val="22"/>
        </w:rPr>
        <w:t>15</w:t>
      </w:r>
      <w:r w:rsidR="00114D73" w:rsidRPr="00114D73">
        <w:rPr>
          <w:rFonts w:ascii="Arial" w:hAnsi="Arial" w:cs="Arial"/>
          <w:sz w:val="22"/>
          <w:szCs w:val="22"/>
        </w:rPr>
        <w:t xml:space="preserve"> </w:t>
      </w:r>
      <w:r w:rsidR="00555982">
        <w:rPr>
          <w:rFonts w:ascii="Arial" w:hAnsi="Arial" w:cs="Arial"/>
          <w:sz w:val="22"/>
          <w:szCs w:val="22"/>
        </w:rPr>
        <w:t>November</w:t>
      </w:r>
      <w:r w:rsidR="00114D73" w:rsidRPr="00114D73">
        <w:rPr>
          <w:rFonts w:ascii="Arial" w:hAnsi="Arial" w:cs="Arial"/>
          <w:sz w:val="22"/>
          <w:szCs w:val="22"/>
        </w:rPr>
        <w:t xml:space="preserve"> 2021, that nothing had come to his attention that caused him to believe that the interim financial information was not prepared, in all material respects, in accordance with </w:t>
      </w:r>
      <w:r w:rsidR="00D02B0B">
        <w:rPr>
          <w:rFonts w:ascii="Arial" w:hAnsi="Arial" w:cs="Arial"/>
          <w:sz w:val="22"/>
          <w:szCs w:val="22"/>
        </w:rPr>
        <w:t xml:space="preserve">                         </w:t>
      </w:r>
      <w:r w:rsidR="00114D73" w:rsidRPr="00114D73">
        <w:rPr>
          <w:rFonts w:ascii="Arial" w:hAnsi="Arial" w:cs="Arial"/>
          <w:sz w:val="22"/>
          <w:szCs w:val="22"/>
        </w:rPr>
        <w:t>Thai Accounting Standard 34 Interim Financial Reporting.</w:t>
      </w:r>
    </w:p>
    <w:p w14:paraId="14699A75" w14:textId="77777777" w:rsidR="008960E9" w:rsidRDefault="008960E9" w:rsidP="008960E9">
      <w:pPr>
        <w:spacing w:line="380" w:lineRule="exact"/>
        <w:rPr>
          <w:rFonts w:ascii="Arial" w:hAnsi="Arial"/>
          <w:sz w:val="22"/>
          <w:szCs w:val="22"/>
        </w:rPr>
      </w:pPr>
    </w:p>
    <w:p w14:paraId="32572883" w14:textId="77777777" w:rsidR="008960E9" w:rsidRDefault="008960E9" w:rsidP="008960E9">
      <w:pPr>
        <w:spacing w:line="380" w:lineRule="exact"/>
        <w:rPr>
          <w:rFonts w:ascii="Arial" w:hAnsi="Arial"/>
          <w:sz w:val="22"/>
          <w:szCs w:val="22"/>
        </w:rPr>
      </w:pPr>
    </w:p>
    <w:p w14:paraId="54B9F14C" w14:textId="77777777" w:rsidR="008960E9" w:rsidRDefault="008960E9" w:rsidP="008960E9">
      <w:pPr>
        <w:spacing w:line="380" w:lineRule="exact"/>
        <w:rPr>
          <w:rFonts w:ascii="Arial" w:hAnsi="Arial"/>
          <w:sz w:val="22"/>
          <w:szCs w:val="22"/>
        </w:rPr>
      </w:pPr>
    </w:p>
    <w:p w14:paraId="7C6AC3ED" w14:textId="77777777" w:rsidR="008960E9" w:rsidRDefault="008960E9" w:rsidP="008960E9">
      <w:pPr>
        <w:spacing w:line="380" w:lineRule="exact"/>
        <w:rPr>
          <w:rFonts w:ascii="Arial" w:hAnsi="Arial"/>
          <w:sz w:val="22"/>
          <w:szCs w:val="22"/>
        </w:rPr>
      </w:pPr>
    </w:p>
    <w:p w14:paraId="26EB5AB4" w14:textId="77777777" w:rsidR="00FB1834" w:rsidRPr="008960E9" w:rsidRDefault="005E702F" w:rsidP="00D02B0B">
      <w:pPr>
        <w:spacing w:line="380" w:lineRule="exact"/>
        <w:rPr>
          <w:rFonts w:ascii="Arial" w:hAnsi="Arial"/>
          <w:sz w:val="22"/>
          <w:szCs w:val="22"/>
        </w:rPr>
      </w:pPr>
      <w:r w:rsidRPr="008960E9">
        <w:rPr>
          <w:rFonts w:ascii="Arial" w:hAnsi="Arial"/>
          <w:sz w:val="22"/>
          <w:szCs w:val="22"/>
        </w:rPr>
        <w:t>Saranya Pludsri</w:t>
      </w:r>
    </w:p>
    <w:p w14:paraId="2E036BC1" w14:textId="77777777" w:rsidR="00473A0F" w:rsidRPr="008960E9" w:rsidRDefault="00473A0F" w:rsidP="00D02B0B">
      <w:pPr>
        <w:tabs>
          <w:tab w:val="left" w:pos="720"/>
          <w:tab w:val="center" w:pos="6480"/>
        </w:tabs>
        <w:spacing w:line="380" w:lineRule="exact"/>
        <w:rPr>
          <w:rFonts w:ascii="Arial" w:hAnsi="Arial"/>
          <w:sz w:val="22"/>
          <w:szCs w:val="22"/>
        </w:rPr>
      </w:pPr>
      <w:r w:rsidRPr="008960E9">
        <w:rPr>
          <w:rFonts w:ascii="Arial" w:hAnsi="Arial"/>
          <w:sz w:val="22"/>
          <w:szCs w:val="22"/>
        </w:rPr>
        <w:t xml:space="preserve">Certified Public Accountant (Thailand) No. </w:t>
      </w:r>
      <w:r w:rsidR="005E702F" w:rsidRPr="008960E9">
        <w:rPr>
          <w:rFonts w:ascii="Arial" w:hAnsi="Arial"/>
          <w:sz w:val="22"/>
          <w:szCs w:val="22"/>
        </w:rPr>
        <w:t>6768</w:t>
      </w:r>
    </w:p>
    <w:p w14:paraId="5449A613" w14:textId="77777777" w:rsidR="00473A0F" w:rsidRPr="008960E9" w:rsidRDefault="00473A0F" w:rsidP="00D02B0B">
      <w:pPr>
        <w:tabs>
          <w:tab w:val="left" w:pos="4140"/>
        </w:tabs>
        <w:spacing w:before="360" w:line="380" w:lineRule="exact"/>
        <w:rPr>
          <w:rFonts w:ascii="Arial" w:hAnsi="Arial" w:cs="Arial"/>
          <w:sz w:val="22"/>
          <w:szCs w:val="22"/>
          <w:lang w:val="en-GB"/>
        </w:rPr>
      </w:pPr>
      <w:r w:rsidRPr="008960E9">
        <w:rPr>
          <w:rFonts w:ascii="Arial" w:hAnsi="Arial" w:cs="Arial"/>
          <w:sz w:val="22"/>
          <w:szCs w:val="22"/>
          <w:lang w:val="en-GB"/>
        </w:rPr>
        <w:t>EY Office Limited</w:t>
      </w:r>
    </w:p>
    <w:p w14:paraId="28751460" w14:textId="53641377" w:rsidR="00473A0F" w:rsidRPr="008960E9" w:rsidRDefault="00473A0F" w:rsidP="00D02B0B">
      <w:pPr>
        <w:tabs>
          <w:tab w:val="left" w:pos="4140"/>
        </w:tabs>
        <w:spacing w:line="380" w:lineRule="exact"/>
        <w:rPr>
          <w:rFonts w:ascii="Arial" w:hAnsi="Arial" w:cs="Cordia New"/>
          <w:sz w:val="22"/>
          <w:szCs w:val="22"/>
        </w:rPr>
      </w:pPr>
      <w:r w:rsidRPr="008960E9">
        <w:rPr>
          <w:rFonts w:ascii="Arial" w:hAnsi="Arial" w:cs="Arial"/>
          <w:sz w:val="22"/>
          <w:szCs w:val="22"/>
          <w:lang w:val="en-GB"/>
        </w:rPr>
        <w:t xml:space="preserve">Bangkok: </w:t>
      </w:r>
      <w:r w:rsidR="005E702F" w:rsidRPr="008960E9">
        <w:rPr>
          <w:rFonts w:ascii="Arial" w:hAnsi="Arial" w:cs="Arial"/>
          <w:sz w:val="22"/>
          <w:szCs w:val="22"/>
          <w:lang w:val="en-GB"/>
        </w:rPr>
        <w:t>1</w:t>
      </w:r>
      <w:r w:rsidR="00D21153">
        <w:rPr>
          <w:rFonts w:ascii="Arial" w:hAnsi="Arial" w:cs="Arial"/>
          <w:sz w:val="22"/>
          <w:szCs w:val="22"/>
          <w:lang w:val="en-GB"/>
        </w:rPr>
        <w:t>4</w:t>
      </w:r>
      <w:r w:rsidR="00DD04AB" w:rsidRPr="008960E9">
        <w:rPr>
          <w:rFonts w:ascii="Arial" w:hAnsi="Arial" w:cs="Arial"/>
          <w:sz w:val="22"/>
          <w:szCs w:val="22"/>
          <w:lang w:val="en-GB"/>
        </w:rPr>
        <w:t xml:space="preserve"> </w:t>
      </w:r>
      <w:r w:rsidR="00D21153">
        <w:rPr>
          <w:rFonts w:ascii="Arial" w:hAnsi="Arial" w:cs="Arial"/>
          <w:sz w:val="22"/>
          <w:szCs w:val="22"/>
          <w:lang w:val="en-GB"/>
        </w:rPr>
        <w:t>November</w:t>
      </w:r>
      <w:r w:rsidR="00DD04AB" w:rsidRPr="008960E9">
        <w:rPr>
          <w:rFonts w:ascii="Arial" w:hAnsi="Arial" w:cs="Arial"/>
          <w:sz w:val="22"/>
          <w:szCs w:val="22"/>
          <w:lang w:val="en-GB"/>
        </w:rPr>
        <w:t xml:space="preserve"> 202</w:t>
      </w:r>
      <w:r w:rsidR="005E702F" w:rsidRPr="008960E9">
        <w:rPr>
          <w:rFonts w:ascii="Arial" w:hAnsi="Arial" w:cs="Arial"/>
          <w:sz w:val="22"/>
          <w:szCs w:val="22"/>
          <w:lang w:val="en-GB"/>
        </w:rPr>
        <w:t>2</w:t>
      </w:r>
    </w:p>
    <w:sectPr w:rsidR="00473A0F" w:rsidRPr="008960E9" w:rsidSect="008960E9">
      <w:footerReference w:type="first" r:id="rId18"/>
      <w:pgSz w:w="11909" w:h="16834" w:code="9"/>
      <w:pgMar w:top="2160" w:right="1080" w:bottom="1080" w:left="1296" w:header="706" w:footer="70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28EB3" w14:textId="77777777" w:rsidR="00526732" w:rsidRDefault="00526732" w:rsidP="004828E0">
      <w:r>
        <w:separator/>
      </w:r>
    </w:p>
  </w:endnote>
  <w:endnote w:type="continuationSeparator" w:id="0">
    <w:p w14:paraId="2DE8CBED" w14:textId="77777777" w:rsidR="00526732" w:rsidRDefault="00526732" w:rsidP="00482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3220F" w14:textId="77777777" w:rsidR="00B73518" w:rsidRDefault="00B73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28CB8" w14:textId="03247350" w:rsidR="008960E9" w:rsidRPr="008960E9" w:rsidRDefault="008960E9">
    <w:pPr>
      <w:pStyle w:val="Footer"/>
      <w:jc w:val="right"/>
      <w:rPr>
        <w:rFonts w:ascii="Arial" w:hAnsi="Arial" w:cs="Arial"/>
        <w:sz w:val="22"/>
        <w:szCs w:val="22"/>
      </w:rPr>
    </w:pPr>
    <w:r w:rsidRPr="008960E9">
      <w:rPr>
        <w:rFonts w:ascii="Arial" w:hAnsi="Arial" w:cs="Arial"/>
        <w:sz w:val="22"/>
        <w:szCs w:val="22"/>
      </w:rPr>
      <w:fldChar w:fldCharType="begin"/>
    </w:r>
    <w:r w:rsidRPr="008960E9">
      <w:rPr>
        <w:rFonts w:ascii="Arial" w:hAnsi="Arial" w:cs="Arial"/>
        <w:sz w:val="22"/>
        <w:szCs w:val="22"/>
      </w:rPr>
      <w:instrText xml:space="preserve"> PAGE   \* MERGEFORMAT </w:instrText>
    </w:r>
    <w:r w:rsidRPr="008960E9">
      <w:rPr>
        <w:rFonts w:ascii="Arial" w:hAnsi="Arial" w:cs="Arial"/>
        <w:sz w:val="22"/>
        <w:szCs w:val="22"/>
      </w:rPr>
      <w:fldChar w:fldCharType="separate"/>
    </w:r>
    <w:r w:rsidRPr="008960E9">
      <w:rPr>
        <w:rFonts w:ascii="Arial" w:hAnsi="Arial" w:cs="Arial"/>
        <w:noProof/>
        <w:sz w:val="22"/>
        <w:szCs w:val="22"/>
      </w:rPr>
      <w:t>2</w:t>
    </w:r>
    <w:r w:rsidRPr="008960E9">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D836E" w14:textId="77777777" w:rsidR="00FA2BFD" w:rsidRPr="00433E9F" w:rsidRDefault="00FA2BFD">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5E0A3" w14:textId="414EB28C" w:rsidR="008960E9" w:rsidRPr="008960E9" w:rsidRDefault="008960E9" w:rsidP="008960E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EDE7C" w14:textId="33222E15" w:rsidR="008960E9" w:rsidRPr="008960E9" w:rsidRDefault="008960E9">
    <w:pPr>
      <w:pStyle w:val="Footer"/>
      <w:jc w:val="right"/>
      <w:rPr>
        <w:rFonts w:ascii="Arial" w:hAnsi="Arial" w:cs="Arial"/>
        <w:sz w:val="22"/>
        <w:szCs w:val="22"/>
      </w:rPr>
    </w:pPr>
    <w:r w:rsidRPr="008960E9">
      <w:rPr>
        <w:rFonts w:ascii="Arial" w:hAnsi="Arial" w:cs="Arial"/>
        <w:sz w:val="22"/>
        <w:szCs w:val="22"/>
      </w:rPr>
      <w:fldChar w:fldCharType="begin"/>
    </w:r>
    <w:r w:rsidRPr="008960E9">
      <w:rPr>
        <w:rFonts w:ascii="Arial" w:hAnsi="Arial" w:cs="Arial"/>
        <w:sz w:val="22"/>
        <w:szCs w:val="22"/>
      </w:rPr>
      <w:instrText xml:space="preserve"> PAGE   \* MERGEFORMAT </w:instrText>
    </w:r>
    <w:r w:rsidRPr="008960E9">
      <w:rPr>
        <w:rFonts w:ascii="Arial" w:hAnsi="Arial" w:cs="Arial"/>
        <w:sz w:val="22"/>
        <w:szCs w:val="22"/>
      </w:rPr>
      <w:fldChar w:fldCharType="separate"/>
    </w:r>
    <w:r w:rsidRPr="008960E9">
      <w:rPr>
        <w:rFonts w:ascii="Arial" w:hAnsi="Arial" w:cs="Arial"/>
        <w:noProof/>
        <w:sz w:val="22"/>
        <w:szCs w:val="22"/>
      </w:rPr>
      <w:t>2</w:t>
    </w:r>
    <w:r w:rsidRPr="008960E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2104E" w14:textId="77777777" w:rsidR="00526732" w:rsidRDefault="00526732" w:rsidP="004828E0">
      <w:r>
        <w:separator/>
      </w:r>
    </w:p>
  </w:footnote>
  <w:footnote w:type="continuationSeparator" w:id="0">
    <w:p w14:paraId="14EAD106" w14:textId="77777777" w:rsidR="00526732" w:rsidRDefault="00526732" w:rsidP="00482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1EE5B" w14:textId="77777777" w:rsidR="00B73518" w:rsidRDefault="00B73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98F88" w14:textId="77777777" w:rsidR="00B73518" w:rsidRDefault="00B73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057A5" w14:textId="1D664718" w:rsidR="00D544FC" w:rsidRDefault="00D544FC" w:rsidP="00865291">
    <w:pPr>
      <w:pStyle w:val="Header"/>
      <w:tabs>
        <w:tab w:val="left" w:pos="405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F92160"/>
    <w:multiLevelType w:val="hybridMultilevel"/>
    <w:tmpl w:val="451EFC4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2BD71FF3"/>
    <w:multiLevelType w:val="hybridMultilevel"/>
    <w:tmpl w:val="A7260C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3D7D8E"/>
    <w:multiLevelType w:val="hybridMultilevel"/>
    <w:tmpl w:val="14569E60"/>
    <w:lvl w:ilvl="0" w:tplc="04090017">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4"/>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20"/>
  <w:displayHorizontalDrawingGridEvery w:val="2"/>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EB9"/>
    <w:rsid w:val="00001CDB"/>
    <w:rsid w:val="0001377F"/>
    <w:rsid w:val="000376B6"/>
    <w:rsid w:val="00046492"/>
    <w:rsid w:val="0005747E"/>
    <w:rsid w:val="000645D0"/>
    <w:rsid w:val="000677A8"/>
    <w:rsid w:val="00083D18"/>
    <w:rsid w:val="00094256"/>
    <w:rsid w:val="00094C73"/>
    <w:rsid w:val="000A2763"/>
    <w:rsid w:val="000A7CEA"/>
    <w:rsid w:val="000B2E3F"/>
    <w:rsid w:val="000B6A72"/>
    <w:rsid w:val="000C7B4F"/>
    <w:rsid w:val="000D1356"/>
    <w:rsid w:val="000D45A7"/>
    <w:rsid w:val="000E2680"/>
    <w:rsid w:val="00107114"/>
    <w:rsid w:val="00113859"/>
    <w:rsid w:val="00114D73"/>
    <w:rsid w:val="001179A1"/>
    <w:rsid w:val="00125678"/>
    <w:rsid w:val="00133DEB"/>
    <w:rsid w:val="001430DF"/>
    <w:rsid w:val="0015290F"/>
    <w:rsid w:val="0018144F"/>
    <w:rsid w:val="00184233"/>
    <w:rsid w:val="00197967"/>
    <w:rsid w:val="001A0050"/>
    <w:rsid w:val="001B3026"/>
    <w:rsid w:val="001B4A94"/>
    <w:rsid w:val="001B5486"/>
    <w:rsid w:val="001C5C0B"/>
    <w:rsid w:val="001D4E40"/>
    <w:rsid w:val="001D6C25"/>
    <w:rsid w:val="001E1F1C"/>
    <w:rsid w:val="001E3E52"/>
    <w:rsid w:val="00202568"/>
    <w:rsid w:val="00215293"/>
    <w:rsid w:val="0025482A"/>
    <w:rsid w:val="00254E7D"/>
    <w:rsid w:val="002642E4"/>
    <w:rsid w:val="00264EF2"/>
    <w:rsid w:val="00273DA9"/>
    <w:rsid w:val="0027741B"/>
    <w:rsid w:val="0028344D"/>
    <w:rsid w:val="0028696E"/>
    <w:rsid w:val="00287A55"/>
    <w:rsid w:val="00290DE1"/>
    <w:rsid w:val="002A0C90"/>
    <w:rsid w:val="002A397E"/>
    <w:rsid w:val="002D56D3"/>
    <w:rsid w:val="00311204"/>
    <w:rsid w:val="00311732"/>
    <w:rsid w:val="003137B7"/>
    <w:rsid w:val="00324A32"/>
    <w:rsid w:val="003559F7"/>
    <w:rsid w:val="003566DC"/>
    <w:rsid w:val="003576B1"/>
    <w:rsid w:val="0036276A"/>
    <w:rsid w:val="0036606A"/>
    <w:rsid w:val="00374752"/>
    <w:rsid w:val="003A42BB"/>
    <w:rsid w:val="003A682B"/>
    <w:rsid w:val="003B0E1D"/>
    <w:rsid w:val="003B4AD6"/>
    <w:rsid w:val="003E0E0C"/>
    <w:rsid w:val="003E37AF"/>
    <w:rsid w:val="003F0B54"/>
    <w:rsid w:val="003F4745"/>
    <w:rsid w:val="00406254"/>
    <w:rsid w:val="00410215"/>
    <w:rsid w:val="00413C7B"/>
    <w:rsid w:val="0041408A"/>
    <w:rsid w:val="0041742F"/>
    <w:rsid w:val="00433900"/>
    <w:rsid w:val="00433E9F"/>
    <w:rsid w:val="00442C23"/>
    <w:rsid w:val="00453A0D"/>
    <w:rsid w:val="00460598"/>
    <w:rsid w:val="004613B2"/>
    <w:rsid w:val="00471B11"/>
    <w:rsid w:val="00472849"/>
    <w:rsid w:val="00473A0F"/>
    <w:rsid w:val="00476592"/>
    <w:rsid w:val="004828E0"/>
    <w:rsid w:val="0049133A"/>
    <w:rsid w:val="00493CD0"/>
    <w:rsid w:val="004D1A2A"/>
    <w:rsid w:val="004E68A0"/>
    <w:rsid w:val="004F5AF5"/>
    <w:rsid w:val="00502BB2"/>
    <w:rsid w:val="00511335"/>
    <w:rsid w:val="005140B4"/>
    <w:rsid w:val="00514DF6"/>
    <w:rsid w:val="0051770A"/>
    <w:rsid w:val="00526732"/>
    <w:rsid w:val="005437FF"/>
    <w:rsid w:val="0054736F"/>
    <w:rsid w:val="00553E05"/>
    <w:rsid w:val="00555982"/>
    <w:rsid w:val="0056505F"/>
    <w:rsid w:val="00571BD5"/>
    <w:rsid w:val="005852F9"/>
    <w:rsid w:val="005C0394"/>
    <w:rsid w:val="005C6131"/>
    <w:rsid w:val="005D0268"/>
    <w:rsid w:val="005D227C"/>
    <w:rsid w:val="005D5FBD"/>
    <w:rsid w:val="005E702F"/>
    <w:rsid w:val="00603BD6"/>
    <w:rsid w:val="006164A1"/>
    <w:rsid w:val="00616DDB"/>
    <w:rsid w:val="00621453"/>
    <w:rsid w:val="006232C4"/>
    <w:rsid w:val="00632AE8"/>
    <w:rsid w:val="00634C76"/>
    <w:rsid w:val="00640601"/>
    <w:rsid w:val="006628BD"/>
    <w:rsid w:val="00664E50"/>
    <w:rsid w:val="00675F4D"/>
    <w:rsid w:val="00680190"/>
    <w:rsid w:val="00694E64"/>
    <w:rsid w:val="006A3FCF"/>
    <w:rsid w:val="006B4B0F"/>
    <w:rsid w:val="006B50F8"/>
    <w:rsid w:val="006C4545"/>
    <w:rsid w:val="006C4D48"/>
    <w:rsid w:val="006D4F8F"/>
    <w:rsid w:val="006E0142"/>
    <w:rsid w:val="006E2C6E"/>
    <w:rsid w:val="006E5D40"/>
    <w:rsid w:val="006F5986"/>
    <w:rsid w:val="007024FA"/>
    <w:rsid w:val="00712269"/>
    <w:rsid w:val="007173EF"/>
    <w:rsid w:val="00717FC3"/>
    <w:rsid w:val="00742B9D"/>
    <w:rsid w:val="00772617"/>
    <w:rsid w:val="007866ED"/>
    <w:rsid w:val="00790B04"/>
    <w:rsid w:val="007B0285"/>
    <w:rsid w:val="007B270B"/>
    <w:rsid w:val="007C21E0"/>
    <w:rsid w:val="007E2213"/>
    <w:rsid w:val="007E519C"/>
    <w:rsid w:val="007E52D0"/>
    <w:rsid w:val="007F0662"/>
    <w:rsid w:val="007F4EB8"/>
    <w:rsid w:val="007F5E4E"/>
    <w:rsid w:val="008145E9"/>
    <w:rsid w:val="00815CFB"/>
    <w:rsid w:val="00820099"/>
    <w:rsid w:val="00821F11"/>
    <w:rsid w:val="00832FBB"/>
    <w:rsid w:val="0084096F"/>
    <w:rsid w:val="00842C0C"/>
    <w:rsid w:val="008471BB"/>
    <w:rsid w:val="00850190"/>
    <w:rsid w:val="00854169"/>
    <w:rsid w:val="0086361E"/>
    <w:rsid w:val="00865291"/>
    <w:rsid w:val="00871308"/>
    <w:rsid w:val="008741E1"/>
    <w:rsid w:val="00877B76"/>
    <w:rsid w:val="00890AC7"/>
    <w:rsid w:val="008946C9"/>
    <w:rsid w:val="008960E9"/>
    <w:rsid w:val="00896D14"/>
    <w:rsid w:val="008A0538"/>
    <w:rsid w:val="008A22E1"/>
    <w:rsid w:val="008A3F3D"/>
    <w:rsid w:val="008A4430"/>
    <w:rsid w:val="008C0288"/>
    <w:rsid w:val="008C354E"/>
    <w:rsid w:val="008D7868"/>
    <w:rsid w:val="008F373E"/>
    <w:rsid w:val="008F3812"/>
    <w:rsid w:val="008F3AD6"/>
    <w:rsid w:val="0090669D"/>
    <w:rsid w:val="00910546"/>
    <w:rsid w:val="00910C25"/>
    <w:rsid w:val="00920E22"/>
    <w:rsid w:val="0093663A"/>
    <w:rsid w:val="009419A6"/>
    <w:rsid w:val="00942638"/>
    <w:rsid w:val="00946A79"/>
    <w:rsid w:val="00966618"/>
    <w:rsid w:val="00985203"/>
    <w:rsid w:val="00993C5F"/>
    <w:rsid w:val="009A69E5"/>
    <w:rsid w:val="009C3181"/>
    <w:rsid w:val="009C3575"/>
    <w:rsid w:val="009C5A00"/>
    <w:rsid w:val="009C70B9"/>
    <w:rsid w:val="009D3CEF"/>
    <w:rsid w:val="009D7404"/>
    <w:rsid w:val="009E66E0"/>
    <w:rsid w:val="009F049E"/>
    <w:rsid w:val="009F1EAA"/>
    <w:rsid w:val="00A01060"/>
    <w:rsid w:val="00A23A70"/>
    <w:rsid w:val="00A26E90"/>
    <w:rsid w:val="00A33DC0"/>
    <w:rsid w:val="00A411B8"/>
    <w:rsid w:val="00A50AC8"/>
    <w:rsid w:val="00A51EE4"/>
    <w:rsid w:val="00A60F04"/>
    <w:rsid w:val="00A64F24"/>
    <w:rsid w:val="00A65DBC"/>
    <w:rsid w:val="00A721F5"/>
    <w:rsid w:val="00A727D9"/>
    <w:rsid w:val="00A742E0"/>
    <w:rsid w:val="00A74B7D"/>
    <w:rsid w:val="00A76FC0"/>
    <w:rsid w:val="00A80DF1"/>
    <w:rsid w:val="00A82361"/>
    <w:rsid w:val="00A841A3"/>
    <w:rsid w:val="00A90714"/>
    <w:rsid w:val="00AA0F26"/>
    <w:rsid w:val="00AA1E3E"/>
    <w:rsid w:val="00AA5582"/>
    <w:rsid w:val="00AA5AFD"/>
    <w:rsid w:val="00AA6BA1"/>
    <w:rsid w:val="00AB227A"/>
    <w:rsid w:val="00AC0ADD"/>
    <w:rsid w:val="00AC57EA"/>
    <w:rsid w:val="00AE2B45"/>
    <w:rsid w:val="00AE7FE2"/>
    <w:rsid w:val="00AF490E"/>
    <w:rsid w:val="00B22EB9"/>
    <w:rsid w:val="00B2486F"/>
    <w:rsid w:val="00B25D72"/>
    <w:rsid w:val="00B25FEB"/>
    <w:rsid w:val="00B377E8"/>
    <w:rsid w:val="00B41CAD"/>
    <w:rsid w:val="00B42174"/>
    <w:rsid w:val="00B45920"/>
    <w:rsid w:val="00B61212"/>
    <w:rsid w:val="00B624AA"/>
    <w:rsid w:val="00B67AB7"/>
    <w:rsid w:val="00B70098"/>
    <w:rsid w:val="00B71584"/>
    <w:rsid w:val="00B73518"/>
    <w:rsid w:val="00B74C95"/>
    <w:rsid w:val="00B74F44"/>
    <w:rsid w:val="00B76CC8"/>
    <w:rsid w:val="00B8229C"/>
    <w:rsid w:val="00B854CC"/>
    <w:rsid w:val="00B864BF"/>
    <w:rsid w:val="00B91E9C"/>
    <w:rsid w:val="00BA2373"/>
    <w:rsid w:val="00BC1CD5"/>
    <w:rsid w:val="00BC401B"/>
    <w:rsid w:val="00BC62A0"/>
    <w:rsid w:val="00BE391E"/>
    <w:rsid w:val="00BE53CF"/>
    <w:rsid w:val="00C0534D"/>
    <w:rsid w:val="00C12A34"/>
    <w:rsid w:val="00C23771"/>
    <w:rsid w:val="00C27C5B"/>
    <w:rsid w:val="00C32B82"/>
    <w:rsid w:val="00C32D2E"/>
    <w:rsid w:val="00C44617"/>
    <w:rsid w:val="00C478C5"/>
    <w:rsid w:val="00C5141F"/>
    <w:rsid w:val="00C557F2"/>
    <w:rsid w:val="00C65ADB"/>
    <w:rsid w:val="00C723ED"/>
    <w:rsid w:val="00C8134F"/>
    <w:rsid w:val="00C904A3"/>
    <w:rsid w:val="00CA07ED"/>
    <w:rsid w:val="00CA5EDC"/>
    <w:rsid w:val="00CA6E90"/>
    <w:rsid w:val="00CB5695"/>
    <w:rsid w:val="00CB6A48"/>
    <w:rsid w:val="00CC6FD6"/>
    <w:rsid w:val="00CE560C"/>
    <w:rsid w:val="00CE6960"/>
    <w:rsid w:val="00CF0CC7"/>
    <w:rsid w:val="00CF25DA"/>
    <w:rsid w:val="00D028BE"/>
    <w:rsid w:val="00D02B0B"/>
    <w:rsid w:val="00D06E1F"/>
    <w:rsid w:val="00D21153"/>
    <w:rsid w:val="00D269B6"/>
    <w:rsid w:val="00D34A82"/>
    <w:rsid w:val="00D36270"/>
    <w:rsid w:val="00D50DE2"/>
    <w:rsid w:val="00D544FC"/>
    <w:rsid w:val="00D55A3B"/>
    <w:rsid w:val="00D65363"/>
    <w:rsid w:val="00D70D2F"/>
    <w:rsid w:val="00D7361D"/>
    <w:rsid w:val="00D75DF8"/>
    <w:rsid w:val="00D76B50"/>
    <w:rsid w:val="00D826D0"/>
    <w:rsid w:val="00D86778"/>
    <w:rsid w:val="00DB5175"/>
    <w:rsid w:val="00DC50D1"/>
    <w:rsid w:val="00DD04AB"/>
    <w:rsid w:val="00DD1CA1"/>
    <w:rsid w:val="00DD4D76"/>
    <w:rsid w:val="00DE0656"/>
    <w:rsid w:val="00DE0A77"/>
    <w:rsid w:val="00DE1951"/>
    <w:rsid w:val="00DE6C6D"/>
    <w:rsid w:val="00DE6F1D"/>
    <w:rsid w:val="00DF6AE7"/>
    <w:rsid w:val="00E074EF"/>
    <w:rsid w:val="00E32942"/>
    <w:rsid w:val="00E46CCA"/>
    <w:rsid w:val="00E53E5A"/>
    <w:rsid w:val="00E57176"/>
    <w:rsid w:val="00E76B8C"/>
    <w:rsid w:val="00E83A3F"/>
    <w:rsid w:val="00E85E65"/>
    <w:rsid w:val="00E86178"/>
    <w:rsid w:val="00E8768A"/>
    <w:rsid w:val="00E9342A"/>
    <w:rsid w:val="00E944F7"/>
    <w:rsid w:val="00EB40B2"/>
    <w:rsid w:val="00EC66EE"/>
    <w:rsid w:val="00ED0E31"/>
    <w:rsid w:val="00EE3208"/>
    <w:rsid w:val="00EE5E18"/>
    <w:rsid w:val="00EF0720"/>
    <w:rsid w:val="00F01A91"/>
    <w:rsid w:val="00F04155"/>
    <w:rsid w:val="00F262FC"/>
    <w:rsid w:val="00F32928"/>
    <w:rsid w:val="00F411C6"/>
    <w:rsid w:val="00F446AB"/>
    <w:rsid w:val="00F561E1"/>
    <w:rsid w:val="00F70ABC"/>
    <w:rsid w:val="00F72083"/>
    <w:rsid w:val="00F82810"/>
    <w:rsid w:val="00F924F2"/>
    <w:rsid w:val="00F927D8"/>
    <w:rsid w:val="00F94770"/>
    <w:rsid w:val="00FA2BFD"/>
    <w:rsid w:val="00FB0321"/>
    <w:rsid w:val="00FB1834"/>
    <w:rsid w:val="00FD16D0"/>
    <w:rsid w:val="00FD4296"/>
    <w:rsid w:val="00FD799A"/>
    <w:rsid w:val="00FE02B0"/>
    <w:rsid w:val="00FE1BE4"/>
    <w:rsid w:val="00FE4C46"/>
    <w:rsid w:val="00FE6710"/>
    <w:rsid w:val="00FF3760"/>
    <w:rsid w:val="00FF645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E6DB4AF"/>
  <w15:chartTrackingRefBased/>
  <w15:docId w15:val="{F731B85C-9CA0-4A7B-8797-E87C0FEB4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EB9"/>
    <w:pPr>
      <w:widowControl w:val="0"/>
      <w:overflowPunct w:val="0"/>
      <w:autoSpaceDE w:val="0"/>
      <w:autoSpaceDN w:val="0"/>
      <w:adjustRightInd w:val="0"/>
      <w:textAlignment w:val="baseline"/>
    </w:pPr>
    <w:rPr>
      <w:rFonts w:ascii="Times New Roman" w:eastAsia="Times New Roman" w:hAnsi="CordiaUPC" w:cs="Angsana New"/>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2EB9"/>
    <w:pPr>
      <w:tabs>
        <w:tab w:val="center" w:pos="4153"/>
        <w:tab w:val="right" w:pos="8306"/>
      </w:tabs>
    </w:pPr>
    <w:rPr>
      <w:rFonts w:cs="AngsanaUPC"/>
    </w:rPr>
  </w:style>
  <w:style w:type="character" w:customStyle="1" w:styleId="HeaderChar">
    <w:name w:val="Header Char"/>
    <w:link w:val="Header"/>
    <w:rsid w:val="00B22EB9"/>
    <w:rPr>
      <w:rFonts w:ascii="Times New Roman" w:eastAsia="Times New Roman" w:hAnsi="CordiaUPC" w:cs="AngsanaUPC"/>
      <w:sz w:val="24"/>
    </w:rPr>
  </w:style>
  <w:style w:type="paragraph" w:styleId="Footer">
    <w:name w:val="footer"/>
    <w:basedOn w:val="Normal"/>
    <w:link w:val="FooterChar"/>
    <w:uiPriority w:val="99"/>
    <w:rsid w:val="00B22EB9"/>
    <w:pPr>
      <w:tabs>
        <w:tab w:val="center" w:pos="4153"/>
        <w:tab w:val="right" w:pos="8306"/>
      </w:tabs>
    </w:pPr>
  </w:style>
  <w:style w:type="character" w:customStyle="1" w:styleId="FooterChar">
    <w:name w:val="Footer Char"/>
    <w:link w:val="Footer"/>
    <w:uiPriority w:val="99"/>
    <w:rsid w:val="00B22EB9"/>
    <w:rPr>
      <w:rFonts w:ascii="Times New Roman" w:eastAsia="Times New Roman" w:hAnsi="CordiaUPC" w:cs="Angsana New"/>
      <w:sz w:val="24"/>
    </w:rPr>
  </w:style>
  <w:style w:type="character" w:styleId="PageNumber">
    <w:name w:val="page number"/>
    <w:rsid w:val="00B22EB9"/>
    <w:rPr>
      <w:rFonts w:ascii="Times New Roman" w:cs="CordiaUPC"/>
      <w:sz w:val="20"/>
      <w:szCs w:val="20"/>
    </w:rPr>
  </w:style>
  <w:style w:type="paragraph" w:styleId="BodyText2">
    <w:name w:val="Body Text 2"/>
    <w:basedOn w:val="Normal"/>
    <w:link w:val="BodyText2Char"/>
    <w:rsid w:val="00B22EB9"/>
    <w:pPr>
      <w:tabs>
        <w:tab w:val="left" w:pos="1440"/>
      </w:tabs>
      <w:spacing w:before="120" w:after="120" w:line="380" w:lineRule="exact"/>
      <w:jc w:val="both"/>
    </w:pPr>
    <w:rPr>
      <w:rFonts w:ascii="Angsana New" w:hAnsi="Angsana New"/>
      <w:sz w:val="34"/>
      <w:szCs w:val="34"/>
    </w:rPr>
  </w:style>
  <w:style w:type="character" w:customStyle="1" w:styleId="BodyText2Char">
    <w:name w:val="Body Text 2 Char"/>
    <w:link w:val="BodyText2"/>
    <w:rsid w:val="00B22EB9"/>
    <w:rPr>
      <w:rFonts w:ascii="Angsana New" w:eastAsia="Times New Roman" w:hAnsi="Angsana New" w:cs="Angsana New"/>
      <w:sz w:val="34"/>
      <w:szCs w:val="34"/>
    </w:rPr>
  </w:style>
  <w:style w:type="paragraph" w:customStyle="1" w:styleId="ps-000-normal">
    <w:name w:val="ps-000-normal"/>
    <w:basedOn w:val="Normal"/>
    <w:rsid w:val="008D7868"/>
    <w:pPr>
      <w:widowControl/>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DD4D76"/>
    <w:rPr>
      <w:rFonts w:ascii="Tahoma" w:hAnsi="Tahoma"/>
      <w:sz w:val="16"/>
      <w:szCs w:val="20"/>
    </w:rPr>
  </w:style>
  <w:style w:type="character" w:customStyle="1" w:styleId="BalloonTextChar">
    <w:name w:val="Balloon Text Char"/>
    <w:link w:val="BalloonText"/>
    <w:uiPriority w:val="99"/>
    <w:semiHidden/>
    <w:rsid w:val="00DD4D76"/>
    <w:rPr>
      <w:rFonts w:ascii="Tahoma" w:eastAsia="Times New Roman" w:hAnsi="Tahoma" w:cs="Angsana New"/>
      <w:sz w:val="16"/>
      <w:szCs w:val="20"/>
    </w:rPr>
  </w:style>
  <w:style w:type="paragraph" w:styleId="BodyText">
    <w:name w:val="Body Text"/>
    <w:basedOn w:val="Normal"/>
    <w:link w:val="BodyTextChar"/>
    <w:uiPriority w:val="99"/>
    <w:unhideWhenUsed/>
    <w:rsid w:val="009C5A00"/>
    <w:pPr>
      <w:spacing w:after="120"/>
    </w:pPr>
  </w:style>
  <w:style w:type="character" w:customStyle="1" w:styleId="BodyTextChar">
    <w:name w:val="Body Text Char"/>
    <w:link w:val="BodyText"/>
    <w:uiPriority w:val="99"/>
    <w:rsid w:val="009C5A00"/>
    <w:rPr>
      <w:rFonts w:ascii="Times New Roman" w:eastAsia="Times New Roman" w:hAnsi="CordiaUPC" w:cs="Angsana New"/>
      <w:sz w:val="24"/>
      <w:szCs w:val="28"/>
    </w:rPr>
  </w:style>
  <w:style w:type="paragraph" w:styleId="ListParagraph">
    <w:name w:val="List Paragraph"/>
    <w:basedOn w:val="Normal"/>
    <w:uiPriority w:val="34"/>
    <w:qFormat/>
    <w:rsid w:val="00B70098"/>
    <w:pPr>
      <w:widowControl/>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styleId="BodyText3">
    <w:name w:val="Body Text 3"/>
    <w:basedOn w:val="Normal"/>
    <w:link w:val="BodyText3Char"/>
    <w:uiPriority w:val="99"/>
    <w:unhideWhenUsed/>
    <w:rsid w:val="00FB1834"/>
    <w:pPr>
      <w:spacing w:after="120"/>
    </w:pPr>
    <w:rPr>
      <w:sz w:val="16"/>
      <w:szCs w:val="20"/>
    </w:rPr>
  </w:style>
  <w:style w:type="character" w:customStyle="1" w:styleId="BodyText3Char">
    <w:name w:val="Body Text 3 Char"/>
    <w:link w:val="BodyText3"/>
    <w:uiPriority w:val="99"/>
    <w:rsid w:val="00FB1834"/>
    <w:rPr>
      <w:rFonts w:ascii="Times New Roman" w:eastAsia="Times New Roman" w:hAnsi="CordiaUPC"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944941">
      <w:bodyDiv w:val="1"/>
      <w:marLeft w:val="0"/>
      <w:marRight w:val="0"/>
      <w:marTop w:val="0"/>
      <w:marBottom w:val="0"/>
      <w:divBdr>
        <w:top w:val="none" w:sz="0" w:space="0" w:color="auto"/>
        <w:left w:val="none" w:sz="0" w:space="0" w:color="auto"/>
        <w:bottom w:val="none" w:sz="0" w:space="0" w:color="auto"/>
        <w:right w:val="none" w:sz="0" w:space="0" w:color="auto"/>
      </w:divBdr>
    </w:div>
    <w:div w:id="271977635">
      <w:bodyDiv w:val="1"/>
      <w:marLeft w:val="0"/>
      <w:marRight w:val="0"/>
      <w:marTop w:val="0"/>
      <w:marBottom w:val="0"/>
      <w:divBdr>
        <w:top w:val="none" w:sz="0" w:space="0" w:color="auto"/>
        <w:left w:val="none" w:sz="0" w:space="0" w:color="auto"/>
        <w:bottom w:val="none" w:sz="0" w:space="0" w:color="auto"/>
        <w:right w:val="none" w:sz="0" w:space="0" w:color="auto"/>
      </w:divBdr>
    </w:div>
    <w:div w:id="498035985">
      <w:bodyDiv w:val="1"/>
      <w:marLeft w:val="0"/>
      <w:marRight w:val="0"/>
      <w:marTop w:val="0"/>
      <w:marBottom w:val="0"/>
      <w:divBdr>
        <w:top w:val="none" w:sz="0" w:space="0" w:color="auto"/>
        <w:left w:val="none" w:sz="0" w:space="0" w:color="auto"/>
        <w:bottom w:val="none" w:sz="0" w:space="0" w:color="auto"/>
        <w:right w:val="none" w:sz="0" w:space="0" w:color="auto"/>
      </w:divBdr>
    </w:div>
    <w:div w:id="1116872818">
      <w:bodyDiv w:val="1"/>
      <w:marLeft w:val="0"/>
      <w:marRight w:val="0"/>
      <w:marTop w:val="0"/>
      <w:marBottom w:val="0"/>
      <w:divBdr>
        <w:top w:val="none" w:sz="0" w:space="0" w:color="auto"/>
        <w:left w:val="none" w:sz="0" w:space="0" w:color="auto"/>
        <w:bottom w:val="none" w:sz="0" w:space="0" w:color="auto"/>
        <w:right w:val="none" w:sz="0" w:space="0" w:color="auto"/>
      </w:divBdr>
    </w:div>
    <w:div w:id="1318268830">
      <w:bodyDiv w:val="1"/>
      <w:marLeft w:val="0"/>
      <w:marRight w:val="0"/>
      <w:marTop w:val="0"/>
      <w:marBottom w:val="0"/>
      <w:divBdr>
        <w:top w:val="none" w:sz="0" w:space="0" w:color="auto"/>
        <w:left w:val="none" w:sz="0" w:space="0" w:color="auto"/>
        <w:bottom w:val="none" w:sz="0" w:space="0" w:color="auto"/>
        <w:right w:val="none" w:sz="0" w:space="0" w:color="auto"/>
      </w:divBdr>
    </w:div>
    <w:div w:id="1330447800">
      <w:bodyDiv w:val="1"/>
      <w:marLeft w:val="0"/>
      <w:marRight w:val="0"/>
      <w:marTop w:val="0"/>
      <w:marBottom w:val="0"/>
      <w:divBdr>
        <w:top w:val="none" w:sz="0" w:space="0" w:color="auto"/>
        <w:left w:val="none" w:sz="0" w:space="0" w:color="auto"/>
        <w:bottom w:val="none" w:sz="0" w:space="0" w:color="auto"/>
        <w:right w:val="none" w:sz="0" w:space="0" w:color="auto"/>
      </w:divBdr>
    </w:div>
    <w:div w:id="1418407002">
      <w:bodyDiv w:val="1"/>
      <w:marLeft w:val="0"/>
      <w:marRight w:val="0"/>
      <w:marTop w:val="0"/>
      <w:marBottom w:val="0"/>
      <w:divBdr>
        <w:top w:val="none" w:sz="0" w:space="0" w:color="auto"/>
        <w:left w:val="none" w:sz="0" w:space="0" w:color="auto"/>
        <w:bottom w:val="none" w:sz="0" w:space="0" w:color="auto"/>
        <w:right w:val="none" w:sz="0" w:space="0" w:color="auto"/>
      </w:divBdr>
    </w:div>
    <w:div w:id="1672216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f69e9-496e-4f97-97a5-7a381208e21e" xsi:nil="true"/>
    <lcf76f155ced4ddcb4097134ff3c332f xmlns="a52a2fff-c856-4afe-ba02-d840f1446be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000016ECB6D7247A961286DF5BDB283" ma:contentTypeVersion="14" ma:contentTypeDescription="สร้างเอกสารใหม่" ma:contentTypeScope="" ma:versionID="f5cfb43f24bb70c11fc4b5d1dd8921ec">
  <xsd:schema xmlns:xsd="http://www.w3.org/2001/XMLSchema" xmlns:xs="http://www.w3.org/2001/XMLSchema" xmlns:p="http://schemas.microsoft.com/office/2006/metadata/properties" xmlns:ns2="a52a2fff-c856-4afe-ba02-d840f1446be9" xmlns:ns3="ad8f69e9-496e-4f97-97a5-7a381208e21e" targetNamespace="http://schemas.microsoft.com/office/2006/metadata/properties" ma:root="true" ma:fieldsID="aa838eb718d33372ba2f9d40b6649724" ns2:_="" ns3:_="">
    <xsd:import namespace="a52a2fff-c856-4afe-ba02-d840f1446be9"/>
    <xsd:import namespace="ad8f69e9-496e-4f97-97a5-7a381208e21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a2fff-c856-4afe-ba02-d840f1446b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d8f69e9-496e-4f97-97a5-7a381208e21e"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element name="TaxCatchAll" ma:index="21" nillable="true" ma:displayName="Taxonomy Catch All Column" ma:hidden="true" ma:list="{18a9fe03-8e17-4b0a-ac32-8442c6ad6c82}" ma:internalName="TaxCatchAll" ma:showField="CatchAllData" ma:web="ad8f69e9-496e-4f97-97a5-7a381208e2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44F7E2-34FD-40AA-807F-FB896D5367DA}">
  <ds:schemaRefs>
    <ds:schemaRef ds:uri="http://purl.org/dc/elements/1.1/"/>
    <ds:schemaRef ds:uri="http://schemas.microsoft.com/office/2006/metadata/properties"/>
    <ds:schemaRef ds:uri="http://purl.org/dc/terms/"/>
    <ds:schemaRef ds:uri="a52a2fff-c856-4afe-ba02-d840f1446be9"/>
    <ds:schemaRef ds:uri="http://schemas.microsoft.com/office/2006/documentManagement/types"/>
    <ds:schemaRef ds:uri="ad8f69e9-496e-4f97-97a5-7a381208e21e"/>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5C7EE61-C036-4881-8F66-C46202F75DD3}">
  <ds:schemaRefs>
    <ds:schemaRef ds:uri="http://schemas.openxmlformats.org/officeDocument/2006/bibliography"/>
  </ds:schemaRefs>
</ds:datastoreItem>
</file>

<file path=customXml/itemProps3.xml><?xml version="1.0" encoding="utf-8"?>
<ds:datastoreItem xmlns:ds="http://schemas.openxmlformats.org/officeDocument/2006/customXml" ds:itemID="{E3F11B84-3497-4B21-9ECF-35BBE507BB53}">
  <ds:schemaRefs>
    <ds:schemaRef ds:uri="http://schemas.microsoft.com/sharepoint/v3/contenttype/forms"/>
  </ds:schemaRefs>
</ds:datastoreItem>
</file>

<file path=customXml/itemProps4.xml><?xml version="1.0" encoding="utf-8"?>
<ds:datastoreItem xmlns:ds="http://schemas.openxmlformats.org/officeDocument/2006/customXml" ds:itemID="{758B3D41-F317-4319-87C4-A3263256A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a2fff-c856-4afe-ba02-d840f1446be9"/>
    <ds:schemaRef ds:uri="ad8f69e9-496e-4f97-97a5-7a381208e2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40413</vt:lpwstr>
  </property>
  <property fmtid="{D5CDD505-2E9C-101B-9397-08002B2CF9AE}" pid="4" name="OptimizationTime">
    <vt:lpwstr>20221114_2247</vt:lpwstr>
  </property>
</Properties>
</file>

<file path=docProps/app.xml><?xml version="1.0" encoding="utf-8"?>
<Properties xmlns="http://schemas.openxmlformats.org/officeDocument/2006/extended-properties" xmlns:vt="http://schemas.openxmlformats.org/officeDocument/2006/docPropsVTypes">
  <Template>Normal.dotm</Template>
  <TotalTime>6</TotalTime>
  <Pages>5</Pages>
  <Words>1252</Words>
  <Characters>7142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Monthira Nitsuwan</cp:lastModifiedBy>
  <cp:revision>11</cp:revision>
  <cp:lastPrinted>2022-11-14T11:50:00Z</cp:lastPrinted>
  <dcterms:created xsi:type="dcterms:W3CDTF">2022-11-08T10:52:00Z</dcterms:created>
  <dcterms:modified xsi:type="dcterms:W3CDTF">2022-11-14T15:40:00Z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y fmtid="{D5CDD505-2E9C-101B-9397-08002B2CF9AE}" pid="3" name="MediaServiceImageTags">
    <vt:lpwstr/>
  </property>
</Properties>
</file>