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F03C7C" w14:paraId="188ECD13" w14:textId="77777777" w:rsidTr="00F03C7C">
        <w:trPr>
          <w:trHeight w:val="2865"/>
        </w:trPr>
        <w:tc>
          <w:tcPr>
            <w:tcW w:w="2718" w:type="dxa"/>
          </w:tcPr>
          <w:p w14:paraId="74EA47F9" w14:textId="77777777" w:rsidR="00F03C7C" w:rsidRDefault="00F03C7C">
            <w:pPr>
              <w:spacing w:line="380" w:lineRule="exact"/>
              <w:rPr>
                <w:rFonts w:ascii="Angsana New" w:hAnsi="Angsana New"/>
                <w:sz w:val="34"/>
                <w:szCs w:val="34"/>
              </w:rPr>
            </w:pPr>
          </w:p>
        </w:tc>
        <w:tc>
          <w:tcPr>
            <w:tcW w:w="6960" w:type="dxa"/>
            <w:vAlign w:val="center"/>
            <w:hideMark/>
          </w:tcPr>
          <w:p w14:paraId="5AD81570" w14:textId="77777777" w:rsidR="00F03C7C" w:rsidRDefault="00F03C7C">
            <w:pPr>
              <w:spacing w:line="380" w:lineRule="exact"/>
              <w:ind w:left="14"/>
              <w:rPr>
                <w:rFonts w:cs="Times New Roman"/>
                <w:color w:val="7E7F82"/>
                <w:sz w:val="28"/>
                <w:szCs w:val="28"/>
                <w:cs/>
              </w:rPr>
            </w:pPr>
            <w:proofErr w:type="spellStart"/>
            <w:r>
              <w:rPr>
                <w:rFonts w:eastAsia="MS Mincho" w:hAnsi="Times New Roman" w:cs="Times New Roman"/>
                <w:color w:val="7F7E82"/>
                <w:sz w:val="28"/>
                <w:szCs w:val="28"/>
              </w:rPr>
              <w:t>Khonburi</w:t>
            </w:r>
            <w:proofErr w:type="spellEnd"/>
            <w:r>
              <w:rPr>
                <w:rFonts w:eastAsia="MS Mincho" w:hAnsi="Times New Roman" w:cs="Times New Roman"/>
                <w:color w:val="7F7E82"/>
                <w:sz w:val="28"/>
                <w:szCs w:val="28"/>
              </w:rPr>
              <w:t xml:space="preserve"> Sugar Public Company Limited</w:t>
            </w:r>
            <w:r>
              <w:rPr>
                <w:rFonts w:cs="Times New Roman"/>
                <w:color w:val="7E7F82"/>
                <w:sz w:val="28"/>
                <w:szCs w:val="28"/>
              </w:rPr>
              <w:t xml:space="preserve"> </w:t>
            </w:r>
            <w:r>
              <w:rPr>
                <w:rFonts w:cs="Cordia New"/>
                <w:color w:val="7E7F82"/>
                <w:sz w:val="28"/>
                <w:szCs w:val="28"/>
                <w:cs/>
              </w:rPr>
              <w:t xml:space="preserve">                                   </w:t>
            </w:r>
            <w:r>
              <w:rPr>
                <w:rFonts w:cs="Times New Roman"/>
                <w:color w:val="7E7F82"/>
                <w:sz w:val="28"/>
                <w:szCs w:val="28"/>
              </w:rPr>
              <w:t>and its subsidiar</w:t>
            </w:r>
            <w:r>
              <w:rPr>
                <w:color w:val="7E7F82"/>
                <w:sz w:val="28"/>
                <w:szCs w:val="28"/>
              </w:rPr>
              <w:t>ies</w:t>
            </w:r>
          </w:p>
          <w:p w14:paraId="2EBB5ECD" w14:textId="77777777" w:rsidR="00F03C7C" w:rsidRDefault="00F03C7C">
            <w:pPr>
              <w:spacing w:line="380" w:lineRule="exact"/>
              <w:ind w:left="14" w:right="-126"/>
              <w:rPr>
                <w:rFonts w:cs="Times New Roman"/>
                <w:color w:val="7E7F82"/>
                <w:sz w:val="28"/>
                <w:szCs w:val="28"/>
              </w:rPr>
            </w:pPr>
            <w:r>
              <w:rPr>
                <w:rFonts w:cs="Times New Roman"/>
                <w:color w:val="7E7F82"/>
                <w:sz w:val="28"/>
                <w:szCs w:val="28"/>
              </w:rPr>
              <w:t>Report and consolidated financial statements</w:t>
            </w:r>
          </w:p>
          <w:p w14:paraId="6530B4A3" w14:textId="77777777" w:rsidR="00F03C7C" w:rsidRDefault="00F03C7C">
            <w:pPr>
              <w:spacing w:line="380" w:lineRule="exact"/>
              <w:ind w:left="14"/>
              <w:rPr>
                <w:rFonts w:hAnsi="Times New Roman" w:cs="Cordia New"/>
                <w:color w:val="7F7E82"/>
                <w:sz w:val="28"/>
                <w:szCs w:val="28"/>
              </w:rPr>
            </w:pPr>
            <w:r>
              <w:rPr>
                <w:rFonts w:cs="Times New Roman"/>
                <w:color w:val="7E7F82"/>
                <w:sz w:val="28"/>
                <w:szCs w:val="28"/>
              </w:rPr>
              <w:t>31 December 2022</w:t>
            </w:r>
          </w:p>
        </w:tc>
      </w:tr>
    </w:tbl>
    <w:p w14:paraId="395E0F0B" w14:textId="77777777" w:rsidR="00F03C7C" w:rsidRDefault="00F03C7C" w:rsidP="00F03C7C">
      <w:pPr>
        <w:overflowPunct/>
        <w:autoSpaceDE/>
        <w:autoSpaceDN/>
        <w:adjustRightInd/>
        <w:sectPr w:rsidR="00F03C7C">
          <w:pgSz w:w="11907" w:h="16840"/>
          <w:pgMar w:top="1728" w:right="1080" w:bottom="11520" w:left="360" w:header="720" w:footer="720" w:gutter="0"/>
          <w:cols w:space="720"/>
          <w:vAlign w:val="bottom"/>
        </w:sectPr>
      </w:pPr>
    </w:p>
    <w:p w14:paraId="6873FB3A" w14:textId="77777777" w:rsidR="00F03C7C" w:rsidRDefault="00F03C7C" w:rsidP="00F03C7C">
      <w:pPr>
        <w:spacing w:before="120" w:line="380" w:lineRule="exact"/>
        <w:ind w:right="-43"/>
        <w:rPr>
          <w:rFonts w:ascii="Arial" w:hAnsi="Arial" w:cs="Arial"/>
          <w:b/>
          <w:bCs/>
          <w:sz w:val="22"/>
          <w:szCs w:val="22"/>
          <w:cs/>
        </w:rPr>
      </w:pPr>
      <w:r>
        <w:rPr>
          <w:rFonts w:ascii="Arial" w:hAnsi="Arial" w:cs="Arial"/>
          <w:b/>
          <w:bCs/>
          <w:sz w:val="22"/>
          <w:szCs w:val="22"/>
        </w:rPr>
        <w:lastRenderedPageBreak/>
        <w:t>Independent Auditor's Report</w:t>
      </w:r>
    </w:p>
    <w:p w14:paraId="4479BEEE" w14:textId="77777777" w:rsidR="00F03C7C" w:rsidRDefault="00F03C7C" w:rsidP="00F03C7C">
      <w:pPr>
        <w:spacing w:after="240" w:line="380" w:lineRule="exact"/>
        <w:ind w:right="-43"/>
        <w:rPr>
          <w:rFonts w:ascii="Arial" w:hAnsi="Arial" w:cs="Arial"/>
          <w:sz w:val="22"/>
          <w:szCs w:val="22"/>
        </w:rPr>
      </w:pPr>
      <w:r>
        <w:rPr>
          <w:rFonts w:ascii="Arial" w:hAnsi="Arial" w:cs="Arial"/>
          <w:sz w:val="22"/>
          <w:szCs w:val="22"/>
        </w:rPr>
        <w:t xml:space="preserve">To the Shareholders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p w14:paraId="0D9E88A8" w14:textId="77777777" w:rsidR="00F03C7C" w:rsidRDefault="00F03C7C" w:rsidP="00F03C7C">
      <w:pPr>
        <w:pStyle w:val="BodyText"/>
        <w:spacing w:before="360" w:after="120" w:line="380" w:lineRule="exact"/>
        <w:ind w:right="-43"/>
        <w:jc w:val="left"/>
        <w:rPr>
          <w:rFonts w:ascii="Arial" w:hAnsi="Arial" w:cs="Cordia New"/>
          <w:b/>
          <w:bCs/>
          <w:sz w:val="22"/>
          <w:szCs w:val="22"/>
        </w:rPr>
      </w:pPr>
      <w:r>
        <w:rPr>
          <w:rFonts w:ascii="Arial" w:hAnsi="Arial" w:cs="Arial"/>
          <w:b/>
          <w:bCs/>
          <w:sz w:val="22"/>
          <w:szCs w:val="22"/>
        </w:rPr>
        <w:t>O</w:t>
      </w:r>
      <w:r>
        <w:rPr>
          <w:rFonts w:ascii="Arial" w:hAnsi="Arial" w:cs="Cordia New"/>
          <w:b/>
          <w:bCs/>
          <w:sz w:val="22"/>
          <w:szCs w:val="22"/>
        </w:rPr>
        <w:t>pinion</w:t>
      </w:r>
    </w:p>
    <w:p w14:paraId="15ED407E"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(the Group), which comprise the consolidated statement of financial position as at 31 December 2022,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for the same period.</w:t>
      </w:r>
    </w:p>
    <w:p w14:paraId="49CFE2BC"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my opinion, the financial statements referred to above present fairly, in all material respects, </w:t>
      </w:r>
      <w:r>
        <w:rPr>
          <w:rFonts w:ascii="Arial" w:hAnsi="Arial" w:cs="Arial"/>
          <w:sz w:val="22"/>
          <w:szCs w:val="22"/>
        </w:rPr>
        <w:br/>
        <w:t xml:space="preserve">the financial position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and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as </w:t>
      </w:r>
      <w:proofErr w:type="gramStart"/>
      <w:r>
        <w:rPr>
          <w:rFonts w:ascii="Arial" w:hAnsi="Arial" w:cs="Arial"/>
          <w:sz w:val="22"/>
          <w:szCs w:val="22"/>
        </w:rPr>
        <w:t>at</w:t>
      </w:r>
      <w:proofErr w:type="gramEnd"/>
      <w:r>
        <w:rPr>
          <w:rFonts w:ascii="Arial" w:hAnsi="Arial" w:cs="Arial"/>
          <w:sz w:val="22"/>
          <w:szCs w:val="22"/>
        </w:rPr>
        <w:t xml:space="preserve"> 31 December 2022, their financial performance and cash flows for the year then ended in accordance with Thai Financial Reporting Standards.</w:t>
      </w:r>
    </w:p>
    <w:p w14:paraId="473A32A5"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Basis for Opinion</w:t>
      </w:r>
    </w:p>
    <w:p w14:paraId="1EB5B072" w14:textId="77777777" w:rsidR="00F03C7C" w:rsidRDefault="00F03C7C" w:rsidP="00F03C7C">
      <w:pPr>
        <w:pStyle w:val="BodyText"/>
        <w:spacing w:before="120" w:after="120" w:line="380" w:lineRule="exact"/>
        <w:ind w:right="-43"/>
        <w:jc w:val="left"/>
        <w:rPr>
          <w:rFonts w:ascii="Arial" w:hAnsi="Arial" w:cs="Arial"/>
          <w:sz w:val="20"/>
          <w:szCs w:val="20"/>
        </w:rPr>
      </w:pPr>
      <w:r>
        <w:rPr>
          <w:rFonts w:ascii="Arial" w:hAnsi="Arial" w:cs="Arial"/>
          <w:sz w:val="22"/>
          <w:szCs w:val="20"/>
        </w:rPr>
        <w:t xml:space="preserve">I conducted my audit in accordance with Thai Standards on Auditing. My responsibilities under those standards are further described in the </w:t>
      </w:r>
      <w:r>
        <w:rPr>
          <w:rFonts w:ascii="Arial" w:hAnsi="Arial" w:cs="Arial"/>
          <w:i/>
          <w:iCs/>
          <w:sz w:val="22"/>
          <w:szCs w:val="20"/>
        </w:rPr>
        <w:t>Auditor’s Responsibilities for the Audit of the Financial Statements</w:t>
      </w:r>
      <w:r>
        <w:rPr>
          <w:rFonts w:ascii="Arial" w:hAnsi="Arial" w:cs="Arial"/>
          <w:sz w:val="22"/>
          <w:szCs w:val="20"/>
        </w:rPr>
        <w:t xml:space="preserve"> section of my report. I am independent of the Group in accordance with the </w:t>
      </w:r>
      <w:r>
        <w:rPr>
          <w:rFonts w:ascii="Arial" w:hAnsi="Arial" w:cs="Arial"/>
          <w:i/>
          <w:iCs/>
          <w:sz w:val="22"/>
          <w:szCs w:val="20"/>
        </w:rPr>
        <w:t>Code of Ethics for Professional Accountants</w:t>
      </w:r>
      <w:r>
        <w:rPr>
          <w:rFonts w:ascii="Arial" w:hAnsi="Arial"/>
          <w:i/>
          <w:iCs/>
          <w:sz w:val="22"/>
          <w:szCs w:val="20"/>
        </w:rPr>
        <w:t xml:space="preserve"> including Independence Standards</w:t>
      </w:r>
      <w:r>
        <w:rPr>
          <w:rFonts w:ascii="Arial" w:hAnsi="Arial" w:cs="Arial"/>
          <w:sz w:val="22"/>
          <w:szCs w:val="20"/>
        </w:rPr>
        <w:t xml:space="preserve"> </w:t>
      </w:r>
      <w:r>
        <w:rPr>
          <w:rFonts w:ascii="Arial" w:hAnsi="Arial" w:cs="Browallia New"/>
          <w:sz w:val="22"/>
          <w:szCs w:val="24"/>
        </w:rPr>
        <w:t xml:space="preserve">issued by </w:t>
      </w:r>
      <w:r>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B3ECA5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 </w:t>
      </w:r>
    </w:p>
    <w:p w14:paraId="72E5965D" w14:textId="77777777" w:rsidR="00F03C7C" w:rsidRDefault="00F03C7C" w:rsidP="00F03C7C">
      <w:pPr>
        <w:overflowPunct/>
        <w:autoSpaceDE/>
        <w:autoSpaceDN/>
        <w:adjustRightInd/>
        <w:rPr>
          <w:rFonts w:ascii="Arial" w:hAnsi="Arial" w:cs="Arial"/>
          <w:sz w:val="22"/>
          <w:szCs w:val="22"/>
        </w:rPr>
        <w:sectPr w:rsidR="00F03C7C">
          <w:pgSz w:w="11909" w:h="16834"/>
          <w:pgMar w:top="3600" w:right="1080" w:bottom="1080" w:left="1296" w:header="706" w:footer="706" w:gutter="0"/>
          <w:pgNumType w:start="2"/>
          <w:cols w:space="720"/>
        </w:sectPr>
      </w:pPr>
    </w:p>
    <w:p w14:paraId="6CC66C69" w14:textId="77777777" w:rsidR="00F03C7C" w:rsidRDefault="00F03C7C" w:rsidP="00F03C7C">
      <w:pPr>
        <w:pStyle w:val="BodyText"/>
        <w:spacing w:before="80" w:after="80" w:line="380" w:lineRule="exact"/>
        <w:ind w:right="-43"/>
        <w:jc w:val="left"/>
        <w:rPr>
          <w:rFonts w:ascii="Arial" w:hAnsi="Arial" w:cs="Arial"/>
          <w:b/>
          <w:bCs/>
          <w:sz w:val="22"/>
          <w:szCs w:val="22"/>
        </w:rPr>
      </w:pPr>
      <w:r>
        <w:rPr>
          <w:rFonts w:ascii="Arial" w:hAnsi="Arial" w:cs="Arial"/>
          <w:b/>
          <w:bCs/>
          <w:sz w:val="22"/>
          <w:szCs w:val="22"/>
        </w:rPr>
        <w:lastRenderedPageBreak/>
        <w:t>Key Audit Matter</w:t>
      </w:r>
    </w:p>
    <w:p w14:paraId="1339F773" w14:textId="77777777"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 xml:space="preserve">Key audit matter is that matter that, in my professional judgement, was of most significance in my audit of the financial statements of the current period. This matter was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this matter.</w:t>
      </w:r>
    </w:p>
    <w:p w14:paraId="31D6C1A2" w14:textId="77777777" w:rsidR="00F03C7C" w:rsidRDefault="00F03C7C" w:rsidP="00F03C7C">
      <w:pPr>
        <w:pStyle w:val="BodyText"/>
        <w:spacing w:before="80" w:after="80" w:line="380" w:lineRule="exact"/>
        <w:ind w:right="-43"/>
        <w:jc w:val="left"/>
        <w:rPr>
          <w:rFonts w:ascii="Arial" w:hAnsi="Arial" w:cs="Arial"/>
          <w:i/>
          <w:iCs/>
          <w:color w:val="8496B0"/>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16CF28F0" w14:textId="61BBA850"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Key audit matter and how audit procedures respond</w:t>
      </w:r>
      <w:r w:rsidR="00FD21F6">
        <w:rPr>
          <w:rFonts w:ascii="Arial" w:hAnsi="Arial" w:cs="Arial"/>
          <w:sz w:val="22"/>
          <w:szCs w:val="22"/>
        </w:rPr>
        <w:t xml:space="preserve"> for the matter</w:t>
      </w:r>
      <w:r>
        <w:rPr>
          <w:rFonts w:ascii="Arial" w:hAnsi="Arial" w:cs="Arial"/>
          <w:sz w:val="22"/>
          <w:szCs w:val="22"/>
        </w:rPr>
        <w:t xml:space="preserve"> </w:t>
      </w:r>
      <w:r w:rsidR="00C30C5C">
        <w:rPr>
          <w:rFonts w:ascii="Arial" w:hAnsi="Arial" w:cs="Arial"/>
          <w:sz w:val="22"/>
          <w:szCs w:val="22"/>
        </w:rPr>
        <w:t>is</w:t>
      </w:r>
      <w:r>
        <w:rPr>
          <w:rFonts w:ascii="Arial" w:hAnsi="Arial" w:cs="Arial"/>
          <w:sz w:val="22"/>
          <w:szCs w:val="22"/>
        </w:rPr>
        <w:t xml:space="preserve"> described below.</w:t>
      </w:r>
    </w:p>
    <w:p w14:paraId="246244CC" w14:textId="77777777" w:rsidR="00F03C7C" w:rsidRDefault="00F03C7C" w:rsidP="00F03C7C">
      <w:pPr>
        <w:spacing w:before="120" w:after="120" w:line="380" w:lineRule="exact"/>
        <w:rPr>
          <w:rFonts w:ascii="Arial" w:hAnsi="Arial" w:cs="Arial"/>
          <w:b/>
          <w:bCs/>
          <w:sz w:val="22"/>
          <w:szCs w:val="22"/>
        </w:rPr>
      </w:pPr>
      <w:r>
        <w:rPr>
          <w:rFonts w:ascii="Arial" w:hAnsi="Arial" w:cs="Arial"/>
          <w:b/>
          <w:bCs/>
          <w:sz w:val="22"/>
          <w:szCs w:val="22"/>
        </w:rPr>
        <w:t>Allowance for expected credit losses of sugar cane plantation receivables</w:t>
      </w:r>
    </w:p>
    <w:p w14:paraId="68F61621" w14:textId="77777777" w:rsidR="00F03C7C" w:rsidRDefault="00F03C7C" w:rsidP="00F03C7C">
      <w:pPr>
        <w:spacing w:before="120" w:after="120" w:line="380" w:lineRule="exact"/>
        <w:rPr>
          <w:rFonts w:ascii="Arial" w:hAnsi="Arial" w:cs="Arial"/>
          <w:sz w:val="22"/>
          <w:szCs w:val="22"/>
        </w:rPr>
      </w:pPr>
      <w:r>
        <w:rPr>
          <w:rFonts w:ascii="Arial" w:hAnsi="Arial" w:cs="Arial"/>
          <w:sz w:val="22"/>
          <w:szCs w:val="22"/>
        </w:rPr>
        <w:t>As discussed in Note 10 to the financial statements, the allowance for expected credit losses of sugar cane plantation receivables is estimated based on various assumptions. Therefore, the management is required to exercise considerable judgement in determining the assumptions to be used in estimating allowance for expected credit losses of the sugar cane plantation receivables to be incurred when debtors are unable to repay principal. Therefore, I considered the adequacy and appropriateness of the accounting recording of allowance for expected credit losses of sugar cane plantation receivables is a key audit matter.</w:t>
      </w:r>
    </w:p>
    <w:p w14:paraId="43BBEFE4" w14:textId="77777777" w:rsidR="00F03C7C" w:rsidRDefault="00F03C7C" w:rsidP="00F03C7C">
      <w:pPr>
        <w:spacing w:before="120" w:after="120" w:line="380" w:lineRule="exact"/>
        <w:rPr>
          <w:rFonts w:ascii="Arial" w:hAnsi="Arial" w:cs="Arial"/>
          <w:sz w:val="22"/>
          <w:szCs w:val="22"/>
        </w:rPr>
      </w:pPr>
      <w:r>
        <w:rPr>
          <w:rFonts w:ascii="Arial" w:hAnsi="Arial" w:cs="Arial"/>
          <w:sz w:val="22"/>
          <w:szCs w:val="22"/>
        </w:rPr>
        <w:t>I assessed and tested the internal controls relevant to sugar cane plantation receivables and gained an understanding of its allowance for expected credit losses. I also assessed the key information, assumptions and methods used by the Company in calculating allowance for expected credit losses of sugar cane plantation receivables applying the following procedures:</w:t>
      </w:r>
    </w:p>
    <w:p w14:paraId="1BEED9FE"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Gaining an understanding of the basis applied in determining allowance for expected credit losses of sugar cane plantation receivables in general and specific </w:t>
      </w:r>
      <w:proofErr w:type="gramStart"/>
      <w:r>
        <w:rPr>
          <w:rFonts w:ascii="Arial" w:eastAsia="Times New Roman" w:hAnsi="Arial" w:cs="Arial"/>
          <w:szCs w:val="22"/>
        </w:rPr>
        <w:t>cases, and</w:t>
      </w:r>
      <w:proofErr w:type="gramEnd"/>
      <w:r>
        <w:rPr>
          <w:rFonts w:ascii="Arial" w:eastAsia="Times New Roman" w:hAnsi="Arial" w:cs="Arial"/>
          <w:szCs w:val="22"/>
        </w:rPr>
        <w:t xml:space="preserve"> reviewing the consistency of the application of that basis.</w:t>
      </w:r>
    </w:p>
    <w:p w14:paraId="352DA8C9"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 performed analytical procedures of assumptions that the Company applied against historical data to determine reasonableness of the assumptions. </w:t>
      </w:r>
    </w:p>
    <w:p w14:paraId="33B0F3BF"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I tested the calculation of allowance for expected credit losses of sugar cane plantation receivables.</w:t>
      </w:r>
    </w:p>
    <w:p w14:paraId="015C1697"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2683C03A" w14:textId="6832D682" w:rsidR="00F03C7C" w:rsidRDefault="00F03C7C" w:rsidP="00F03C7C">
      <w:pPr>
        <w:spacing w:before="240" w:after="120" w:line="380" w:lineRule="exact"/>
        <w:rPr>
          <w:rFonts w:ascii="Arial" w:hAnsi="Arial" w:cs="Arial"/>
          <w:b/>
          <w:bCs/>
          <w:sz w:val="22"/>
          <w:szCs w:val="22"/>
        </w:rPr>
      </w:pPr>
      <w:r>
        <w:rPr>
          <w:rFonts w:ascii="Arial" w:hAnsi="Arial" w:cs="Arial"/>
          <w:b/>
          <w:bCs/>
          <w:sz w:val="22"/>
          <w:szCs w:val="22"/>
        </w:rPr>
        <w:lastRenderedPageBreak/>
        <w:t>Other Information</w:t>
      </w:r>
    </w:p>
    <w:p w14:paraId="277242BE"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5774C6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CBB4CBC"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287B940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7EB82B4"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101EDEA"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210D82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4198E7"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2ECF8316"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0E93A100" w14:textId="44DB5EC5"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09430A0"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01A49B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B8B827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Pr>
          <w:rFonts w:ascii="Arial" w:eastAsia="Times New Roman" w:hAnsi="Arial" w:cs="Arial"/>
          <w:szCs w:val="22"/>
        </w:rPr>
        <w:br/>
        <w:t>one resulting from error, as fraud may involve collusion, forgery, intentional omissions, misrepresentations, or the override of internal control.</w:t>
      </w:r>
    </w:p>
    <w:p w14:paraId="62181E63"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252A73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appropriateness of accounting policies used and the reasonableness of accounting estimates and related disclosures made by management.</w:t>
      </w:r>
    </w:p>
    <w:p w14:paraId="47E4B38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C7384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40B0D23" w14:textId="77777777" w:rsidR="00F03C7C" w:rsidRDefault="00F03C7C">
      <w:pPr>
        <w:overflowPunct/>
        <w:autoSpaceDE/>
        <w:autoSpaceDN/>
        <w:adjustRightInd/>
        <w:spacing w:after="160" w:line="259" w:lineRule="auto"/>
        <w:rPr>
          <w:rFonts w:ascii="Arial" w:hAnsi="Arial" w:cs="Arial"/>
          <w:sz w:val="22"/>
          <w:szCs w:val="22"/>
        </w:rPr>
      </w:pPr>
      <w:r>
        <w:rPr>
          <w:rFonts w:ascii="Arial" w:hAnsi="Arial" w:cs="Arial"/>
          <w:szCs w:val="22"/>
        </w:rPr>
        <w:br w:type="page"/>
      </w:r>
    </w:p>
    <w:p w14:paraId="14C5C7AB" w14:textId="69E4A7ED"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eastAsia="Times New Roman" w:hAnsi="Arial" w:cs="Arial"/>
          <w:szCs w:val="22"/>
        </w:rPr>
        <w:t>supervision</w:t>
      </w:r>
      <w:proofErr w:type="gramEnd"/>
      <w:r>
        <w:rPr>
          <w:rFonts w:ascii="Arial" w:eastAsia="Times New Roman" w:hAnsi="Arial" w:cs="Arial"/>
          <w:szCs w:val="22"/>
        </w:rPr>
        <w:t xml:space="preserve"> and performance of the group audit. I remain solely responsible for my audit opinion.</w:t>
      </w:r>
    </w:p>
    <w:p w14:paraId="0289AB7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6848F02" w14:textId="28EEAE2C"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F2D33"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25D67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am responsible for the audit resulting in this independent auditor’s report.</w:t>
      </w:r>
    </w:p>
    <w:p w14:paraId="00A18460" w14:textId="77777777" w:rsidR="00F03C7C" w:rsidRDefault="00F03C7C" w:rsidP="00F03C7C">
      <w:pPr>
        <w:spacing w:line="380" w:lineRule="exact"/>
        <w:rPr>
          <w:rFonts w:ascii="Arial" w:hAnsi="Arial" w:cs="Arial"/>
          <w:sz w:val="22"/>
          <w:szCs w:val="22"/>
        </w:rPr>
      </w:pPr>
    </w:p>
    <w:p w14:paraId="4F6014FE" w14:textId="77777777" w:rsidR="00F03C7C" w:rsidRDefault="00F03C7C" w:rsidP="00F03C7C">
      <w:pPr>
        <w:spacing w:before="1000" w:line="380" w:lineRule="exact"/>
        <w:rPr>
          <w:rFonts w:ascii="Arial" w:hAnsi="Arial" w:cs="Browallia New"/>
          <w:sz w:val="22"/>
          <w:szCs w:val="28"/>
        </w:rPr>
      </w:pPr>
      <w:r>
        <w:rPr>
          <w:rFonts w:ascii="Arial" w:hAnsi="Arial" w:cs="Browallia New"/>
          <w:sz w:val="22"/>
          <w:szCs w:val="28"/>
        </w:rPr>
        <w:t>Orawan Techawatanasirikul</w:t>
      </w:r>
    </w:p>
    <w:p w14:paraId="34123500" w14:textId="77777777" w:rsidR="00F03C7C" w:rsidRDefault="00F03C7C" w:rsidP="00F03C7C">
      <w:pPr>
        <w:spacing w:after="120" w:line="380" w:lineRule="exact"/>
        <w:rPr>
          <w:rFonts w:ascii="Arial" w:hAnsi="Arial" w:cs="Arial"/>
          <w:sz w:val="22"/>
          <w:szCs w:val="22"/>
        </w:rPr>
      </w:pPr>
      <w:r>
        <w:rPr>
          <w:rFonts w:ascii="Arial" w:hAnsi="Arial" w:cs="Arial"/>
          <w:sz w:val="22"/>
          <w:szCs w:val="22"/>
        </w:rPr>
        <w:t>Certified Public Accountant (Thailand) No. 4807</w:t>
      </w:r>
    </w:p>
    <w:p w14:paraId="39881AD7" w14:textId="77777777" w:rsidR="00F03C7C" w:rsidRDefault="00F03C7C" w:rsidP="00F03C7C">
      <w:pPr>
        <w:spacing w:before="240" w:line="380" w:lineRule="exact"/>
        <w:rPr>
          <w:rFonts w:ascii="Arial" w:hAnsi="Arial" w:cs="Arial"/>
          <w:sz w:val="22"/>
          <w:szCs w:val="22"/>
        </w:rPr>
      </w:pPr>
      <w:r>
        <w:rPr>
          <w:rFonts w:ascii="Arial" w:hAnsi="Arial" w:cs="Arial"/>
          <w:sz w:val="22"/>
          <w:szCs w:val="22"/>
        </w:rPr>
        <w:t>EY Office Limited</w:t>
      </w:r>
    </w:p>
    <w:p w14:paraId="357A7BC7" w14:textId="77777777" w:rsidR="00F03C7C" w:rsidRDefault="00F03C7C" w:rsidP="00F03C7C">
      <w:pPr>
        <w:spacing w:line="380" w:lineRule="exact"/>
        <w:rPr>
          <w:rFonts w:ascii="Arial" w:hAnsi="Arial" w:cs="Arial"/>
          <w:sz w:val="22"/>
          <w:szCs w:val="22"/>
        </w:rPr>
      </w:pPr>
      <w:r>
        <w:rPr>
          <w:rFonts w:ascii="Arial" w:hAnsi="Arial" w:cs="Arial"/>
          <w:sz w:val="22"/>
          <w:szCs w:val="22"/>
        </w:rPr>
        <w:t>Bangkok</w:t>
      </w:r>
      <w:r>
        <w:rPr>
          <w:rFonts w:ascii="Arial" w:hAnsi="Arial"/>
          <w:sz w:val="22"/>
          <w:szCs w:val="22"/>
        </w:rPr>
        <w:t>:</w:t>
      </w:r>
      <w:r>
        <w:rPr>
          <w:rFonts w:ascii="Arial" w:hAnsi="Arial"/>
          <w:sz w:val="22"/>
          <w:szCs w:val="22"/>
          <w:cs/>
        </w:rPr>
        <w:t xml:space="preserve"> </w:t>
      </w:r>
      <w:r>
        <w:rPr>
          <w:rFonts w:ascii="Arial" w:hAnsi="Arial"/>
          <w:sz w:val="22"/>
          <w:szCs w:val="22"/>
        </w:rPr>
        <w:t>27 February 2023</w:t>
      </w:r>
    </w:p>
    <w:p w14:paraId="36EB5AAF" w14:textId="77777777" w:rsidR="00F03C7C" w:rsidRDefault="00F03C7C" w:rsidP="00F03C7C">
      <w:pPr>
        <w:tabs>
          <w:tab w:val="left" w:pos="1200"/>
        </w:tabs>
        <w:spacing w:line="380" w:lineRule="exact"/>
        <w:ind w:right="-43"/>
        <w:rPr>
          <w:rFonts w:ascii="Arial" w:hAnsi="Arial" w:cs="Arial"/>
          <w:sz w:val="22"/>
          <w:szCs w:val="22"/>
        </w:rPr>
      </w:pPr>
      <w:r>
        <w:rPr>
          <w:rFonts w:ascii="Arial" w:hAnsi="Arial" w:cs="Arial"/>
          <w:sz w:val="22"/>
          <w:szCs w:val="22"/>
        </w:rPr>
        <w:tab/>
      </w:r>
    </w:p>
    <w:p w14:paraId="67771A64" w14:textId="77777777" w:rsidR="00631A3E" w:rsidRPr="00F03C7C" w:rsidRDefault="00631A3E"/>
    <w:sectPr w:rsidR="00631A3E" w:rsidRPr="00F03C7C" w:rsidSect="00F03C7C">
      <w:footerReference w:type="default" r:id="rId9"/>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CA5B" w14:textId="77777777" w:rsidR="00EC5D33" w:rsidRDefault="00EC5D33" w:rsidP="00F03C7C">
      <w:r>
        <w:separator/>
      </w:r>
    </w:p>
  </w:endnote>
  <w:endnote w:type="continuationSeparator" w:id="0">
    <w:p w14:paraId="045E265E" w14:textId="77777777" w:rsidR="00EC5D33" w:rsidRDefault="00EC5D33" w:rsidP="00F0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7245263"/>
      <w:docPartObj>
        <w:docPartGallery w:val="Page Numbers (Bottom of Page)"/>
        <w:docPartUnique/>
      </w:docPartObj>
    </w:sdtPr>
    <w:sdtEndPr>
      <w:rPr>
        <w:rFonts w:ascii="Arial" w:hAnsi="Arial" w:cs="Arial"/>
        <w:noProof/>
        <w:sz w:val="22"/>
        <w:szCs w:val="28"/>
      </w:rPr>
    </w:sdtEndPr>
    <w:sdtContent>
      <w:p w14:paraId="0D2342EA" w14:textId="2B05952F" w:rsidR="00F03C7C" w:rsidRPr="00F03C7C" w:rsidRDefault="00F03C7C">
        <w:pPr>
          <w:pStyle w:val="Footer"/>
          <w:jc w:val="right"/>
          <w:rPr>
            <w:rFonts w:ascii="Arial" w:hAnsi="Arial" w:cs="Arial"/>
            <w:sz w:val="22"/>
            <w:szCs w:val="28"/>
          </w:rPr>
        </w:pPr>
        <w:r w:rsidRPr="00F03C7C">
          <w:rPr>
            <w:rFonts w:ascii="Arial" w:hAnsi="Arial" w:cs="Arial"/>
            <w:sz w:val="22"/>
            <w:szCs w:val="28"/>
          </w:rPr>
          <w:fldChar w:fldCharType="begin"/>
        </w:r>
        <w:r w:rsidRPr="00F03C7C">
          <w:rPr>
            <w:rFonts w:ascii="Arial" w:hAnsi="Arial" w:cs="Arial"/>
            <w:sz w:val="22"/>
            <w:szCs w:val="28"/>
          </w:rPr>
          <w:instrText xml:space="preserve"> PAGE   \* MERGEFORMAT </w:instrText>
        </w:r>
        <w:r w:rsidRPr="00F03C7C">
          <w:rPr>
            <w:rFonts w:ascii="Arial" w:hAnsi="Arial" w:cs="Arial"/>
            <w:sz w:val="22"/>
            <w:szCs w:val="28"/>
          </w:rPr>
          <w:fldChar w:fldCharType="separate"/>
        </w:r>
        <w:r w:rsidRPr="00F03C7C">
          <w:rPr>
            <w:rFonts w:ascii="Arial" w:hAnsi="Arial" w:cs="Arial"/>
            <w:noProof/>
            <w:sz w:val="22"/>
            <w:szCs w:val="28"/>
          </w:rPr>
          <w:t>2</w:t>
        </w:r>
        <w:r w:rsidRPr="00F03C7C">
          <w:rPr>
            <w:rFonts w:ascii="Arial" w:hAnsi="Arial" w:cs="Arial"/>
            <w:noProof/>
            <w:sz w:val="22"/>
            <w:szCs w:val="28"/>
          </w:rPr>
          <w:fldChar w:fldCharType="end"/>
        </w:r>
      </w:p>
    </w:sdtContent>
  </w:sdt>
  <w:p w14:paraId="3C285460" w14:textId="77777777" w:rsidR="00F03C7C" w:rsidRDefault="00F0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82A1D" w14:textId="77777777" w:rsidR="00EC5D33" w:rsidRDefault="00EC5D33" w:rsidP="00F03C7C">
      <w:r>
        <w:separator/>
      </w:r>
    </w:p>
  </w:footnote>
  <w:footnote w:type="continuationSeparator" w:id="0">
    <w:p w14:paraId="6759A74A" w14:textId="77777777" w:rsidR="00EC5D33" w:rsidRDefault="00EC5D33" w:rsidP="00F03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49624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7C"/>
    <w:rsid w:val="00317BFE"/>
    <w:rsid w:val="00631A3E"/>
    <w:rsid w:val="00A13084"/>
    <w:rsid w:val="00C30C5C"/>
    <w:rsid w:val="00E5520F"/>
    <w:rsid w:val="00EC5D33"/>
    <w:rsid w:val="00F03C7C"/>
    <w:rsid w:val="00F86B1C"/>
    <w:rsid w:val="00FD2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C7A8"/>
  <w15:chartTrackingRefBased/>
  <w15:docId w15:val="{AB3405A3-7FEB-44CA-8010-77742221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C7C"/>
    <w:pPr>
      <w:overflowPunct w:val="0"/>
      <w:autoSpaceDE w:val="0"/>
      <w:autoSpaceDN w:val="0"/>
      <w:adjustRightInd w:val="0"/>
      <w:spacing w:after="0" w:line="240" w:lineRule="auto"/>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03C7C"/>
    <w:pPr>
      <w:jc w:val="both"/>
    </w:pPr>
    <w:rPr>
      <w:szCs w:val="28"/>
    </w:rPr>
  </w:style>
  <w:style w:type="character" w:customStyle="1" w:styleId="BodyTextChar">
    <w:name w:val="Body Text Char"/>
    <w:basedOn w:val="DefaultParagraphFont"/>
    <w:link w:val="BodyText"/>
    <w:semiHidden/>
    <w:rsid w:val="00F03C7C"/>
    <w:rPr>
      <w:rFonts w:ascii="Times New Roman" w:eastAsia="Times New Roman" w:hAnsi="Tms Rmn" w:cs="Angsana New"/>
      <w:sz w:val="24"/>
    </w:rPr>
  </w:style>
  <w:style w:type="paragraph" w:styleId="ListParagraph">
    <w:name w:val="List Paragraph"/>
    <w:basedOn w:val="Normal"/>
    <w:uiPriority w:val="34"/>
    <w:qFormat/>
    <w:rsid w:val="00F03C7C"/>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F03C7C"/>
    <w:pPr>
      <w:tabs>
        <w:tab w:val="center" w:pos="4680"/>
        <w:tab w:val="right" w:pos="9360"/>
      </w:tabs>
    </w:pPr>
    <w:rPr>
      <w:szCs w:val="30"/>
    </w:rPr>
  </w:style>
  <w:style w:type="character" w:customStyle="1" w:styleId="HeaderChar">
    <w:name w:val="Header Char"/>
    <w:basedOn w:val="DefaultParagraphFont"/>
    <w:link w:val="Header"/>
    <w:uiPriority w:val="99"/>
    <w:rsid w:val="00F03C7C"/>
    <w:rPr>
      <w:rFonts w:ascii="Times New Roman" w:eastAsia="Times New Roman" w:hAnsi="Tms Rmn" w:cs="Angsana New"/>
      <w:sz w:val="24"/>
      <w:szCs w:val="30"/>
    </w:rPr>
  </w:style>
  <w:style w:type="paragraph" w:styleId="Footer">
    <w:name w:val="footer"/>
    <w:basedOn w:val="Normal"/>
    <w:link w:val="FooterChar"/>
    <w:uiPriority w:val="99"/>
    <w:unhideWhenUsed/>
    <w:rsid w:val="00F03C7C"/>
    <w:pPr>
      <w:tabs>
        <w:tab w:val="center" w:pos="4680"/>
        <w:tab w:val="right" w:pos="9360"/>
      </w:tabs>
    </w:pPr>
    <w:rPr>
      <w:szCs w:val="30"/>
    </w:rPr>
  </w:style>
  <w:style w:type="character" w:customStyle="1" w:styleId="FooterChar">
    <w:name w:val="Footer Char"/>
    <w:basedOn w:val="DefaultParagraphFont"/>
    <w:link w:val="Footer"/>
    <w:uiPriority w:val="99"/>
    <w:rsid w:val="00F03C7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3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8" ma:contentTypeDescription="สร้างเอกสารใหม่" ma:contentTypeScope="" ma:versionID="a04d8349610efb60393cb02d2b14cdf5">
  <xsd:schema xmlns:xsd="http://www.w3.org/2001/XMLSchema" xmlns:xs="http://www.w3.org/2001/XMLSchema" xmlns:p="http://schemas.microsoft.com/office/2006/metadata/properties" xmlns:ns2="a396c7f8-fa1d-406b-a881-ae9199196f47" targetNamespace="http://schemas.microsoft.com/office/2006/metadata/properties" ma:root="true" ma:fieldsID="d247e14f9420cbeaa456423a214e3e40" ns2:_="">
    <xsd:import namespace="a396c7f8-fa1d-406b-a881-ae9199196f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B5D13-CFCF-4453-B8B1-0DE9D4C2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A3CC1-5B84-4B03-A1DD-EA8551C7C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1626</Words>
  <Characters>9273</Characters>
  <Application>Microsoft Office Word</Application>
  <DocSecurity>0</DocSecurity>
  <Lines>77</Lines>
  <Paragraphs>21</Paragraphs>
  <ScaleCrop>false</ScaleCrop>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Waraporn Keawpapan</cp:lastModifiedBy>
  <cp:revision>2</cp:revision>
  <cp:lastPrinted>2023-02-27T09:09:00Z</cp:lastPrinted>
  <dcterms:created xsi:type="dcterms:W3CDTF">2023-02-27T10:20:00Z</dcterms:created>
  <dcterms:modified xsi:type="dcterms:W3CDTF">2023-02-27T10:20:00Z</dcterms:modified>
</cp:coreProperties>
</file>