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358"/>
        <w:gridCol w:w="7110"/>
      </w:tblGrid>
      <w:tr w:rsidR="005E4F0F" w:rsidRPr="00862017" w14:paraId="2C4EB18C" w14:textId="77777777" w:rsidTr="00497D17">
        <w:trPr>
          <w:trHeight w:val="2865"/>
        </w:trPr>
        <w:tc>
          <w:tcPr>
            <w:tcW w:w="2358" w:type="dxa"/>
          </w:tcPr>
          <w:p w14:paraId="33BADFB5" w14:textId="77777777" w:rsidR="005E4F0F" w:rsidRPr="00B74A8C" w:rsidRDefault="005E4F0F" w:rsidP="00AF6568">
            <w:pPr>
              <w:rPr>
                <w:rFonts w:ascii="Angsana New" w:hAnsi="Angsana New"/>
                <w:sz w:val="36"/>
                <w:szCs w:val="36"/>
                <w:cs/>
              </w:rPr>
            </w:pPr>
          </w:p>
        </w:tc>
        <w:tc>
          <w:tcPr>
            <w:tcW w:w="7110" w:type="dxa"/>
            <w:vAlign w:val="center"/>
          </w:tcPr>
          <w:p w14:paraId="2324E392"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 xml:space="preserve">Trinity </w:t>
            </w:r>
            <w:proofErr w:type="spellStart"/>
            <w:r w:rsidRPr="00B74A8C">
              <w:rPr>
                <w:rFonts w:cs="Times New Roman"/>
                <w:color w:val="7E7F82"/>
                <w:sz w:val="28"/>
              </w:rPr>
              <w:t>Watthana</w:t>
            </w:r>
            <w:proofErr w:type="spellEnd"/>
            <w:r w:rsidRPr="00B74A8C">
              <w:rPr>
                <w:rFonts w:cs="Times New Roman"/>
                <w:color w:val="7E7F82"/>
                <w:sz w:val="28"/>
              </w:rPr>
              <w:t xml:space="preserve"> Public Company Limited</w:t>
            </w:r>
          </w:p>
          <w:p w14:paraId="593B1016"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and its subsidiaries</w:t>
            </w:r>
          </w:p>
          <w:p w14:paraId="49E4F0BC"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Report and consolidated financial statements</w:t>
            </w:r>
          </w:p>
          <w:p w14:paraId="6EF446D8" w14:textId="52D36A7C" w:rsidR="005E4F0F" w:rsidRPr="00B9617F" w:rsidRDefault="005E4F0F" w:rsidP="009D5B24">
            <w:pPr>
              <w:spacing w:line="380" w:lineRule="exact"/>
              <w:ind w:left="14"/>
              <w:rPr>
                <w:rFonts w:ascii="Angsana New" w:hAnsi="Angsana New" w:cstheme="minorBidi"/>
                <w:b/>
                <w:bCs/>
                <w:color w:val="7E7F82"/>
                <w:sz w:val="28"/>
                <w:szCs w:val="36"/>
              </w:rPr>
            </w:pPr>
            <w:r w:rsidRPr="00B74A8C">
              <w:rPr>
                <w:rFonts w:cs="Times New Roman"/>
                <w:color w:val="7E7F82"/>
                <w:sz w:val="28"/>
              </w:rPr>
              <w:t xml:space="preserve">31 December </w:t>
            </w:r>
            <w:r w:rsidR="00A878A3">
              <w:rPr>
                <w:rFonts w:cs="Times New Roman"/>
                <w:color w:val="7E7F82"/>
                <w:sz w:val="28"/>
              </w:rPr>
              <w:t>20</w:t>
            </w:r>
            <w:r w:rsidR="00446096">
              <w:rPr>
                <w:rFonts w:cs="Times New Roman"/>
                <w:color w:val="7E7F82"/>
                <w:sz w:val="28"/>
              </w:rPr>
              <w:t>2</w:t>
            </w:r>
            <w:r w:rsidR="00B9617F">
              <w:rPr>
                <w:rFonts w:cs="Times New Roman"/>
                <w:color w:val="7E7F82"/>
                <w:sz w:val="28"/>
              </w:rPr>
              <w:t>2</w:t>
            </w:r>
          </w:p>
        </w:tc>
      </w:tr>
    </w:tbl>
    <w:p w14:paraId="61FE230C" w14:textId="77777777" w:rsidR="005E4F0F" w:rsidRPr="00862017" w:rsidRDefault="005E4F0F" w:rsidP="005E4F0F">
      <w:pPr>
        <w:sectPr w:rsidR="005E4F0F" w:rsidRPr="00862017" w:rsidSect="00497D17">
          <w:pgSz w:w="11907" w:h="16840" w:code="9"/>
          <w:pgMar w:top="1728" w:right="1080" w:bottom="11520" w:left="360" w:header="720" w:footer="720" w:gutter="0"/>
          <w:cols w:space="720"/>
          <w:docGrid w:linePitch="360"/>
        </w:sectPr>
      </w:pPr>
    </w:p>
    <w:p w14:paraId="6D935F5E" w14:textId="77777777" w:rsidR="005E4F0F" w:rsidRPr="00A9638A" w:rsidRDefault="005E4F0F" w:rsidP="00A9638A">
      <w:pPr>
        <w:widowControl/>
        <w:spacing w:line="380" w:lineRule="exact"/>
        <w:outlineLvl w:val="0"/>
        <w:rPr>
          <w:rFonts w:ascii="Arial" w:hAnsi="Arial" w:cs="Arial"/>
          <w:b/>
          <w:bCs/>
          <w:sz w:val="22"/>
          <w:szCs w:val="22"/>
        </w:rPr>
      </w:pPr>
      <w:r w:rsidRPr="00A9638A">
        <w:rPr>
          <w:rFonts w:ascii="Arial" w:hAnsi="Arial" w:cs="Arial"/>
          <w:b/>
          <w:bCs/>
          <w:sz w:val="22"/>
          <w:szCs w:val="22"/>
        </w:rPr>
        <w:lastRenderedPageBreak/>
        <w:t>Independent Auditor</w:t>
      </w:r>
      <w:r w:rsidR="0071290A" w:rsidRPr="00A9638A">
        <w:rPr>
          <w:rFonts w:ascii="Arial" w:hAnsi="Arial" w:cs="Arial"/>
          <w:b/>
          <w:bCs/>
          <w:sz w:val="22"/>
          <w:szCs w:val="22"/>
        </w:rPr>
        <w:t>'s Report</w:t>
      </w:r>
    </w:p>
    <w:p w14:paraId="49BE9B73" w14:textId="77777777" w:rsidR="005E4F0F" w:rsidRPr="00A9638A" w:rsidRDefault="005E4F0F" w:rsidP="00A9638A">
      <w:pPr>
        <w:widowControl/>
        <w:spacing w:line="380" w:lineRule="exact"/>
        <w:rPr>
          <w:rFonts w:ascii="Arial" w:hAnsi="Arial" w:cs="Arial"/>
          <w:color w:val="000000"/>
          <w:sz w:val="22"/>
          <w:szCs w:val="22"/>
        </w:rPr>
      </w:pPr>
      <w:r w:rsidRPr="00A9638A">
        <w:rPr>
          <w:rFonts w:ascii="Arial" w:hAnsi="Arial" w:cs="Arial"/>
          <w:sz w:val="22"/>
          <w:szCs w:val="22"/>
        </w:rPr>
        <w:t xml:space="preserve">To </w:t>
      </w:r>
      <w:r w:rsidR="00F81596" w:rsidRPr="00A9638A">
        <w:rPr>
          <w:rFonts w:ascii="Arial" w:hAnsi="Arial" w:cs="Arial"/>
          <w:sz w:val="22"/>
          <w:szCs w:val="22"/>
        </w:rPr>
        <w:t>t</w:t>
      </w:r>
      <w:r w:rsidRPr="00A9638A">
        <w:rPr>
          <w:rFonts w:ascii="Arial" w:hAnsi="Arial" w:cs="Arial"/>
          <w:sz w:val="22"/>
          <w:szCs w:val="22"/>
        </w:rPr>
        <w:t>he Shareholders of</w:t>
      </w:r>
      <w:r w:rsidRPr="00A9638A">
        <w:rPr>
          <w:rFonts w:ascii="Arial" w:hAnsi="Arial" w:cs="Arial"/>
          <w:color w:val="000000"/>
          <w:sz w:val="22"/>
          <w:szCs w:val="22"/>
        </w:rPr>
        <w:t xml:space="preserve"> 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Public Company Limited</w:t>
      </w:r>
    </w:p>
    <w:p w14:paraId="305E5FD2" w14:textId="053AD1CE" w:rsidR="00A9638A" w:rsidRPr="00A9638A" w:rsidRDefault="000A3E41" w:rsidP="00A9638A">
      <w:pPr>
        <w:pStyle w:val="ps-000-normal"/>
        <w:spacing w:before="360" w:line="380" w:lineRule="exact"/>
        <w:rPr>
          <w:rFonts w:ascii="Arial" w:hAnsi="Arial" w:cs="Arial"/>
          <w:b/>
          <w:bCs/>
          <w:sz w:val="22"/>
          <w:szCs w:val="22"/>
        </w:rPr>
      </w:pPr>
      <w:bookmarkStart w:id="0" w:name="36765555"/>
      <w:bookmarkEnd w:id="0"/>
      <w:r>
        <w:rPr>
          <w:rFonts w:ascii="Arial" w:hAnsi="Arial" w:cs="Arial"/>
          <w:b/>
          <w:bCs/>
          <w:sz w:val="22"/>
          <w:szCs w:val="22"/>
        </w:rPr>
        <w:t>Qualified</w:t>
      </w:r>
      <w:r w:rsidRPr="00A9638A">
        <w:rPr>
          <w:rFonts w:ascii="Arial" w:hAnsi="Arial" w:cs="Arial"/>
          <w:b/>
          <w:bCs/>
          <w:sz w:val="22"/>
          <w:szCs w:val="22"/>
        </w:rPr>
        <w:t xml:space="preserve"> </w:t>
      </w:r>
      <w:r w:rsidR="00A9638A" w:rsidRPr="00A9638A">
        <w:rPr>
          <w:rFonts w:ascii="Arial" w:hAnsi="Arial" w:cs="Arial"/>
          <w:b/>
          <w:bCs/>
          <w:sz w:val="22"/>
          <w:szCs w:val="22"/>
        </w:rPr>
        <w:t>Opinion</w:t>
      </w:r>
    </w:p>
    <w:p w14:paraId="2F8EDB59" w14:textId="53D9253C" w:rsidR="00A9638A" w:rsidRPr="00EE5251" w:rsidRDefault="00A9638A" w:rsidP="00EE5251">
      <w:pPr>
        <w:pStyle w:val="BodyText"/>
        <w:spacing w:before="120" w:after="120" w:line="380" w:lineRule="exact"/>
        <w:ind w:right="-43"/>
        <w:jc w:val="left"/>
        <w:rPr>
          <w:rFonts w:ascii="Arial" w:hAnsi="Arial" w:cs="Arial"/>
          <w:sz w:val="22"/>
          <w:szCs w:val="22"/>
        </w:rPr>
      </w:pPr>
      <w:r w:rsidRPr="00EE5251">
        <w:rPr>
          <w:rFonts w:ascii="Arial" w:hAnsi="Arial" w:cs="Arial"/>
          <w:sz w:val="22"/>
          <w:szCs w:val="22"/>
        </w:rPr>
        <w:t xml:space="preserve">I have audited the accompanying consolidated financial statements of </w:t>
      </w:r>
      <w:r w:rsidRPr="00EE5251">
        <w:rPr>
          <w:rFonts w:ascii="Arial" w:hAnsi="Arial" w:cs="Arial"/>
          <w:color w:val="000000"/>
          <w:sz w:val="22"/>
          <w:szCs w:val="22"/>
        </w:rPr>
        <w:t xml:space="preserve">Trinity </w:t>
      </w:r>
      <w:proofErr w:type="spellStart"/>
      <w:r w:rsidRPr="00EE5251">
        <w:rPr>
          <w:rFonts w:ascii="Arial" w:hAnsi="Arial" w:cs="Arial"/>
          <w:color w:val="000000"/>
          <w:sz w:val="22"/>
          <w:szCs w:val="22"/>
        </w:rPr>
        <w:t>Watthana</w:t>
      </w:r>
      <w:proofErr w:type="spellEnd"/>
      <w:r w:rsidRPr="00EE5251">
        <w:rPr>
          <w:rFonts w:ascii="Arial" w:hAnsi="Arial" w:cs="Arial"/>
          <w:color w:val="000000"/>
          <w:sz w:val="22"/>
          <w:szCs w:val="22"/>
        </w:rPr>
        <w:t xml:space="preserve"> </w:t>
      </w:r>
      <w:r w:rsidRPr="00EE5251">
        <w:rPr>
          <w:rFonts w:ascii="Arial" w:hAnsi="Arial" w:cs="Arial"/>
          <w:sz w:val="22"/>
          <w:szCs w:val="22"/>
        </w:rPr>
        <w:t>Public Company Limited and its subsidiaries</w:t>
      </w:r>
      <w:r w:rsidRPr="00EE5251">
        <w:rPr>
          <w:rFonts w:ascii="Arial" w:hAnsi="Arial" w:cs="Arial"/>
          <w:i/>
          <w:iCs/>
          <w:color w:val="548DD4" w:themeColor="text2" w:themeTint="99"/>
          <w:spacing w:val="-3"/>
          <w:sz w:val="22"/>
          <w:szCs w:val="22"/>
        </w:rPr>
        <w:t xml:space="preserve"> </w:t>
      </w:r>
      <w:r w:rsidRPr="00EE5251">
        <w:rPr>
          <w:rFonts w:ascii="Arial" w:hAnsi="Arial" w:cs="Arial"/>
          <w:spacing w:val="-3"/>
          <w:sz w:val="22"/>
          <w:szCs w:val="22"/>
        </w:rPr>
        <w:t>(the Group)</w:t>
      </w:r>
      <w:r w:rsidRPr="00EE5251">
        <w:rPr>
          <w:rFonts w:ascii="Arial" w:hAnsi="Arial" w:cs="Arial"/>
          <w:sz w:val="22"/>
          <w:szCs w:val="22"/>
        </w:rPr>
        <w:t xml:space="preserve">, which comprise the </w:t>
      </w:r>
      <w:r w:rsidRPr="00EE5251">
        <w:rPr>
          <w:rFonts w:ascii="Arial" w:hAnsi="Arial" w:cs="Arial"/>
          <w:spacing w:val="-3"/>
          <w:sz w:val="22"/>
          <w:szCs w:val="22"/>
        </w:rPr>
        <w:t>consolidated statement of financial position</w:t>
      </w:r>
      <w:r w:rsidRPr="00EE5251">
        <w:rPr>
          <w:rFonts w:ascii="Arial" w:hAnsi="Arial" w:cs="Arial"/>
          <w:sz w:val="22"/>
          <w:szCs w:val="22"/>
        </w:rPr>
        <w:t xml:space="preserve"> as at 31 December </w:t>
      </w:r>
      <w:r w:rsidR="00A878A3" w:rsidRPr="00EE5251">
        <w:rPr>
          <w:rFonts w:ascii="Arial" w:hAnsi="Arial" w:cs="Arial"/>
          <w:sz w:val="22"/>
          <w:szCs w:val="22"/>
        </w:rPr>
        <w:t>20</w:t>
      </w:r>
      <w:r w:rsidR="00446096" w:rsidRPr="00EE5251">
        <w:rPr>
          <w:rFonts w:ascii="Arial" w:hAnsi="Arial" w:cs="Arial"/>
          <w:sz w:val="22"/>
          <w:szCs w:val="22"/>
        </w:rPr>
        <w:t>2</w:t>
      </w:r>
      <w:r w:rsidR="00E4493F" w:rsidRPr="00EE5251">
        <w:rPr>
          <w:rFonts w:ascii="Arial" w:hAnsi="Arial" w:cstheme="minorBidi"/>
          <w:sz w:val="22"/>
          <w:szCs w:val="22"/>
        </w:rPr>
        <w:t>2</w:t>
      </w:r>
      <w:r w:rsidRPr="00EE525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Pr="00EE5251">
        <w:rPr>
          <w:rFonts w:ascii="Arial" w:hAnsi="Arial" w:cs="Arial"/>
          <w:color w:val="000000"/>
          <w:sz w:val="22"/>
          <w:szCs w:val="22"/>
        </w:rPr>
        <w:t xml:space="preserve">Trinity </w:t>
      </w:r>
      <w:proofErr w:type="spellStart"/>
      <w:r w:rsidRPr="00EE5251">
        <w:rPr>
          <w:rFonts w:ascii="Arial" w:hAnsi="Arial" w:cs="Arial"/>
          <w:color w:val="000000"/>
          <w:sz w:val="22"/>
          <w:szCs w:val="22"/>
        </w:rPr>
        <w:t>Watthana</w:t>
      </w:r>
      <w:proofErr w:type="spellEnd"/>
      <w:r w:rsidRPr="00EE5251">
        <w:rPr>
          <w:rFonts w:ascii="Arial" w:hAnsi="Arial" w:cs="Arial"/>
          <w:sz w:val="22"/>
          <w:szCs w:val="22"/>
        </w:rPr>
        <w:t xml:space="preserve"> Public Company Limited for the same period.</w:t>
      </w:r>
    </w:p>
    <w:p w14:paraId="720F5866" w14:textId="1AB0BC86" w:rsidR="00113EBF" w:rsidRPr="00EE5251" w:rsidRDefault="00113EBF" w:rsidP="00EE5251">
      <w:pPr>
        <w:pStyle w:val="ps-000-normal"/>
        <w:spacing w:before="120" w:line="380" w:lineRule="exact"/>
        <w:rPr>
          <w:rFonts w:ascii="Arial" w:hAnsi="Arial" w:cs="Arial"/>
          <w:color w:val="auto"/>
          <w:sz w:val="22"/>
          <w:szCs w:val="22"/>
        </w:rPr>
      </w:pPr>
      <w:r w:rsidRPr="00EE5251">
        <w:rPr>
          <w:rFonts w:ascii="Arial" w:hAnsi="Arial" w:cs="Arial"/>
          <w:color w:val="auto"/>
          <w:sz w:val="22"/>
          <w:szCs w:val="22"/>
        </w:rPr>
        <w:t xml:space="preserve">In my opinion, except for the possible effects on the matter described in the </w:t>
      </w:r>
      <w:r w:rsidRPr="00EE5251">
        <w:rPr>
          <w:rFonts w:ascii="Arial" w:hAnsi="Arial" w:cs="Arial"/>
          <w:i/>
          <w:iCs/>
          <w:color w:val="auto"/>
          <w:sz w:val="22"/>
          <w:szCs w:val="22"/>
        </w:rPr>
        <w:t xml:space="preserve">Basis for Qualified Opinion </w:t>
      </w:r>
      <w:r w:rsidRPr="00EE5251">
        <w:rPr>
          <w:rFonts w:ascii="Arial" w:hAnsi="Arial" w:cs="Arial"/>
          <w:color w:val="auto"/>
          <w:sz w:val="22"/>
          <w:szCs w:val="22"/>
        </w:rPr>
        <w:t xml:space="preserve">section of my report, the financial statements referred to above present fairly, in all material respects, the financial position of </w:t>
      </w:r>
      <w:r w:rsidRPr="00EE5251">
        <w:rPr>
          <w:rFonts w:ascii="Arial" w:hAnsi="Arial" w:cs="Arial"/>
          <w:sz w:val="22"/>
          <w:szCs w:val="22"/>
        </w:rPr>
        <w:t xml:space="preserve">Trinity </w:t>
      </w:r>
      <w:proofErr w:type="spellStart"/>
      <w:r w:rsidRPr="00EE5251">
        <w:rPr>
          <w:rFonts w:ascii="Arial" w:hAnsi="Arial" w:cs="Arial"/>
          <w:sz w:val="22"/>
          <w:szCs w:val="22"/>
        </w:rPr>
        <w:t>Watthana</w:t>
      </w:r>
      <w:proofErr w:type="spellEnd"/>
      <w:r w:rsidRPr="00EE5251">
        <w:rPr>
          <w:rFonts w:ascii="Arial" w:hAnsi="Arial" w:cs="Arial"/>
          <w:sz w:val="22"/>
          <w:szCs w:val="22"/>
        </w:rPr>
        <w:t xml:space="preserve"> </w:t>
      </w:r>
      <w:r w:rsidRPr="00EE5251">
        <w:rPr>
          <w:rFonts w:ascii="Arial" w:hAnsi="Arial" w:cs="Arial"/>
          <w:color w:val="auto"/>
          <w:sz w:val="22"/>
          <w:szCs w:val="22"/>
        </w:rPr>
        <w:t xml:space="preserve">Public Company Limited and its subsidiaries and of </w:t>
      </w:r>
      <w:r w:rsidRPr="00EE5251">
        <w:rPr>
          <w:rFonts w:ascii="Arial" w:hAnsi="Arial" w:cs="Arial"/>
          <w:sz w:val="22"/>
          <w:szCs w:val="22"/>
        </w:rPr>
        <w:t xml:space="preserve">Trinity </w:t>
      </w:r>
      <w:proofErr w:type="spellStart"/>
      <w:r w:rsidRPr="00EE5251">
        <w:rPr>
          <w:rFonts w:ascii="Arial" w:hAnsi="Arial" w:cs="Arial"/>
          <w:sz w:val="22"/>
          <w:szCs w:val="22"/>
        </w:rPr>
        <w:t>Watthana</w:t>
      </w:r>
      <w:proofErr w:type="spellEnd"/>
      <w:r w:rsidRPr="00EE5251">
        <w:rPr>
          <w:rFonts w:ascii="Arial" w:hAnsi="Arial" w:cs="Arial"/>
          <w:sz w:val="22"/>
          <w:szCs w:val="22"/>
        </w:rPr>
        <w:t xml:space="preserve"> </w:t>
      </w:r>
      <w:r w:rsidRPr="00EE5251">
        <w:rPr>
          <w:rFonts w:ascii="Arial" w:hAnsi="Arial" w:cs="Arial"/>
          <w:color w:val="auto"/>
          <w:sz w:val="22"/>
          <w:szCs w:val="22"/>
        </w:rPr>
        <w:t xml:space="preserve">Public Company Limited as </w:t>
      </w:r>
      <w:proofErr w:type="gramStart"/>
      <w:r w:rsidRPr="00EE5251">
        <w:rPr>
          <w:rFonts w:ascii="Arial" w:hAnsi="Arial" w:cs="Arial"/>
          <w:color w:val="auto"/>
          <w:sz w:val="22"/>
          <w:szCs w:val="22"/>
        </w:rPr>
        <w:t>at</w:t>
      </w:r>
      <w:proofErr w:type="gramEnd"/>
      <w:r w:rsidRPr="00EE5251">
        <w:rPr>
          <w:rFonts w:ascii="Arial" w:hAnsi="Arial" w:cs="Arial"/>
          <w:color w:val="auto"/>
          <w:sz w:val="22"/>
          <w:szCs w:val="22"/>
        </w:rPr>
        <w:t xml:space="preserve"> 31 December 2022, their financial performance and cash flows for the year then ended in accordance with Thai Financial Reporting Standards.</w:t>
      </w:r>
    </w:p>
    <w:p w14:paraId="09C695B6" w14:textId="194216C2" w:rsidR="00A9638A" w:rsidRPr="00EE5251" w:rsidRDefault="00A9638A" w:rsidP="00EE5251">
      <w:pPr>
        <w:pStyle w:val="ps-000-normal"/>
        <w:spacing w:before="120" w:line="380" w:lineRule="exact"/>
        <w:rPr>
          <w:rFonts w:ascii="Arial" w:hAnsi="Arial" w:cs="Arial"/>
          <w:b/>
          <w:bCs/>
          <w:sz w:val="22"/>
          <w:szCs w:val="22"/>
        </w:rPr>
      </w:pPr>
      <w:r w:rsidRPr="00EE5251">
        <w:rPr>
          <w:rFonts w:ascii="Arial" w:hAnsi="Arial" w:cs="Arial"/>
          <w:b/>
          <w:bCs/>
          <w:sz w:val="22"/>
          <w:szCs w:val="22"/>
        </w:rPr>
        <w:t xml:space="preserve">Basis for </w:t>
      </w:r>
      <w:r w:rsidR="00C80D38" w:rsidRPr="00EE5251">
        <w:rPr>
          <w:rFonts w:ascii="Arial" w:hAnsi="Arial" w:cs="Arial"/>
          <w:b/>
          <w:bCs/>
          <w:sz w:val="22"/>
          <w:szCs w:val="22"/>
        </w:rPr>
        <w:t xml:space="preserve">Qualified </w:t>
      </w:r>
      <w:r w:rsidRPr="00EE5251">
        <w:rPr>
          <w:rFonts w:ascii="Arial" w:hAnsi="Arial" w:cs="Arial"/>
          <w:b/>
          <w:bCs/>
          <w:sz w:val="22"/>
          <w:szCs w:val="22"/>
        </w:rPr>
        <w:t>Opinion</w:t>
      </w:r>
    </w:p>
    <w:p w14:paraId="0C347F9E" w14:textId="61E53D1C" w:rsidR="00A9638A" w:rsidRPr="00EE5251" w:rsidRDefault="0089485A" w:rsidP="00EE5251">
      <w:pPr>
        <w:pStyle w:val="ps-000-normal"/>
        <w:spacing w:before="120" w:line="380" w:lineRule="exact"/>
        <w:rPr>
          <w:rFonts w:ascii="Arial" w:hAnsi="Arial" w:cs="Arial"/>
          <w:sz w:val="22"/>
          <w:szCs w:val="22"/>
        </w:rPr>
      </w:pPr>
      <w:r w:rsidRPr="0089485A">
        <w:rPr>
          <w:rFonts w:ascii="Arial" w:hAnsi="Arial" w:cs="Arial"/>
          <w:sz w:val="22"/>
          <w:szCs w:val="22"/>
        </w:rPr>
        <w:t>Securities and derivative business receivables of Baht 4,523 million of Trinity Securities Company Limited, which is a subsidiary of the Company, as presented in the consolidated financial statements as at 31 December 2022, included securities business receivables of Baht 479 million that</w:t>
      </w:r>
      <w:r w:rsidR="00256533" w:rsidRPr="00EE5251">
        <w:rPr>
          <w:rFonts w:ascii="Arial" w:hAnsi="Arial" w:cs="Arial"/>
          <w:sz w:val="22"/>
          <w:szCs w:val="22"/>
        </w:rPr>
        <w:t xml:space="preserve"> had defaulted on payments of outstanding positions resulting from purchase orders made for shares of a listed company that the Stock Exchange of Thailand (“SET”) identified as potentially abnormal purchase and sale transactions in November 2022. The Company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Subsequently, the Anti-Money Laundering Office (“AMLO”) ordered that all securities brokerage companies involved to proceed with the temporary seizure of assets related to the </w:t>
      </w:r>
      <w:proofErr w:type="gramStart"/>
      <w:r w:rsidR="00256533" w:rsidRPr="00EE5251">
        <w:rPr>
          <w:rFonts w:ascii="Arial" w:hAnsi="Arial" w:cs="Arial"/>
          <w:sz w:val="22"/>
          <w:szCs w:val="22"/>
        </w:rPr>
        <w:t>aforementioned wrongdoing</w:t>
      </w:r>
      <w:proofErr w:type="gramEnd"/>
      <w:r w:rsidR="00256533" w:rsidRPr="00EE5251">
        <w:rPr>
          <w:rFonts w:ascii="Arial" w:hAnsi="Arial" w:cs="Arial"/>
          <w:sz w:val="22"/>
          <w:szCs w:val="22"/>
        </w:rPr>
        <w:t xml:space="preserve"> of both the sellers and the buyers. The committee of the </w:t>
      </w:r>
      <w:r w:rsidR="003F3798">
        <w:rPr>
          <w:rFonts w:ascii="Arial" w:hAnsi="Arial" w:cs="Arial"/>
          <w:sz w:val="22"/>
          <w:szCs w:val="22"/>
        </w:rPr>
        <w:t>AMLO</w:t>
      </w:r>
      <w:r w:rsidR="00256533" w:rsidRPr="00EE5251">
        <w:rPr>
          <w:rFonts w:ascii="Arial" w:hAnsi="Arial" w:cs="Arial"/>
          <w:sz w:val="22"/>
          <w:szCs w:val="22"/>
        </w:rPr>
        <w:t xml:space="preserve"> agreed and approved that the case</w:t>
      </w:r>
      <w:r w:rsidR="00256533" w:rsidRPr="00EE5251">
        <w:rPr>
          <w:rFonts w:ascii="Arial" w:hAnsi="Arial" w:cstheme="minorBidi"/>
          <w:sz w:val="22"/>
          <w:szCs w:val="22"/>
        </w:rPr>
        <w:t xml:space="preserve"> </w:t>
      </w:r>
      <w:r w:rsidR="003F3798" w:rsidRPr="00EE5251">
        <w:rPr>
          <w:rFonts w:ascii="Arial" w:hAnsi="Arial" w:cs="Arial"/>
          <w:sz w:val="22"/>
          <w:szCs w:val="22"/>
        </w:rPr>
        <w:t xml:space="preserve">shall be submitted to </w:t>
      </w:r>
    </w:p>
    <w:p w14:paraId="53563580" w14:textId="77777777" w:rsidR="00DE034D" w:rsidRPr="00EE5251" w:rsidRDefault="00DE034D" w:rsidP="00EE5251">
      <w:pPr>
        <w:pStyle w:val="ps-000-normal"/>
        <w:spacing w:before="120" w:line="380" w:lineRule="exact"/>
        <w:rPr>
          <w:rFonts w:ascii="Arial" w:hAnsi="Arial" w:cs="Arial"/>
          <w:sz w:val="22"/>
          <w:szCs w:val="22"/>
        </w:rPr>
        <w:sectPr w:rsidR="00DE034D" w:rsidRPr="00EE5251" w:rsidSect="00DE034D">
          <w:footerReference w:type="default" r:id="rId7"/>
          <w:footerReference w:type="first" r:id="rId8"/>
          <w:pgSz w:w="11909" w:h="16834" w:code="9"/>
          <w:pgMar w:top="2880" w:right="1080" w:bottom="1080" w:left="1296" w:header="720" w:footer="720" w:gutter="0"/>
          <w:pgNumType w:start="2"/>
          <w:cols w:space="720"/>
          <w:titlePg/>
          <w:docGrid w:linePitch="360"/>
        </w:sectPr>
      </w:pPr>
    </w:p>
    <w:p w14:paraId="00FFF56F" w14:textId="1AA15100" w:rsidR="003A3EBE" w:rsidRPr="00795482" w:rsidRDefault="003F3798" w:rsidP="00EE5251">
      <w:pPr>
        <w:pStyle w:val="ps-000-normal"/>
        <w:spacing w:before="120" w:line="380" w:lineRule="exact"/>
        <w:rPr>
          <w:rFonts w:ascii="Arial" w:hAnsi="Arial" w:cstheme="minorBidi"/>
          <w:sz w:val="22"/>
          <w:szCs w:val="22"/>
        </w:rPr>
      </w:pPr>
      <w:r w:rsidRPr="00EE5251">
        <w:rPr>
          <w:rFonts w:ascii="Arial" w:hAnsi="Arial" w:cs="Arial"/>
          <w:sz w:val="22"/>
          <w:szCs w:val="22"/>
        </w:rPr>
        <w:lastRenderedPageBreak/>
        <w:t xml:space="preserve">the </w:t>
      </w:r>
      <w:r w:rsidR="003A3EBE" w:rsidRPr="00EE5251">
        <w:rPr>
          <w:rFonts w:ascii="Arial" w:hAnsi="Arial" w:cs="Arial"/>
          <w:sz w:val="22"/>
          <w:szCs w:val="22"/>
        </w:rPr>
        <w:t xml:space="preserve">public prosecutor to file a petition with the court to issue an order to seize the assets as state property on 7 February 2023. On 16 February 2023, the special prosecutor </w:t>
      </w:r>
      <w:r w:rsidR="003A3EBE" w:rsidRPr="00EE5251">
        <w:rPr>
          <w:rFonts w:ascii="Arial" w:hAnsi="Arial" w:cstheme="minorBidi"/>
          <w:sz w:val="22"/>
          <w:szCs w:val="22"/>
        </w:rPr>
        <w:t xml:space="preserve">under </w:t>
      </w:r>
      <w:r w:rsidR="003A3EBE" w:rsidRPr="00EE5251">
        <w:rPr>
          <w:rFonts w:ascii="Arial" w:hAnsi="Arial" w:cs="Arial"/>
          <w:sz w:val="22"/>
          <w:szCs w:val="22"/>
        </w:rPr>
        <w:t>the Office of the Attorney General</w:t>
      </w:r>
      <w:r w:rsidR="003A3EBE" w:rsidRPr="00EE5251">
        <w:rPr>
          <w:rFonts w:ascii="Arial" w:hAnsi="Arial" w:cstheme="minorBidi"/>
          <w:sz w:val="22"/>
          <w:szCs w:val="22"/>
        </w:rPr>
        <w:t xml:space="preserve"> determined that the gathered evidence showed that the accused and its associates </w:t>
      </w:r>
      <w:r w:rsidR="003A3EBE" w:rsidRPr="00795482">
        <w:rPr>
          <w:rFonts w:ascii="Arial" w:hAnsi="Arial" w:cstheme="minorBidi"/>
          <w:sz w:val="22"/>
          <w:szCs w:val="22"/>
        </w:rPr>
        <w:t xml:space="preserve">involved or previously involved with the </w:t>
      </w:r>
      <w:r w:rsidR="00BB2F20" w:rsidRPr="00795482">
        <w:rPr>
          <w:rFonts w:ascii="Arial" w:hAnsi="Arial" w:cstheme="minorBidi"/>
          <w:sz w:val="22"/>
          <w:szCs w:val="22"/>
        </w:rPr>
        <w:t>offender</w:t>
      </w:r>
      <w:r w:rsidR="003A3EBE" w:rsidRPr="00795482">
        <w:rPr>
          <w:rFonts w:ascii="Arial" w:hAnsi="Arial" w:cstheme="minorBidi"/>
          <w:sz w:val="22"/>
          <w:szCs w:val="22"/>
        </w:rPr>
        <w:t xml:space="preserve"> of the fraudulent activities, and therefore filed a petition with the court.</w:t>
      </w:r>
      <w:r w:rsidR="00446987" w:rsidRPr="00795482">
        <w:rPr>
          <w:rFonts w:ascii="Arial" w:hAnsi="Arial" w:cstheme="minorBidi"/>
          <w:sz w:val="22"/>
          <w:szCs w:val="22"/>
        </w:rPr>
        <w:t xml:space="preserve"> Moreover, on 16 February 2023, the Civil Court issued an emergency motion for the</w:t>
      </w:r>
      <w:r w:rsidR="00446987" w:rsidRPr="00795482">
        <w:rPr>
          <w:rFonts w:ascii="Arial" w:hAnsi="Arial" w:cstheme="minorBidi" w:hint="cs"/>
          <w:sz w:val="22"/>
          <w:szCs w:val="22"/>
          <w:cs/>
        </w:rPr>
        <w:t xml:space="preserve"> </w:t>
      </w:r>
      <w:r w:rsidR="00446987" w:rsidRPr="00795482">
        <w:rPr>
          <w:rFonts w:ascii="Arial" w:hAnsi="Arial" w:cstheme="minorBidi"/>
          <w:sz w:val="22"/>
          <w:szCs w:val="22"/>
        </w:rPr>
        <w:t>temporary seizure and attachment of assets related to the alleged wrongdoing until</w:t>
      </w:r>
      <w:r w:rsidR="00795482" w:rsidRPr="00795482">
        <w:rPr>
          <w:rFonts w:ascii="Arial" w:hAnsi="Arial" w:cstheme="minorBidi"/>
          <w:sz w:val="22"/>
          <w:szCs w:val="22"/>
        </w:rPr>
        <w:t xml:space="preserve"> </w:t>
      </w:r>
      <w:r w:rsidR="00446987" w:rsidRPr="00795482">
        <w:rPr>
          <w:rFonts w:ascii="Arial" w:hAnsi="Arial" w:cstheme="minorBidi"/>
          <w:sz w:val="22"/>
          <w:szCs w:val="22"/>
        </w:rPr>
        <w:t xml:space="preserve">it is otherwise adjudicated. The </w:t>
      </w:r>
      <w:r w:rsidR="0056101E">
        <w:rPr>
          <w:rFonts w:ascii="Arial" w:hAnsi="Arial" w:cstheme="minorBidi"/>
          <w:sz w:val="22"/>
          <w:szCs w:val="22"/>
        </w:rPr>
        <w:t>subsidiary</w:t>
      </w:r>
      <w:r w:rsidR="00446987" w:rsidRPr="00795482">
        <w:rPr>
          <w:rFonts w:ascii="Arial" w:hAnsi="Arial" w:cstheme="minorBidi"/>
          <w:sz w:val="22"/>
          <w:szCs w:val="22"/>
        </w:rPr>
        <w:t xml:space="preserve"> has filed a petition for protection of its rights from the predicate offense and submitted supporting evidence that details the damage incurred and the amount of damages suffered to the authorities at the AMLO. This action was taken to enable the AMLO</w:t>
      </w:r>
      <w:r w:rsidR="00BF222A" w:rsidRPr="00795482">
        <w:rPr>
          <w:rFonts w:ascii="Arial" w:hAnsi="Arial" w:cstheme="minorBidi"/>
          <w:sz w:val="22"/>
          <w:szCs w:val="22"/>
        </w:rPr>
        <w:t xml:space="preserve"> </w:t>
      </w:r>
      <w:r w:rsidR="00446987" w:rsidRPr="00795482">
        <w:rPr>
          <w:rFonts w:ascii="Arial" w:hAnsi="Arial" w:cstheme="minorBidi"/>
          <w:sz w:val="22"/>
          <w:szCs w:val="22"/>
        </w:rPr>
        <w:t>and the public prosecutor to pursue legal action to obtain compensatory damages.</w:t>
      </w:r>
    </w:p>
    <w:p w14:paraId="305ECF0B" w14:textId="182385D0" w:rsidR="00446987" w:rsidRPr="00EE5251" w:rsidRDefault="00031718" w:rsidP="00EE5251">
      <w:pPr>
        <w:pStyle w:val="ps-000-normal"/>
        <w:spacing w:before="120" w:line="380" w:lineRule="exact"/>
        <w:rPr>
          <w:rFonts w:ascii="Arial" w:hAnsi="Arial" w:cstheme="minorBidi"/>
          <w:sz w:val="22"/>
          <w:szCs w:val="22"/>
        </w:rPr>
      </w:pPr>
      <w:r w:rsidRPr="00795482">
        <w:rPr>
          <w:rFonts w:ascii="Arial" w:hAnsi="Arial" w:cstheme="minorBidi"/>
          <w:sz w:val="22"/>
          <w:szCs w:val="22"/>
        </w:rPr>
        <w:t>In addition, on 10 February 2023, the Securities and Exchange Commission (“SEC”) stated to the ECD</w:t>
      </w:r>
      <w:r w:rsidR="000818FF" w:rsidRPr="00795482">
        <w:rPr>
          <w:rFonts w:ascii="Arial" w:hAnsi="Arial" w:cstheme="minorBidi"/>
          <w:sz w:val="22"/>
          <w:szCs w:val="22"/>
        </w:rPr>
        <w:t xml:space="preserve"> </w:t>
      </w:r>
      <w:r w:rsidRPr="00795482">
        <w:rPr>
          <w:rFonts w:ascii="Arial" w:hAnsi="Arial" w:cstheme="minorBidi"/>
          <w:sz w:val="22"/>
          <w:szCs w:val="22"/>
        </w:rPr>
        <w:t xml:space="preserve">that receivable and 18 co-offenders had caused the </w:t>
      </w:r>
      <w:proofErr w:type="gramStart"/>
      <w:r w:rsidRPr="00795482">
        <w:rPr>
          <w:rFonts w:ascii="Arial" w:hAnsi="Arial" w:cstheme="minorBidi"/>
          <w:sz w:val="22"/>
          <w:szCs w:val="22"/>
        </w:rPr>
        <w:t>general public</w:t>
      </w:r>
      <w:proofErr w:type="gramEnd"/>
      <w:r w:rsidRPr="00795482">
        <w:rPr>
          <w:rFonts w:ascii="Arial" w:hAnsi="Arial" w:cstheme="minorBidi"/>
          <w:sz w:val="22"/>
          <w:szCs w:val="22"/>
        </w:rPr>
        <w:t xml:space="preserve"> to misunderstand the price or volume of securities transactions, thereby violating the Securities and Exchange Act B.E.2535 (1992) and constitutes an unfair practice that constitutes a criminal offense under the Anti-Money Laundering Act B.E.2542 (1999). The SEC reported the case to the AMLO</w:t>
      </w:r>
      <w:r w:rsidR="00695864" w:rsidRPr="00795482">
        <w:rPr>
          <w:rFonts w:ascii="Arial" w:hAnsi="Arial" w:cstheme="minorBidi"/>
          <w:sz w:val="22"/>
          <w:szCs w:val="22"/>
        </w:rPr>
        <w:t xml:space="preserve"> </w:t>
      </w:r>
      <w:r w:rsidRPr="00795482">
        <w:rPr>
          <w:rFonts w:ascii="Arial" w:hAnsi="Arial" w:cstheme="minorBidi"/>
          <w:sz w:val="22"/>
          <w:szCs w:val="22"/>
        </w:rPr>
        <w:t xml:space="preserve">for further action. Currently, the </w:t>
      </w:r>
      <w:r w:rsidR="00E151CA">
        <w:rPr>
          <w:rFonts w:ascii="Arial" w:hAnsi="Arial" w:cstheme="minorBidi"/>
          <w:sz w:val="22"/>
          <w:szCs w:val="22"/>
        </w:rPr>
        <w:t>subsidiary</w:t>
      </w:r>
      <w:r w:rsidRPr="00795482">
        <w:rPr>
          <w:rFonts w:ascii="Arial" w:hAnsi="Arial" w:cstheme="minorBidi"/>
          <w:sz w:val="22"/>
          <w:szCs w:val="22"/>
        </w:rPr>
        <w:t xml:space="preserve"> is awaiting the outcome</w:t>
      </w:r>
      <w:r w:rsidRPr="00EE5251">
        <w:rPr>
          <w:rFonts w:ascii="Arial" w:hAnsi="Arial" w:cstheme="minorBidi"/>
          <w:sz w:val="22"/>
          <w:szCs w:val="22"/>
        </w:rPr>
        <w:t xml:space="preserve"> of the case from the relevant authorities.</w:t>
      </w:r>
    </w:p>
    <w:p w14:paraId="561FFBDF" w14:textId="6B29E331" w:rsidR="006144EA" w:rsidRPr="006144EA" w:rsidRDefault="006144EA" w:rsidP="006144EA">
      <w:pPr>
        <w:pStyle w:val="ps-000-normal"/>
        <w:spacing w:before="120" w:line="380" w:lineRule="exact"/>
        <w:rPr>
          <w:rFonts w:ascii="Arial" w:hAnsi="Arial" w:cs="Angsana New"/>
          <w:color w:val="auto"/>
          <w:sz w:val="22"/>
          <w:szCs w:val="22"/>
        </w:rPr>
      </w:pPr>
      <w:r w:rsidRPr="006144EA">
        <w:rPr>
          <w:rFonts w:ascii="Arial" w:hAnsi="Arial" w:cs="Angsana New"/>
          <w:color w:val="auto"/>
          <w:sz w:val="22"/>
          <w:szCs w:val="22"/>
        </w:rPr>
        <w:t xml:space="preserve">The management of the Company and the subsidiary have determined that this event is an abnormal transaction, as it was carried out with fraudulent intent. Such conduct is prohibited by law and runs counter to public order and good morals. </w:t>
      </w:r>
      <w:proofErr w:type="gramStart"/>
      <w:r w:rsidRPr="006144EA">
        <w:rPr>
          <w:rFonts w:ascii="Arial" w:hAnsi="Arial" w:cs="Angsana New"/>
          <w:color w:val="auto"/>
          <w:sz w:val="22"/>
          <w:szCs w:val="22"/>
        </w:rPr>
        <w:t>Therefore</w:t>
      </w:r>
      <w:proofErr w:type="gramEnd"/>
      <w:r w:rsidRPr="006144EA">
        <w:rPr>
          <w:rFonts w:ascii="Arial" w:hAnsi="Arial" w:cs="Angsana New"/>
          <w:color w:val="auto"/>
          <w:sz w:val="22"/>
          <w:szCs w:val="22"/>
        </w:rPr>
        <w:t xml:space="preserve"> this event must be cancelled and the transaction must be treated as if it had never occurred. Setting up the allowance for expected credit losses may have an </w:t>
      </w:r>
      <w:proofErr w:type="spellStart"/>
      <w:r w:rsidRPr="006144EA">
        <w:rPr>
          <w:rFonts w:ascii="Arial" w:hAnsi="Arial" w:cs="Angsana New"/>
          <w:color w:val="auto"/>
          <w:sz w:val="22"/>
          <w:szCs w:val="22"/>
        </w:rPr>
        <w:t>adverse affect</w:t>
      </w:r>
      <w:proofErr w:type="spellEnd"/>
      <w:r w:rsidRPr="006144EA">
        <w:rPr>
          <w:rFonts w:ascii="Arial" w:hAnsi="Arial" w:cs="Angsana New"/>
          <w:color w:val="auto"/>
          <w:sz w:val="22"/>
          <w:szCs w:val="22"/>
        </w:rPr>
        <w:t xml:space="preserve"> on the case that the subsidiary has filed with the AMLO on 16 February 2023, seeking protection of its rights from the predicate offense. It may also adversely affect the case under which the </w:t>
      </w:r>
      <w:r w:rsidR="00B608E4">
        <w:rPr>
          <w:rFonts w:ascii="Arial" w:hAnsi="Arial" w:cs="Angsana New"/>
          <w:color w:val="auto"/>
          <w:sz w:val="22"/>
          <w:szCs w:val="22"/>
        </w:rPr>
        <w:t>subsidiary</w:t>
      </w:r>
      <w:r w:rsidRPr="006144EA">
        <w:rPr>
          <w:rFonts w:ascii="Arial" w:hAnsi="Arial" w:cs="Angsana New"/>
          <w:color w:val="auto"/>
          <w:sz w:val="22"/>
          <w:szCs w:val="22"/>
        </w:rPr>
        <w:t xml:space="preserve">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 The </w:t>
      </w:r>
      <w:r w:rsidR="00632F89">
        <w:rPr>
          <w:rFonts w:ascii="Arial" w:hAnsi="Arial" w:cs="Angsana New"/>
          <w:color w:val="auto"/>
          <w:sz w:val="22"/>
          <w:szCs w:val="22"/>
        </w:rPr>
        <w:t>subsidiary</w:t>
      </w:r>
      <w:r w:rsidRPr="006144EA">
        <w:rPr>
          <w:rFonts w:ascii="Arial" w:hAnsi="Arial" w:cs="Angsana New"/>
          <w:color w:val="auto"/>
          <w:sz w:val="22"/>
          <w:szCs w:val="22"/>
        </w:rPr>
        <w:t xml:space="preserve"> has filed the petition with the </w:t>
      </w:r>
      <w:proofErr w:type="gramStart"/>
      <w:r w:rsidRPr="006144EA">
        <w:rPr>
          <w:rFonts w:ascii="Arial" w:hAnsi="Arial" w:cs="Angsana New"/>
          <w:color w:val="auto"/>
          <w:sz w:val="22"/>
          <w:szCs w:val="22"/>
        </w:rPr>
        <w:t xml:space="preserve">AMLO, </w:t>
      </w:r>
      <w:r w:rsidR="00C93983">
        <w:rPr>
          <w:rFonts w:ascii="Arial" w:hAnsi="Arial" w:cs="Angsana New" w:hint="cs"/>
          <w:color w:val="auto"/>
          <w:sz w:val="22"/>
          <w:szCs w:val="22"/>
          <w:cs/>
        </w:rPr>
        <w:t xml:space="preserve">  </w:t>
      </w:r>
      <w:proofErr w:type="gramEnd"/>
      <w:r w:rsidR="00C93983">
        <w:rPr>
          <w:rFonts w:ascii="Arial" w:hAnsi="Arial" w:cs="Angsana New" w:hint="cs"/>
          <w:color w:val="auto"/>
          <w:sz w:val="22"/>
          <w:szCs w:val="22"/>
          <w:cs/>
        </w:rPr>
        <w:t xml:space="preserve">                </w:t>
      </w:r>
      <w:r w:rsidRPr="006144EA">
        <w:rPr>
          <w:rFonts w:ascii="Arial" w:hAnsi="Arial" w:cs="Angsana New"/>
          <w:color w:val="auto"/>
          <w:sz w:val="22"/>
          <w:szCs w:val="22"/>
        </w:rPr>
        <w:lastRenderedPageBreak/>
        <w:t>seeking protection of the rights, including compensation for the damage of assets related that have been attached as a result of the offense mentioned above.</w:t>
      </w:r>
    </w:p>
    <w:p w14:paraId="509EB9EF" w14:textId="4A945AB7" w:rsidR="00031718" w:rsidRPr="00EE5251" w:rsidRDefault="006144EA" w:rsidP="006144EA">
      <w:pPr>
        <w:pStyle w:val="ps-000-normal"/>
        <w:spacing w:before="120" w:line="380" w:lineRule="exact"/>
        <w:rPr>
          <w:rFonts w:ascii="Arial" w:hAnsi="Arial" w:cstheme="minorBidi"/>
          <w:sz w:val="22"/>
          <w:szCs w:val="22"/>
        </w:rPr>
      </w:pPr>
      <w:r w:rsidRPr="006144EA">
        <w:rPr>
          <w:rFonts w:ascii="Arial" w:hAnsi="Arial" w:cs="Angsana New"/>
          <w:color w:val="auto"/>
          <w:sz w:val="22"/>
          <w:szCs w:val="22"/>
        </w:rPr>
        <w:t>As this event is considered an abnormal transaction, the management of the Company and the subsidiary are currently unable to find the past comparable cases or any supporting evidence to validate their belief. As a result, I was unable to obtain sufficient appropriate audit evidence for the allowance for expected credit losses for such overdue receivable to conclude whether the allowance should be set up, and if so, what the appropriate balance of the allowance should be. Consequently, my opinion on the allowance for expected credit loss</w:t>
      </w:r>
      <w:r w:rsidR="003D26AF">
        <w:rPr>
          <w:rFonts w:ascii="Arial" w:hAnsi="Arial" w:cs="Angsana New"/>
          <w:color w:val="auto"/>
          <w:sz w:val="22"/>
          <w:szCs w:val="22"/>
        </w:rPr>
        <w:t>es</w:t>
      </w:r>
      <w:r w:rsidRPr="006144EA">
        <w:rPr>
          <w:rFonts w:ascii="Arial" w:hAnsi="Arial" w:cs="Angsana New"/>
          <w:color w:val="auto"/>
          <w:sz w:val="22"/>
          <w:szCs w:val="22"/>
        </w:rPr>
        <w:t xml:space="preserve"> is qualified. Any adjustments necessary would result in a decrease in the total assets and retained earnings in the consolidated statement of financial position and the separate statement of financial position (which presented investments in subsidiaries under the equity method) as </w:t>
      </w:r>
      <w:proofErr w:type="gramStart"/>
      <w:r w:rsidRPr="006144EA">
        <w:rPr>
          <w:rFonts w:ascii="Arial" w:hAnsi="Arial" w:cs="Angsana New"/>
          <w:color w:val="auto"/>
          <w:sz w:val="22"/>
          <w:szCs w:val="22"/>
        </w:rPr>
        <w:t>at</w:t>
      </w:r>
      <w:proofErr w:type="gramEnd"/>
      <w:r w:rsidRPr="006144EA">
        <w:rPr>
          <w:rFonts w:ascii="Arial" w:hAnsi="Arial" w:cs="Angsana New"/>
          <w:color w:val="auto"/>
          <w:sz w:val="22"/>
          <w:szCs w:val="22"/>
        </w:rPr>
        <w:t xml:space="preserve"> 31 December 2022, and a decrease in the profit and total comprehensive income in the consolidated and separate statements of comprehensive income</w:t>
      </w:r>
      <w:r w:rsidR="009F4155">
        <w:rPr>
          <w:rFonts w:ascii="Arial" w:hAnsi="Arial" w:cs="Angsana New"/>
          <w:color w:val="auto"/>
          <w:sz w:val="22"/>
          <w:szCs w:val="22"/>
        </w:rPr>
        <w:t xml:space="preserve"> for the year 2022</w:t>
      </w:r>
      <w:r w:rsidRPr="006144EA">
        <w:rPr>
          <w:rFonts w:ascii="Arial" w:hAnsi="Arial" w:cs="Angsana New"/>
          <w:color w:val="auto"/>
          <w:sz w:val="22"/>
          <w:szCs w:val="22"/>
        </w:rPr>
        <w:t>.</w:t>
      </w:r>
    </w:p>
    <w:p w14:paraId="00C80AD5" w14:textId="3C4750CE" w:rsidR="00446987" w:rsidRDefault="007E2F8C" w:rsidP="00F55CB5">
      <w:pPr>
        <w:pStyle w:val="ps-000-normal"/>
        <w:spacing w:before="120" w:line="380" w:lineRule="exact"/>
        <w:rPr>
          <w:rFonts w:ascii="Arial" w:hAnsi="Arial" w:cs="Arial"/>
          <w:sz w:val="22"/>
          <w:szCs w:val="22"/>
        </w:rPr>
      </w:pPr>
      <w:r w:rsidRPr="007E2F8C">
        <w:rPr>
          <w:rFonts w:ascii="Arial" w:hAnsi="Arial" w:cs="Arial"/>
          <w:sz w:val="22"/>
          <w:szCs w:val="22"/>
        </w:rPr>
        <w:t xml:space="preserve">I conducted my audit in accordance with Thai Standards on Auditing. My responsibilities under those standards are further described in the </w:t>
      </w:r>
      <w:r w:rsidRPr="007E2F8C">
        <w:rPr>
          <w:rFonts w:ascii="Arial" w:hAnsi="Arial" w:cs="Arial"/>
          <w:i/>
          <w:iCs/>
          <w:sz w:val="22"/>
          <w:szCs w:val="22"/>
        </w:rPr>
        <w:t>Auditor’s Responsibilities for the Audit of the Financial Statements</w:t>
      </w:r>
      <w:r w:rsidRPr="007E2F8C">
        <w:rPr>
          <w:rFonts w:ascii="Arial" w:hAnsi="Arial" w:cs="Arial"/>
          <w:sz w:val="22"/>
          <w:szCs w:val="22"/>
        </w:rPr>
        <w:t xml:space="preserve"> section of my report. I am independent of the Group in accordance with the </w:t>
      </w:r>
      <w:r w:rsidRPr="007E2F8C">
        <w:rPr>
          <w:rFonts w:ascii="Arial" w:hAnsi="Arial" w:cs="Arial"/>
          <w:i/>
          <w:iCs/>
          <w:sz w:val="22"/>
          <w:szCs w:val="22"/>
        </w:rPr>
        <w:t>Code of Ethics for Professional Accountants</w:t>
      </w:r>
      <w:r w:rsidRPr="007E2F8C">
        <w:rPr>
          <w:rFonts w:ascii="Arial" w:hAnsi="Arial" w:cs="Arial"/>
          <w:sz w:val="22"/>
          <w:szCs w:val="22"/>
        </w:rPr>
        <w:t xml:space="preserve"> </w:t>
      </w:r>
      <w:r w:rsidRPr="007E2F8C">
        <w:rPr>
          <w:rFonts w:ascii="Arial" w:hAnsi="Arial" w:cstheme="minorBidi"/>
          <w:i/>
          <w:iCs/>
          <w:sz w:val="22"/>
          <w:szCs w:val="22"/>
        </w:rPr>
        <w:t>including Independence Standards</w:t>
      </w:r>
      <w:r w:rsidRPr="007E2F8C">
        <w:rPr>
          <w:rFonts w:ascii="Arial" w:hAnsi="Arial" w:cs="Arial"/>
          <w:sz w:val="22"/>
          <w:szCs w:val="22"/>
        </w:rPr>
        <w:t xml:space="preserve"> issued by the Federation of Accounting Professions (Code of Ethics for Professional Accountants)</w:t>
      </w:r>
      <w:r w:rsidRPr="007E2F8C">
        <w:rPr>
          <w:rFonts w:ascii="Arial" w:hAnsi="Arial" w:cstheme="minorBidi" w:hint="cs"/>
          <w:sz w:val="22"/>
          <w:szCs w:val="22"/>
          <w:cs/>
        </w:rPr>
        <w:t xml:space="preserve"> </w:t>
      </w:r>
      <w:r w:rsidRPr="007E2F8C">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qualified opinion</w:t>
      </w:r>
      <w:r w:rsidRPr="007E2F8C">
        <w:rPr>
          <w:rFonts w:ascii="Arial" w:hAnsi="Arial" w:cstheme="minorBidi" w:hint="cs"/>
          <w:sz w:val="22"/>
          <w:szCs w:val="22"/>
          <w:cs/>
        </w:rPr>
        <w:t xml:space="preserve"> </w:t>
      </w:r>
      <w:r w:rsidRPr="007E2F8C">
        <w:rPr>
          <w:rFonts w:ascii="Arial" w:hAnsi="Arial" w:cstheme="minorBidi"/>
          <w:sz w:val="22"/>
          <w:szCs w:val="22"/>
        </w:rPr>
        <w:t>on the consolidated financial statements</w:t>
      </w:r>
      <w:r w:rsidRPr="007E2F8C">
        <w:rPr>
          <w:rFonts w:ascii="Arial" w:hAnsi="Arial" w:cs="Arial"/>
          <w:sz w:val="22"/>
          <w:szCs w:val="22"/>
        </w:rPr>
        <w:t>.</w:t>
      </w:r>
    </w:p>
    <w:p w14:paraId="5C3F3691" w14:textId="77777777" w:rsidR="00C90926" w:rsidRPr="00234ACF" w:rsidRDefault="00C90926" w:rsidP="00C90926">
      <w:pPr>
        <w:pStyle w:val="ps-000-normal"/>
        <w:spacing w:before="240" w:line="380" w:lineRule="exact"/>
        <w:rPr>
          <w:rFonts w:ascii="Arial" w:hAnsi="Arial" w:cs="Arial"/>
          <w:b/>
          <w:bCs/>
          <w:sz w:val="22"/>
          <w:szCs w:val="22"/>
        </w:rPr>
      </w:pPr>
      <w:r w:rsidRPr="00234ACF">
        <w:rPr>
          <w:rFonts w:ascii="Arial" w:hAnsi="Arial" w:cs="Arial"/>
          <w:b/>
          <w:bCs/>
          <w:sz w:val="22"/>
          <w:szCs w:val="22"/>
        </w:rPr>
        <w:t>Emphasis of Matter</w:t>
      </w:r>
    </w:p>
    <w:p w14:paraId="04BFBE04" w14:textId="357DDDC9" w:rsidR="00C90926" w:rsidRDefault="00C90926" w:rsidP="00C90926">
      <w:pPr>
        <w:pStyle w:val="ps-000-normal"/>
        <w:spacing w:before="240" w:line="380" w:lineRule="exact"/>
        <w:rPr>
          <w:rFonts w:ascii="Arial" w:hAnsi="Arial" w:cstheme="minorBidi"/>
          <w:sz w:val="22"/>
          <w:szCs w:val="22"/>
        </w:rPr>
      </w:pPr>
      <w:r w:rsidRPr="00234ACF">
        <w:rPr>
          <w:rFonts w:ascii="Arial" w:hAnsi="Arial" w:cs="Arial"/>
          <w:sz w:val="22"/>
          <w:szCs w:val="22"/>
        </w:rPr>
        <w:t>I draw attention to Note 1</w:t>
      </w:r>
      <w:r w:rsidR="005F5D6D">
        <w:rPr>
          <w:rFonts w:ascii="Arial" w:hAnsi="Arial" w:cs="Browallia New"/>
          <w:sz w:val="22"/>
          <w:szCs w:val="28"/>
        </w:rPr>
        <w:t>8</w:t>
      </w:r>
      <w:r w:rsidRPr="00234ACF">
        <w:rPr>
          <w:rFonts w:ascii="Arial" w:hAnsi="Arial" w:cs="Arial"/>
          <w:sz w:val="22"/>
          <w:szCs w:val="22"/>
        </w:rPr>
        <w:t xml:space="preserve"> to the consolidated financial statements regarding the investing in </w:t>
      </w:r>
      <w:r w:rsidR="005F5D6D">
        <w:rPr>
          <w:rFonts w:ascii="Arial" w:hAnsi="Arial" w:cs="Arial"/>
          <w:sz w:val="22"/>
          <w:szCs w:val="22"/>
        </w:rPr>
        <w:t>associate</w:t>
      </w:r>
      <w:r w:rsidRPr="00234ACF">
        <w:rPr>
          <w:rFonts w:ascii="Arial" w:hAnsi="Arial" w:cs="Arial"/>
          <w:sz w:val="22"/>
          <w:szCs w:val="22"/>
        </w:rPr>
        <w:t xml:space="preserve"> by the Company. At present, the Company is in the process of assessing the fair value of the identifiable assets acquired and liabilities assumed at the investing date of such </w:t>
      </w:r>
      <w:r w:rsidR="005F5D6D">
        <w:rPr>
          <w:rFonts w:ascii="Arial" w:hAnsi="Arial" w:cs="Arial"/>
          <w:sz w:val="22"/>
          <w:szCs w:val="22"/>
        </w:rPr>
        <w:t>associate</w:t>
      </w:r>
      <w:r w:rsidRPr="00234ACF">
        <w:rPr>
          <w:rFonts w:ascii="Arial" w:hAnsi="Arial" w:cs="Arial"/>
          <w:sz w:val="22"/>
          <w:szCs w:val="22"/>
        </w:rPr>
        <w:t xml:space="preserve">. My </w:t>
      </w:r>
      <w:r>
        <w:rPr>
          <w:rFonts w:ascii="Arial" w:hAnsi="Arial" w:cs="Arial"/>
          <w:sz w:val="22"/>
          <w:szCs w:val="22"/>
        </w:rPr>
        <w:t>conclusion</w:t>
      </w:r>
      <w:r w:rsidRPr="00234ACF">
        <w:rPr>
          <w:rFonts w:ascii="Arial" w:hAnsi="Arial" w:cs="Arial"/>
          <w:sz w:val="22"/>
          <w:szCs w:val="22"/>
        </w:rPr>
        <w:t xml:space="preserve"> is not qualified in respect of this matter.</w:t>
      </w:r>
    </w:p>
    <w:p w14:paraId="4A1700A8" w14:textId="77777777" w:rsidR="00535A3A" w:rsidRDefault="00535A3A">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13E9C56C" w14:textId="33F145FE" w:rsidR="00F55CB5" w:rsidRPr="00A9638A" w:rsidRDefault="00F55CB5" w:rsidP="00C90926">
      <w:pPr>
        <w:pStyle w:val="ps-000-normal"/>
        <w:spacing w:before="240" w:line="380" w:lineRule="exact"/>
        <w:rPr>
          <w:rFonts w:ascii="Arial" w:hAnsi="Arial" w:cs="Arial"/>
          <w:b/>
          <w:bCs/>
          <w:sz w:val="22"/>
          <w:szCs w:val="22"/>
        </w:rPr>
      </w:pPr>
      <w:r w:rsidRPr="00A9638A">
        <w:rPr>
          <w:rFonts w:ascii="Arial" w:hAnsi="Arial" w:cs="Arial"/>
          <w:b/>
          <w:bCs/>
          <w:sz w:val="22"/>
          <w:szCs w:val="22"/>
        </w:rPr>
        <w:lastRenderedPageBreak/>
        <w:t>Key Audit Matters</w:t>
      </w:r>
    </w:p>
    <w:p w14:paraId="5B313A35" w14:textId="77777777" w:rsidR="00F55CB5" w:rsidRDefault="00F55CB5" w:rsidP="00F55CB5">
      <w:pPr>
        <w:pStyle w:val="ps-000-normal"/>
        <w:spacing w:before="120" w:line="380" w:lineRule="exact"/>
        <w:rPr>
          <w:rFonts w:ascii="Arial" w:hAnsi="Arial" w:cstheme="minorBidi"/>
          <w:sz w:val="22"/>
          <w:szCs w:val="22"/>
        </w:rPr>
      </w:pPr>
      <w:r w:rsidRPr="00A9638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9638A">
        <w:rPr>
          <w:rFonts w:ascii="Arial" w:hAnsi="Arial" w:cs="Arial"/>
          <w:sz w:val="22"/>
          <w:szCs w:val="22"/>
        </w:rPr>
        <w:t>statements as a whole, and</w:t>
      </w:r>
      <w:proofErr w:type="gramEnd"/>
      <w:r w:rsidRPr="00A9638A">
        <w:rPr>
          <w:rFonts w:ascii="Arial" w:hAnsi="Arial" w:cs="Arial"/>
          <w:sz w:val="22"/>
          <w:szCs w:val="22"/>
        </w:rPr>
        <w:t xml:space="preserve"> in forming my opinion thereon, and I do not provide a separate opinion on these matters.</w:t>
      </w:r>
    </w:p>
    <w:p w14:paraId="55109482" w14:textId="34110AFF" w:rsidR="00A9638A" w:rsidRPr="00A9638A" w:rsidRDefault="00A9638A" w:rsidP="00F55CB5">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I have fulfilled the responsibilities described in the </w:t>
      </w:r>
      <w:r w:rsidRPr="001D4D9F">
        <w:rPr>
          <w:rFonts w:ascii="Arial" w:hAnsi="Arial" w:cs="Arial"/>
          <w:i/>
          <w:iCs/>
          <w:sz w:val="22"/>
          <w:szCs w:val="22"/>
        </w:rPr>
        <w:t>Auditor’s Responsibilities for the Audit of the Financial Statements</w:t>
      </w:r>
      <w:r w:rsidRPr="008A30DF">
        <w:rPr>
          <w:rFonts w:ascii="Arial" w:hAnsi="Arial" w:cs="Arial"/>
          <w:sz w:val="22"/>
          <w:szCs w:val="22"/>
        </w:rPr>
        <w:t xml:space="preserve"> section of my report, including</w:t>
      </w:r>
      <w:r w:rsidRPr="00A9638A">
        <w:rPr>
          <w:rFonts w:ascii="Arial" w:hAnsi="Arial" w:cs="Arial"/>
          <w:sz w:val="22"/>
          <w:szCs w:val="22"/>
        </w:rPr>
        <w:t xml:space="preserve">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AF9165C" w14:textId="3E582649" w:rsidR="00C77920" w:rsidRDefault="00C77920" w:rsidP="00C77920">
      <w:pPr>
        <w:pStyle w:val="ps-000-normal"/>
        <w:spacing w:before="120" w:line="380" w:lineRule="exact"/>
        <w:rPr>
          <w:rFonts w:ascii="Arial" w:hAnsi="Arial" w:cs="Arial"/>
          <w:sz w:val="22"/>
          <w:szCs w:val="22"/>
        </w:rPr>
      </w:pPr>
      <w:r w:rsidRPr="00C77920">
        <w:rPr>
          <w:rFonts w:ascii="Arial" w:hAnsi="Arial" w:cs="Arial"/>
          <w:color w:val="auto"/>
          <w:sz w:val="22"/>
          <w:szCs w:val="22"/>
        </w:rPr>
        <w:t>In addition to the matter described in</w:t>
      </w:r>
      <w:r w:rsidRPr="00C77920">
        <w:rPr>
          <w:rFonts w:ascii="Arial" w:hAnsi="Arial" w:cs="Arial"/>
          <w:i/>
          <w:iCs/>
          <w:color w:val="auto"/>
          <w:sz w:val="22"/>
          <w:szCs w:val="22"/>
        </w:rPr>
        <w:t xml:space="preserve"> the Basis for Qualified Opinion </w:t>
      </w:r>
      <w:r w:rsidRPr="009B00ED">
        <w:rPr>
          <w:rFonts w:ascii="Arial" w:hAnsi="Arial" w:cs="Arial"/>
          <w:color w:val="auto"/>
          <w:sz w:val="22"/>
          <w:szCs w:val="22"/>
        </w:rPr>
        <w:t>section,</w:t>
      </w:r>
      <w:r w:rsidRPr="009B00ED">
        <w:rPr>
          <w:rFonts w:ascii="Arial" w:hAnsi="Arial" w:cs="Arial"/>
          <w:sz w:val="22"/>
          <w:szCs w:val="22"/>
        </w:rPr>
        <w:t xml:space="preserve"> key audit matters and how audit procedures respond </w:t>
      </w:r>
      <w:r w:rsidRPr="00512311">
        <w:rPr>
          <w:rFonts w:ascii="Arial" w:hAnsi="Arial" w:cs="Arial"/>
          <w:sz w:val="22"/>
          <w:szCs w:val="22"/>
        </w:rPr>
        <w:t>to e</w:t>
      </w:r>
      <w:r w:rsidRPr="009B00ED">
        <w:rPr>
          <w:rFonts w:ascii="Arial" w:hAnsi="Arial" w:cs="Arial"/>
          <w:sz w:val="22"/>
          <w:szCs w:val="22"/>
        </w:rPr>
        <w:t xml:space="preserve">ach matter </w:t>
      </w:r>
      <w:r>
        <w:rPr>
          <w:rFonts w:ascii="Arial" w:hAnsi="Arial" w:cs="Arial"/>
          <w:sz w:val="22"/>
          <w:szCs w:val="22"/>
        </w:rPr>
        <w:t xml:space="preserve">are </w:t>
      </w:r>
      <w:r w:rsidRPr="009B00ED">
        <w:rPr>
          <w:rFonts w:ascii="Arial" w:hAnsi="Arial" w:cs="Arial"/>
          <w:sz w:val="22"/>
          <w:szCs w:val="22"/>
        </w:rPr>
        <w:t>described below.</w:t>
      </w:r>
    </w:p>
    <w:p w14:paraId="36584B7A" w14:textId="77777777" w:rsidR="00A9638A" w:rsidRPr="00A9638A" w:rsidRDefault="00A9638A" w:rsidP="00A9638A">
      <w:pPr>
        <w:spacing w:before="240" w:after="120" w:line="380" w:lineRule="exact"/>
        <w:rPr>
          <w:rFonts w:ascii="Arial" w:hAnsi="Arial" w:cs="Arial"/>
          <w:b/>
          <w:bCs/>
          <w:i/>
          <w:iCs/>
          <w:color w:val="000000"/>
          <w:sz w:val="22"/>
          <w:szCs w:val="22"/>
        </w:rPr>
      </w:pPr>
      <w:r w:rsidRPr="00A9638A">
        <w:rPr>
          <w:rFonts w:ascii="Arial" w:hAnsi="Arial" w:cs="Arial"/>
          <w:b/>
          <w:bCs/>
          <w:i/>
          <w:iCs/>
          <w:color w:val="000000"/>
          <w:sz w:val="22"/>
          <w:szCs w:val="22"/>
        </w:rPr>
        <w:t>Recognition of brokerage fees and interest on margin loans</w:t>
      </w:r>
    </w:p>
    <w:p w14:paraId="74545C10" w14:textId="24A38969"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Group’s income mainly consisted of brokerage fees and interest on margin loans, amounting to Baht </w:t>
      </w:r>
      <w:r w:rsidR="005E7C6F">
        <w:rPr>
          <w:rFonts w:ascii="Arial" w:hAnsi="Arial" w:cs="Arial"/>
          <w:color w:val="000000"/>
          <w:sz w:val="22"/>
          <w:szCs w:val="22"/>
        </w:rPr>
        <w:t>260</w:t>
      </w:r>
      <w:r w:rsidR="00D067F8">
        <w:rPr>
          <w:rFonts w:ascii="Arial" w:hAnsi="Arial" w:cs="Arial"/>
          <w:color w:val="000000"/>
          <w:sz w:val="22"/>
          <w:szCs w:val="22"/>
        </w:rPr>
        <w:t xml:space="preserve"> </w:t>
      </w:r>
      <w:r w:rsidRPr="00A9638A">
        <w:rPr>
          <w:rFonts w:ascii="Arial" w:hAnsi="Arial" w:cs="Arial"/>
          <w:color w:val="000000"/>
          <w:sz w:val="22"/>
          <w:szCs w:val="22"/>
        </w:rPr>
        <w:t xml:space="preserve">million and Baht </w:t>
      </w:r>
      <w:r w:rsidR="000F47ED">
        <w:rPr>
          <w:rFonts w:ascii="Arial" w:hAnsi="Arial" w:cs="Arial"/>
          <w:color w:val="000000"/>
          <w:sz w:val="22"/>
          <w:szCs w:val="22"/>
        </w:rPr>
        <w:t>1</w:t>
      </w:r>
      <w:r w:rsidR="005E7C6F">
        <w:rPr>
          <w:rFonts w:ascii="Arial" w:hAnsi="Arial" w:cs="Arial"/>
          <w:color w:val="000000"/>
          <w:sz w:val="22"/>
          <w:szCs w:val="22"/>
        </w:rPr>
        <w:t>7</w:t>
      </w:r>
      <w:r w:rsidR="000F47ED">
        <w:rPr>
          <w:rFonts w:ascii="Arial" w:hAnsi="Arial" w:cs="Arial"/>
          <w:color w:val="000000"/>
          <w:sz w:val="22"/>
          <w:szCs w:val="22"/>
        </w:rPr>
        <w:t>9</w:t>
      </w:r>
      <w:r w:rsidRPr="00A9638A">
        <w:rPr>
          <w:rFonts w:ascii="Arial" w:hAnsi="Arial" w:cs="Arial"/>
          <w:color w:val="000000"/>
          <w:sz w:val="22"/>
          <w:szCs w:val="22"/>
        </w:rPr>
        <w:t xml:space="preserve"> million</w:t>
      </w:r>
      <w:r w:rsidR="000844FD">
        <w:rPr>
          <w:rFonts w:ascii="Arial" w:hAnsi="Arial" w:cs="Arial"/>
          <w:color w:val="000000"/>
          <w:sz w:val="22"/>
          <w:szCs w:val="22"/>
        </w:rPr>
        <w:t xml:space="preserve"> for the year </w:t>
      </w:r>
      <w:r w:rsidR="00A878A3">
        <w:rPr>
          <w:rFonts w:ascii="Arial" w:hAnsi="Arial" w:cs="Arial"/>
          <w:color w:val="000000"/>
          <w:sz w:val="22"/>
          <w:szCs w:val="22"/>
        </w:rPr>
        <w:t>20</w:t>
      </w:r>
      <w:r w:rsidR="001D4D9F">
        <w:rPr>
          <w:rFonts w:ascii="Arial" w:hAnsi="Arial" w:cs="Arial"/>
          <w:color w:val="000000"/>
          <w:sz w:val="22"/>
          <w:szCs w:val="22"/>
        </w:rPr>
        <w:t>2</w:t>
      </w:r>
      <w:r w:rsidR="005E7C6F">
        <w:rPr>
          <w:rFonts w:ascii="Arial" w:hAnsi="Arial" w:cs="Arial"/>
          <w:color w:val="000000"/>
          <w:sz w:val="22"/>
          <w:szCs w:val="22"/>
        </w:rPr>
        <w:t>2</w:t>
      </w:r>
      <w:r w:rsidRPr="00A9638A">
        <w:rPr>
          <w:rFonts w:ascii="Arial" w:hAnsi="Arial" w:cs="Arial"/>
          <w:color w:val="000000"/>
          <w:sz w:val="22"/>
          <w:szCs w:val="22"/>
        </w:rPr>
        <w:t xml:space="preserve">, respectively, as discussed in Note </w:t>
      </w:r>
      <w:r w:rsidR="005E7C6F">
        <w:rPr>
          <w:rFonts w:ascii="Arial" w:hAnsi="Arial" w:cs="Arial"/>
          <w:color w:val="000000"/>
          <w:sz w:val="22"/>
          <w:szCs w:val="22"/>
        </w:rPr>
        <w:t>29</w:t>
      </w:r>
      <w:r w:rsidRPr="00A9638A">
        <w:rPr>
          <w:rFonts w:ascii="Arial" w:hAnsi="Arial" w:cs="Arial"/>
          <w:color w:val="000000"/>
          <w:sz w:val="22"/>
          <w:szCs w:val="22"/>
        </w:rPr>
        <w:t xml:space="preserve"> to the </w:t>
      </w:r>
      <w:r w:rsidR="00F81DD5">
        <w:rPr>
          <w:rFonts w:ascii="Arial" w:hAnsi="Arial" w:cs="Arial"/>
          <w:color w:val="000000"/>
          <w:sz w:val="22"/>
          <w:szCs w:val="22"/>
        </w:rPr>
        <w:t xml:space="preserve">consolidated </w:t>
      </w:r>
      <w:r w:rsidRPr="00A9638A">
        <w:rPr>
          <w:rFonts w:ascii="Arial" w:hAnsi="Arial" w:cs="Arial"/>
          <w:color w:val="000000"/>
          <w:sz w:val="22"/>
          <w:szCs w:val="22"/>
        </w:rPr>
        <w:t xml:space="preserve">financial statements, representing </w:t>
      </w:r>
      <w:r w:rsidR="000F47ED">
        <w:rPr>
          <w:rFonts w:ascii="Arial" w:hAnsi="Arial" w:cs="Arial"/>
          <w:color w:val="000000"/>
          <w:sz w:val="22"/>
          <w:szCs w:val="22"/>
        </w:rPr>
        <w:t>3</w:t>
      </w:r>
      <w:r w:rsidR="005E7C6F">
        <w:rPr>
          <w:rFonts w:ascii="Arial" w:hAnsi="Arial" w:cs="Arial"/>
          <w:color w:val="000000"/>
          <w:sz w:val="22"/>
          <w:szCs w:val="22"/>
        </w:rPr>
        <w:t>2</w:t>
      </w:r>
      <w:r w:rsidRPr="00A9638A">
        <w:rPr>
          <w:rFonts w:ascii="Arial" w:hAnsi="Arial" w:cs="Arial"/>
          <w:color w:val="000000"/>
          <w:sz w:val="22"/>
          <w:szCs w:val="22"/>
        </w:rPr>
        <w:t xml:space="preserve"> percent and </w:t>
      </w:r>
      <w:r w:rsidR="005E7C6F">
        <w:rPr>
          <w:rFonts w:ascii="Arial" w:hAnsi="Arial" w:cs="Arial"/>
          <w:color w:val="000000"/>
          <w:sz w:val="22"/>
          <w:szCs w:val="22"/>
        </w:rPr>
        <w:t>22</w:t>
      </w:r>
      <w:r w:rsidRPr="00A9638A">
        <w:rPr>
          <w:rFonts w:ascii="Arial" w:hAnsi="Arial" w:cs="Arial"/>
          <w:color w:val="000000"/>
          <w:sz w:val="22"/>
          <w:szCs w:val="22"/>
        </w:rPr>
        <w:t xml:space="preserve"> percent of the </w:t>
      </w:r>
      <w:r w:rsidR="00E762EC">
        <w:rPr>
          <w:rFonts w:ascii="Arial" w:hAnsi="Arial" w:cs="Arial"/>
          <w:color w:val="000000"/>
          <w:sz w:val="22"/>
          <w:szCs w:val="22"/>
        </w:rPr>
        <w:t>Group’s</w:t>
      </w:r>
      <w:r w:rsidRPr="00A9638A">
        <w:rPr>
          <w:rFonts w:ascii="Arial" w:hAnsi="Arial" w:cs="Arial"/>
          <w:color w:val="000000"/>
          <w:sz w:val="22"/>
          <w:szCs w:val="22"/>
        </w:rPr>
        <w:t xml:space="preserve"> total revenue</w:t>
      </w:r>
      <w:r w:rsidR="00D067F8">
        <w:rPr>
          <w:rFonts w:ascii="Arial" w:hAnsi="Arial" w:cs="Arial"/>
          <w:color w:val="000000"/>
          <w:sz w:val="22"/>
          <w:szCs w:val="22"/>
        </w:rPr>
        <w:t>s</w:t>
      </w:r>
      <w:r w:rsidRPr="00A9638A">
        <w:rPr>
          <w:rFonts w:ascii="Arial" w:hAnsi="Arial" w:cs="Arial"/>
          <w:color w:val="000000"/>
          <w:sz w:val="22"/>
          <w:szCs w:val="22"/>
        </w:rPr>
        <w:t>. The subsidiary charges brokerage fees at percentages of trading volume, which are freely negotiated</w:t>
      </w:r>
      <w:r w:rsidR="008A30DF">
        <w:rPr>
          <w:rFonts w:ascii="Arial" w:hAnsi="Arial" w:cstheme="minorBidi" w:hint="cs"/>
          <w:color w:val="000000"/>
          <w:sz w:val="22"/>
          <w:szCs w:val="22"/>
          <w:cs/>
        </w:rPr>
        <w:t xml:space="preserve"> </w:t>
      </w:r>
      <w:r w:rsidR="008A30DF">
        <w:rPr>
          <w:rFonts w:ascii="Arial" w:hAnsi="Arial" w:cstheme="minorBidi"/>
          <w:color w:val="000000"/>
          <w:sz w:val="22"/>
          <w:szCs w:val="22"/>
        </w:rPr>
        <w:t>rate</w:t>
      </w:r>
      <w:r w:rsidRPr="00A9638A">
        <w:rPr>
          <w:rFonts w:ascii="Arial" w:hAnsi="Arial" w:cs="Arial"/>
          <w:color w:val="000000"/>
          <w:sz w:val="22"/>
          <w:szCs w:val="22"/>
        </w:rPr>
        <w:t xml:space="preserve"> based on a sliding scale fee structure, whereas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is charged at fixed rates that are adjusted periodically based on market conditions and the competitive environment. Because of the size and volume of transactions, the large number of customers, the fees charged to customers being dependent on various factors, and the recognition of revenue from brokerage fees and interest on margin loans relies primarily on data processed by information systems,</w:t>
      </w:r>
      <w:r w:rsidR="00E762EC">
        <w:rPr>
          <w:rFonts w:ascii="Arial" w:hAnsi="Arial" w:cs="Arial"/>
          <w:color w:val="000000"/>
          <w:sz w:val="22"/>
          <w:szCs w:val="22"/>
        </w:rPr>
        <w:t xml:space="preserve"> </w:t>
      </w:r>
      <w:r w:rsidRPr="00A9638A">
        <w:rPr>
          <w:rFonts w:ascii="Arial" w:hAnsi="Arial" w:cs="Arial"/>
          <w:color w:val="000000"/>
          <w:sz w:val="22"/>
          <w:szCs w:val="22"/>
        </w:rPr>
        <w:t>I addressed the measurement and occurrence of brokerage fees and interest on margin loans</w:t>
      </w:r>
      <w:r w:rsidR="000844FD">
        <w:rPr>
          <w:rFonts w:ascii="Arial" w:hAnsi="Arial" w:cs="Arial"/>
          <w:color w:val="000000"/>
          <w:sz w:val="22"/>
          <w:szCs w:val="22"/>
        </w:rPr>
        <w:t xml:space="preserve"> </w:t>
      </w:r>
      <w:r w:rsidRPr="00A9638A">
        <w:rPr>
          <w:rFonts w:ascii="Arial" w:hAnsi="Arial" w:cs="Arial"/>
          <w:color w:val="000000"/>
          <w:sz w:val="22"/>
          <w:szCs w:val="22"/>
        </w:rPr>
        <w:t>as a key audit matter.</w:t>
      </w:r>
    </w:p>
    <w:p w14:paraId="77B2FAA6" w14:textId="77777777"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audit procedures I performed were to assess and test, on a sampling basis, the </w:t>
      </w:r>
      <w:r w:rsidR="000844FD">
        <w:rPr>
          <w:rFonts w:ascii="Arial" w:hAnsi="Arial" w:cs="Arial"/>
          <w:color w:val="000000"/>
          <w:sz w:val="22"/>
          <w:szCs w:val="22"/>
        </w:rPr>
        <w:t>subsidiary’s</w:t>
      </w:r>
      <w:r w:rsidRPr="00A9638A">
        <w:rPr>
          <w:rFonts w:ascii="Arial" w:hAnsi="Arial" w:cs="Arial"/>
          <w:color w:val="000000"/>
          <w:sz w:val="22"/>
          <w:szCs w:val="22"/>
        </w:rPr>
        <w:t xml:space="preserve"> internal controls relevant to recognition of brokerage fees and interest on margin loans, including computer-based controls relevant to the calculation of brokerage fees and interest on margin loans. I also tested, on a sampling basis, the brokerage rates, interest rates, </w:t>
      </w:r>
      <w:proofErr w:type="gramStart"/>
      <w:r w:rsidRPr="00A9638A">
        <w:rPr>
          <w:rFonts w:ascii="Arial" w:hAnsi="Arial" w:cs="Arial"/>
          <w:color w:val="000000"/>
          <w:sz w:val="22"/>
          <w:szCs w:val="22"/>
        </w:rPr>
        <w:t>calculation</w:t>
      </w:r>
      <w:proofErr w:type="gramEnd"/>
      <w:r w:rsidRPr="00A9638A">
        <w:rPr>
          <w:rFonts w:ascii="Arial" w:hAnsi="Arial" w:cs="Arial"/>
          <w:color w:val="000000"/>
          <w:sz w:val="22"/>
          <w:szCs w:val="22"/>
        </w:rPr>
        <w:t xml:space="preserve"> and account recording. In addition, I performed analytical procedures on brokerage fees and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and examined, on a sampling basis, material manual adjustments </w:t>
      </w:r>
      <w:r w:rsidR="008A30DF">
        <w:rPr>
          <w:rFonts w:ascii="Arial" w:hAnsi="Arial" w:cs="Arial"/>
          <w:color w:val="000000"/>
          <w:sz w:val="22"/>
          <w:szCs w:val="22"/>
        </w:rPr>
        <w:t>recorded</w:t>
      </w:r>
      <w:r w:rsidRPr="00A9638A">
        <w:rPr>
          <w:rFonts w:ascii="Arial" w:hAnsi="Arial" w:cs="Arial"/>
          <w:color w:val="000000"/>
          <w:sz w:val="22"/>
          <w:szCs w:val="22"/>
        </w:rPr>
        <w:t xml:space="preserve"> via journal vouchers.</w:t>
      </w:r>
    </w:p>
    <w:p w14:paraId="5F662C34" w14:textId="77777777" w:rsidR="00C77920" w:rsidRDefault="00C77920">
      <w:pPr>
        <w:widowControl/>
        <w:overflowPunct/>
        <w:autoSpaceDE/>
        <w:autoSpaceDN/>
        <w:adjustRightInd/>
        <w:spacing w:after="200" w:line="276" w:lineRule="auto"/>
        <w:textAlignment w:val="auto"/>
        <w:rPr>
          <w:rFonts w:ascii="Arial" w:hAnsi="Arial" w:cs="Arial"/>
          <w:b/>
          <w:bCs/>
          <w:i/>
          <w:iCs/>
          <w:color w:val="000000"/>
          <w:sz w:val="22"/>
          <w:szCs w:val="22"/>
        </w:rPr>
      </w:pPr>
      <w:r>
        <w:rPr>
          <w:rFonts w:ascii="Arial" w:hAnsi="Arial" w:cs="Arial"/>
          <w:b/>
          <w:bCs/>
          <w:i/>
          <w:iCs/>
          <w:color w:val="000000"/>
          <w:sz w:val="22"/>
          <w:szCs w:val="22"/>
        </w:rPr>
        <w:br w:type="page"/>
      </w:r>
    </w:p>
    <w:p w14:paraId="620EAD06" w14:textId="77777777" w:rsidR="00A9638A" w:rsidRPr="00A9638A" w:rsidRDefault="00A9638A" w:rsidP="00A9638A">
      <w:pPr>
        <w:pStyle w:val="ps-000-normal"/>
        <w:spacing w:before="240" w:line="380" w:lineRule="exact"/>
        <w:rPr>
          <w:rFonts w:ascii="Arial" w:hAnsi="Arial" w:cs="Arial"/>
          <w:b/>
          <w:bCs/>
          <w:i/>
          <w:iCs/>
          <w:sz w:val="22"/>
          <w:szCs w:val="22"/>
        </w:rPr>
      </w:pPr>
      <w:r w:rsidRPr="00A9638A">
        <w:rPr>
          <w:rFonts w:ascii="Arial" w:hAnsi="Arial" w:cs="Arial"/>
          <w:b/>
          <w:bCs/>
          <w:i/>
          <w:iCs/>
          <w:sz w:val="22"/>
          <w:szCs w:val="22"/>
        </w:rPr>
        <w:lastRenderedPageBreak/>
        <w:t xml:space="preserve">Goodwill </w:t>
      </w:r>
    </w:p>
    <w:p w14:paraId="6810B723" w14:textId="5ABF2AE9" w:rsidR="00A9638A" w:rsidRPr="00A9638A" w:rsidRDefault="00E762EC" w:rsidP="00A9638A">
      <w:pPr>
        <w:pStyle w:val="ps-000-normal"/>
        <w:spacing w:before="120" w:line="380" w:lineRule="exact"/>
        <w:rPr>
          <w:rFonts w:ascii="Arial" w:hAnsi="Arial" w:cs="Arial"/>
          <w:sz w:val="22"/>
          <w:szCs w:val="22"/>
        </w:rPr>
      </w:pPr>
      <w:r>
        <w:rPr>
          <w:rFonts w:ascii="Arial" w:hAnsi="Arial" w:cs="Arial"/>
          <w:sz w:val="22"/>
          <w:szCs w:val="22"/>
        </w:rPr>
        <w:t>As</w:t>
      </w:r>
      <w:r w:rsidR="00A9638A" w:rsidRPr="00A9638A">
        <w:rPr>
          <w:rFonts w:ascii="Arial" w:hAnsi="Arial" w:cs="Arial"/>
          <w:sz w:val="22"/>
          <w:szCs w:val="22"/>
        </w:rPr>
        <w:t xml:space="preserve"> discussed in Note </w:t>
      </w:r>
      <w:r w:rsidR="000F47ED">
        <w:rPr>
          <w:rFonts w:ascii="Arial" w:hAnsi="Arial" w:cs="Arial"/>
          <w:sz w:val="22"/>
          <w:szCs w:val="22"/>
        </w:rPr>
        <w:t xml:space="preserve">4.12 and </w:t>
      </w:r>
      <w:r w:rsidR="008039DE">
        <w:rPr>
          <w:rFonts w:ascii="Arial" w:hAnsi="Arial" w:cs="Arial"/>
          <w:sz w:val="22"/>
          <w:szCs w:val="22"/>
        </w:rPr>
        <w:t xml:space="preserve">Note </w:t>
      </w:r>
      <w:r w:rsidR="000F47ED">
        <w:rPr>
          <w:rFonts w:ascii="Arial" w:hAnsi="Arial" w:cs="Arial"/>
          <w:sz w:val="22"/>
          <w:szCs w:val="22"/>
        </w:rPr>
        <w:t>2</w:t>
      </w:r>
      <w:r w:rsidR="00D945A2">
        <w:rPr>
          <w:rFonts w:ascii="Arial" w:hAnsi="Arial" w:cs="Arial"/>
          <w:sz w:val="22"/>
          <w:szCs w:val="22"/>
        </w:rPr>
        <w:t>1</w:t>
      </w:r>
      <w:r>
        <w:rPr>
          <w:rFonts w:ascii="Arial" w:hAnsi="Arial" w:cs="Arial"/>
          <w:sz w:val="22"/>
          <w:szCs w:val="22"/>
        </w:rPr>
        <w:t xml:space="preserve"> to the </w:t>
      </w:r>
      <w:r w:rsidR="00F81DD5">
        <w:rPr>
          <w:rFonts w:ascii="Arial" w:hAnsi="Arial" w:cs="Arial"/>
          <w:sz w:val="22"/>
          <w:szCs w:val="22"/>
        </w:rPr>
        <w:t xml:space="preserve">consolidated </w:t>
      </w:r>
      <w:r>
        <w:rPr>
          <w:rFonts w:ascii="Arial" w:hAnsi="Arial" w:cs="Arial"/>
          <w:sz w:val="22"/>
          <w:szCs w:val="22"/>
        </w:rPr>
        <w:t xml:space="preserve">financial statements, goodwill is </w:t>
      </w:r>
      <w:r w:rsidR="008A30DF">
        <w:rPr>
          <w:rFonts w:ascii="Arial" w:hAnsi="Arial" w:cs="Arial"/>
          <w:sz w:val="22"/>
          <w:szCs w:val="22"/>
        </w:rPr>
        <w:t>assess</w:t>
      </w:r>
      <w:r>
        <w:rPr>
          <w:rFonts w:ascii="Arial" w:hAnsi="Arial" w:cs="Arial"/>
          <w:sz w:val="22"/>
          <w:szCs w:val="22"/>
        </w:rPr>
        <w:t>ed for impairment annually and when circumstances indicate that the carrying value may be impaired</w:t>
      </w:r>
      <w:r w:rsidR="000844FD">
        <w:rPr>
          <w:rFonts w:ascii="Arial" w:hAnsi="Arial" w:cs="Arial"/>
          <w:sz w:val="22"/>
          <w:szCs w:val="22"/>
        </w:rPr>
        <w:t xml:space="preserve">. I have focused my audit on the consideration of impairment of goodwill </w:t>
      </w:r>
      <w:r w:rsidR="00A9638A" w:rsidRPr="00A9638A">
        <w:rPr>
          <w:rFonts w:ascii="Arial" w:hAnsi="Arial" w:cs="Arial"/>
          <w:sz w:val="22"/>
          <w:szCs w:val="22"/>
        </w:rPr>
        <w:t>because the assessment of impairment of goodwill is a significant accounting estimate requiring management to exercise a high degree of judg</w:t>
      </w:r>
      <w:r w:rsidR="000844FD">
        <w:rPr>
          <w:rFonts w:ascii="Arial" w:hAnsi="Arial" w:cs="Arial"/>
          <w:sz w:val="22"/>
          <w:szCs w:val="22"/>
        </w:rPr>
        <w:t>e</w:t>
      </w:r>
      <w:r w:rsidR="00A9638A" w:rsidRPr="00A9638A">
        <w:rPr>
          <w:rFonts w:ascii="Arial" w:hAnsi="Arial" w:cs="Arial"/>
          <w:sz w:val="22"/>
          <w:szCs w:val="22"/>
        </w:rPr>
        <w:t xml:space="preserve">ment in using the financial model to calculate the </w:t>
      </w:r>
      <w:proofErr w:type="spellStart"/>
      <w:r w:rsidR="00A9638A" w:rsidRPr="00A9638A">
        <w:rPr>
          <w:rFonts w:ascii="Arial" w:hAnsi="Arial" w:cs="Arial"/>
          <w:sz w:val="22"/>
          <w:szCs w:val="22"/>
        </w:rPr>
        <w:t>realisable</w:t>
      </w:r>
      <w:proofErr w:type="spellEnd"/>
      <w:r w:rsidR="00A9638A" w:rsidRPr="00A9638A">
        <w:rPr>
          <w:rFonts w:ascii="Arial" w:hAnsi="Arial" w:cs="Arial"/>
          <w:sz w:val="22"/>
          <w:szCs w:val="22"/>
        </w:rPr>
        <w:t xml:space="preserve"> values and in identifying the cash generating units, estimating the cash inflows that are expected to be generated from that group of assets in the future, and setting an appropriate discount rate and long-term growth rate. </w:t>
      </w:r>
    </w:p>
    <w:p w14:paraId="644EB27F" w14:textId="77777777" w:rsidR="00E762EC" w:rsidRPr="00E762EC" w:rsidRDefault="00E762EC" w:rsidP="00E762EC">
      <w:pPr>
        <w:pStyle w:val="ps-000-normal"/>
        <w:spacing w:before="120" w:line="380" w:lineRule="exact"/>
        <w:rPr>
          <w:rFonts w:ascii="Arial" w:hAnsi="Arial" w:cs="Arial"/>
          <w:sz w:val="22"/>
          <w:szCs w:val="22"/>
        </w:rPr>
      </w:pPr>
      <w:r w:rsidRPr="00C1153D">
        <w:rPr>
          <w:rFonts w:ascii="Arial" w:hAnsi="Arial" w:cs="Arial"/>
          <w:sz w:val="22"/>
          <w:szCs w:val="22"/>
        </w:rPr>
        <w:t>I assessed the identified cash generating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w:t>
      </w:r>
      <w:proofErr w:type="spellStart"/>
      <w:r w:rsidRPr="00C1153D">
        <w:rPr>
          <w:rFonts w:ascii="Arial" w:hAnsi="Arial" w:cs="Arial"/>
          <w:sz w:val="22"/>
          <w:szCs w:val="22"/>
        </w:rPr>
        <w:t>realised</w:t>
      </w:r>
      <w:proofErr w:type="spellEnd"/>
      <w:r w:rsidRPr="00C1153D">
        <w:rPr>
          <w:rFonts w:ascii="Arial" w:hAnsi="Arial" w:cs="Arial"/>
          <w:sz w:val="22"/>
          <w:szCs w:val="22"/>
        </w:rPr>
        <w:t xml:space="preserve"> from the </w:t>
      </w:r>
      <w:r>
        <w:rPr>
          <w:rFonts w:ascii="Arial" w:hAnsi="Arial" w:cs="Arial"/>
          <w:sz w:val="22"/>
          <w:szCs w:val="22"/>
        </w:rPr>
        <w:t xml:space="preserve">group of </w:t>
      </w:r>
      <w:r w:rsidRPr="00C1153D">
        <w:rPr>
          <w:rFonts w:ascii="Arial" w:hAnsi="Arial" w:cs="Arial"/>
          <w:sz w:val="22"/>
          <w:szCs w:val="22"/>
        </w:rPr>
        <w:t xml:space="preserve">assets </w:t>
      </w:r>
      <w:r w:rsidR="008A30DF">
        <w:rPr>
          <w:rFonts w:ascii="Arial" w:hAnsi="Arial" w:cs="Arial"/>
          <w:sz w:val="22"/>
          <w:szCs w:val="22"/>
        </w:rPr>
        <w:t>as well as</w:t>
      </w:r>
      <w:r>
        <w:rPr>
          <w:rFonts w:ascii="Arial" w:hAnsi="Arial" w:cs="Arial"/>
          <w:sz w:val="22"/>
          <w:szCs w:val="22"/>
        </w:rPr>
        <w:t xml:space="preserve"> </w:t>
      </w:r>
      <w:r w:rsidR="008A30DF">
        <w:rPr>
          <w:rFonts w:ascii="Arial" w:hAnsi="Arial" w:cs="Arial"/>
          <w:sz w:val="22"/>
          <w:szCs w:val="22"/>
        </w:rPr>
        <w:t xml:space="preserve">reviewed </w:t>
      </w:r>
      <w:r>
        <w:rPr>
          <w:rFonts w:ascii="Arial" w:hAnsi="Arial" w:cs="Arial"/>
          <w:sz w:val="22"/>
          <w:szCs w:val="22"/>
        </w:rPr>
        <w:t>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the industry.</w:t>
      </w:r>
    </w:p>
    <w:p w14:paraId="3A22AAD9" w14:textId="7777777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Other Information</w:t>
      </w:r>
    </w:p>
    <w:p w14:paraId="5F011235"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other information. The other information comprise the information included in annual report of the </w:t>
      </w:r>
      <w:proofErr w:type="gramStart"/>
      <w:r w:rsidRPr="00A9638A">
        <w:rPr>
          <w:rFonts w:ascii="Arial" w:hAnsi="Arial" w:cs="Arial"/>
          <w:sz w:val="22"/>
          <w:szCs w:val="22"/>
        </w:rPr>
        <w:t>Group, but</w:t>
      </w:r>
      <w:proofErr w:type="gramEnd"/>
      <w:r w:rsidRPr="00A9638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4724711E"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My opinion on the financial statements does not cover the other information and I do not express any form of assurance conclusion thereon.</w:t>
      </w:r>
    </w:p>
    <w:p w14:paraId="5C145B05"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A9638A">
        <w:rPr>
          <w:rFonts w:ascii="Arial" w:hAnsi="Arial" w:cs="Arial"/>
          <w:sz w:val="22"/>
          <w:szCs w:val="22"/>
        </w:rPr>
        <w:t>statements</w:t>
      </w:r>
      <w:proofErr w:type="gramEnd"/>
      <w:r w:rsidRPr="00A9638A">
        <w:rPr>
          <w:rFonts w:ascii="Arial" w:hAnsi="Arial" w:cs="Arial"/>
          <w:sz w:val="22"/>
          <w:szCs w:val="22"/>
        </w:rPr>
        <w:t xml:space="preserve"> or my knowledge obtained in the audit or otherwise appears to be materially misstated.</w:t>
      </w:r>
    </w:p>
    <w:p w14:paraId="13F4C7D4"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4F65BE46" w14:textId="77777777" w:rsidR="00D945A2" w:rsidRDefault="00D945A2">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7135134B" w14:textId="72DE260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lastRenderedPageBreak/>
        <w:t>Responsibilities of Management and Those Charged with Governance for the Financial Statements</w:t>
      </w:r>
    </w:p>
    <w:p w14:paraId="1C321B3C"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preparation and fair presentation of the financial statements in accordance with </w:t>
      </w:r>
      <w:r w:rsidRPr="00A9638A">
        <w:rPr>
          <w:rFonts w:ascii="Arial" w:hAnsi="Arial" w:cs="Arial"/>
          <w:color w:val="auto"/>
          <w:sz w:val="22"/>
          <w:szCs w:val="22"/>
        </w:rPr>
        <w:t>Thai Financial Reporting Standards</w:t>
      </w:r>
      <w:r w:rsidRPr="00A9638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94B915B"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314319D"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Those charged with governance are responsible for overseeing the Group’s financial reporting process. </w:t>
      </w:r>
    </w:p>
    <w:p w14:paraId="68C040E7" w14:textId="7777777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Auditor’s Responsibilities for the Audit of the Financial Statements</w:t>
      </w:r>
    </w:p>
    <w:p w14:paraId="3286DB46" w14:textId="77777777" w:rsidR="00A9638A" w:rsidRPr="00A9638A" w:rsidRDefault="00A9638A" w:rsidP="00A9638A">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My objectives are to obtain reasonable assurance about whether the financial statements </w:t>
      </w:r>
      <w:proofErr w:type="gramStart"/>
      <w:r w:rsidRPr="00A9638A">
        <w:rPr>
          <w:rFonts w:ascii="Arial" w:hAnsi="Arial" w:cs="Arial"/>
          <w:sz w:val="22"/>
          <w:szCs w:val="22"/>
        </w:rPr>
        <w:t>as a whole are</w:t>
      </w:r>
      <w:proofErr w:type="gramEnd"/>
      <w:r w:rsidRPr="00A9638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9638A">
        <w:rPr>
          <w:rFonts w:ascii="Arial" w:hAnsi="Arial" w:cs="Arial"/>
          <w:sz w:val="22"/>
          <w:szCs w:val="22"/>
        </w:rPr>
        <w:t>assurance, but</w:t>
      </w:r>
      <w:proofErr w:type="gramEnd"/>
      <w:r w:rsidRPr="00A9638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638A">
        <w:rPr>
          <w:rFonts w:ascii="Arial" w:hAnsi="Arial" w:cs="Arial"/>
          <w:sz w:val="22"/>
          <w:szCs w:val="22"/>
        </w:rPr>
        <w:t>on the basis of</w:t>
      </w:r>
      <w:proofErr w:type="gramEnd"/>
      <w:r w:rsidRPr="00A9638A">
        <w:rPr>
          <w:rFonts w:ascii="Arial" w:hAnsi="Arial" w:cs="Arial"/>
          <w:sz w:val="22"/>
          <w:szCs w:val="22"/>
        </w:rPr>
        <w:t xml:space="preserve"> these financial statements. </w:t>
      </w:r>
    </w:p>
    <w:p w14:paraId="7A96E1D8"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As part of an audit in accordance with Thai Standards on Auditing, I exercise professional judgement and maintain professional skepticism throughout the audit. I also:</w:t>
      </w:r>
    </w:p>
    <w:p w14:paraId="09631E5F"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0E293"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Obtain an understanding of internal control relevant to the audit </w:t>
      </w:r>
      <w:proofErr w:type="gramStart"/>
      <w:r w:rsidRPr="00A9638A">
        <w:rPr>
          <w:rFonts w:ascii="Arial" w:hAnsi="Arial" w:cs="Arial"/>
          <w:sz w:val="22"/>
          <w:szCs w:val="22"/>
        </w:rPr>
        <w:t>in order to</w:t>
      </w:r>
      <w:proofErr w:type="gramEnd"/>
      <w:r w:rsidRPr="00A9638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35106DA"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lastRenderedPageBreak/>
        <w:t>Evaluate the appropriateness of accounting policies used and the reasonableness of accounting estimates and related disclosures made by management.</w:t>
      </w:r>
    </w:p>
    <w:p w14:paraId="3680D727"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7CAB39C"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Evaluate the overall presentation, </w:t>
      </w:r>
      <w:proofErr w:type="gramStart"/>
      <w:r w:rsidRPr="00A9638A">
        <w:rPr>
          <w:rFonts w:ascii="Arial" w:hAnsi="Arial" w:cs="Arial"/>
          <w:sz w:val="22"/>
          <w:szCs w:val="22"/>
        </w:rPr>
        <w:t>structure</w:t>
      </w:r>
      <w:proofErr w:type="gramEnd"/>
      <w:r w:rsidRPr="00A9638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659233E"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9638A">
        <w:rPr>
          <w:rFonts w:ascii="Arial" w:hAnsi="Arial" w:cs="Arial"/>
          <w:sz w:val="22"/>
          <w:szCs w:val="22"/>
        </w:rPr>
        <w:t>supervision</w:t>
      </w:r>
      <w:proofErr w:type="gramEnd"/>
      <w:r w:rsidRPr="00A9638A">
        <w:rPr>
          <w:rFonts w:ascii="Arial" w:hAnsi="Arial" w:cs="Arial"/>
          <w:sz w:val="22"/>
          <w:szCs w:val="22"/>
        </w:rPr>
        <w:t xml:space="preserve"> and performance of the group audit. I remain solely responsible for my audit opinion.</w:t>
      </w:r>
    </w:p>
    <w:p w14:paraId="24A9C483"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FE497E7"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9A9E92"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493BBFF" w14:textId="77777777" w:rsidR="00A93E02" w:rsidRDefault="00A93E02">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2C23914" w14:textId="0DD6CD6E" w:rsidR="00884755" w:rsidRDefault="00884755" w:rsidP="00126006">
      <w:pPr>
        <w:pStyle w:val="ps-000-normal"/>
        <w:spacing w:before="120" w:line="380" w:lineRule="exact"/>
        <w:rPr>
          <w:rFonts w:ascii="Arial" w:hAnsi="Arial" w:cs="Arial"/>
          <w:sz w:val="22"/>
          <w:szCs w:val="22"/>
        </w:rPr>
      </w:pPr>
      <w:r>
        <w:rPr>
          <w:rFonts w:ascii="Arial" w:hAnsi="Arial" w:cs="Arial"/>
          <w:sz w:val="22"/>
          <w:szCs w:val="22"/>
        </w:rPr>
        <w:lastRenderedPageBreak/>
        <w:t>I</w:t>
      </w:r>
      <w:r w:rsidRPr="00884755">
        <w:rPr>
          <w:rFonts w:ascii="Arial" w:hAnsi="Arial" w:cs="Arial"/>
          <w:sz w:val="22"/>
          <w:szCs w:val="22"/>
        </w:rPr>
        <w:t xml:space="preserve"> am responsible for the audit resulting in this independent auditor’s report.</w:t>
      </w:r>
    </w:p>
    <w:p w14:paraId="00149FCB" w14:textId="77777777" w:rsidR="00FF3394" w:rsidRPr="00A9638A" w:rsidRDefault="00DB4C87" w:rsidP="00A9638A">
      <w:pPr>
        <w:pStyle w:val="BodyText"/>
        <w:spacing w:before="1400" w:line="380" w:lineRule="exact"/>
        <w:ind w:right="43"/>
        <w:rPr>
          <w:rFonts w:ascii="Arial" w:hAnsi="Arial" w:cs="Arial"/>
          <w:sz w:val="22"/>
          <w:szCs w:val="22"/>
        </w:rPr>
      </w:pPr>
      <w:r>
        <w:rPr>
          <w:rFonts w:ascii="Arial" w:eastAsia="Arial Unicode MS" w:hAnsi="Arial" w:cs="Arial"/>
          <w:sz w:val="22"/>
          <w:szCs w:val="22"/>
        </w:rPr>
        <w:t>Kirdsiri Kanjanaprakasit</w:t>
      </w:r>
    </w:p>
    <w:p w14:paraId="3242D4F6" w14:textId="77777777" w:rsidR="00FF3394" w:rsidRPr="00A9638A" w:rsidRDefault="00FF3394" w:rsidP="00A9638A">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B4C87">
        <w:rPr>
          <w:rFonts w:ascii="Arial" w:hAnsi="Arial" w:cs="Arial"/>
          <w:sz w:val="22"/>
          <w:szCs w:val="22"/>
        </w:rPr>
        <w:t>6014</w:t>
      </w:r>
    </w:p>
    <w:p w14:paraId="48F0AD45" w14:textId="77777777" w:rsidR="00FF3394" w:rsidRPr="00A9638A" w:rsidRDefault="00FF3394" w:rsidP="00A9638A">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14:paraId="5434179E" w14:textId="534EACCF" w:rsidR="00FF3394" w:rsidRPr="00A9638A" w:rsidRDefault="00FF3394" w:rsidP="00A9638A">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7B48CF">
        <w:rPr>
          <w:rFonts w:ascii="Arial" w:hAnsi="Arial" w:cs="Arial"/>
          <w:color w:val="000000"/>
          <w:sz w:val="22"/>
          <w:szCs w:val="22"/>
        </w:rPr>
        <w:t>2</w:t>
      </w:r>
      <w:r w:rsidR="009513D7">
        <w:rPr>
          <w:rFonts w:ascii="Arial" w:hAnsi="Arial" w:cs="Arial"/>
          <w:color w:val="000000"/>
          <w:sz w:val="22"/>
          <w:szCs w:val="22"/>
        </w:rPr>
        <w:t>7</w:t>
      </w:r>
      <w:r w:rsidR="007B48CF">
        <w:rPr>
          <w:rFonts w:ascii="Arial" w:hAnsi="Arial" w:cstheme="minorBidi" w:hint="cs"/>
          <w:color w:val="000000"/>
          <w:sz w:val="22"/>
          <w:szCs w:val="22"/>
          <w:cs/>
        </w:rPr>
        <w:t xml:space="preserve"> </w:t>
      </w:r>
      <w:r w:rsidR="007B48CF">
        <w:rPr>
          <w:rFonts w:ascii="Arial" w:hAnsi="Arial" w:cstheme="minorBidi"/>
          <w:color w:val="000000"/>
          <w:sz w:val="22"/>
          <w:szCs w:val="22"/>
        </w:rPr>
        <w:t xml:space="preserve">February </w:t>
      </w:r>
      <w:r w:rsidR="00A670FF">
        <w:rPr>
          <w:rFonts w:ascii="Arial" w:hAnsi="Arial" w:cs="Arial"/>
          <w:color w:val="000000"/>
          <w:sz w:val="22"/>
          <w:szCs w:val="22"/>
        </w:rPr>
        <w:t>202</w:t>
      </w:r>
      <w:r w:rsidR="009513D7">
        <w:rPr>
          <w:rFonts w:ascii="Arial" w:hAnsi="Arial" w:cs="Arial"/>
          <w:color w:val="000000"/>
          <w:sz w:val="22"/>
          <w:szCs w:val="22"/>
        </w:rPr>
        <w:t>3</w:t>
      </w:r>
      <w:r w:rsidRPr="00A9638A">
        <w:rPr>
          <w:rFonts w:ascii="Arial" w:hAnsi="Arial" w:cs="Arial"/>
          <w:color w:val="000000"/>
          <w:sz w:val="22"/>
          <w:szCs w:val="22"/>
        </w:rPr>
        <w:t xml:space="preserve"> </w:t>
      </w:r>
    </w:p>
    <w:p w14:paraId="6D7AE349" w14:textId="77777777" w:rsidR="009B299D" w:rsidRPr="00FF3394" w:rsidRDefault="009B299D" w:rsidP="00FF3394">
      <w:pPr>
        <w:pStyle w:val="ps-000-normal"/>
        <w:spacing w:before="120" w:after="240" w:line="380" w:lineRule="exact"/>
        <w:rPr>
          <w:sz w:val="22"/>
          <w:szCs w:val="22"/>
        </w:rPr>
      </w:pPr>
    </w:p>
    <w:sectPr w:rsidR="009B299D" w:rsidRPr="00FF3394" w:rsidSect="00DE034D">
      <w:footerReference w:type="first" r:id="rId9"/>
      <w:pgSz w:w="11909" w:h="16834"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5914B" w14:textId="77777777" w:rsidR="00BE416C" w:rsidRDefault="00BE416C" w:rsidP="005E4F0F">
      <w:r>
        <w:separator/>
      </w:r>
    </w:p>
  </w:endnote>
  <w:endnote w:type="continuationSeparator" w:id="0">
    <w:p w14:paraId="187FC06D" w14:textId="77777777" w:rsidR="00BE416C" w:rsidRDefault="00BE416C" w:rsidP="005E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542149"/>
      <w:docPartObj>
        <w:docPartGallery w:val="Page Numbers (Bottom of Page)"/>
        <w:docPartUnique/>
      </w:docPartObj>
    </w:sdtPr>
    <w:sdtEndPr>
      <w:rPr>
        <w:rFonts w:ascii="Arial" w:hAnsi="Arial" w:cs="Arial"/>
        <w:noProof/>
        <w:sz w:val="22"/>
        <w:szCs w:val="24"/>
      </w:rPr>
    </w:sdtEndPr>
    <w:sdtContent>
      <w:p w14:paraId="08B4023E" w14:textId="77777777" w:rsidR="001D4D9F" w:rsidRPr="001D4D9F" w:rsidRDefault="001D4D9F" w:rsidP="001D4D9F">
        <w:pPr>
          <w:pStyle w:val="Footer"/>
          <w:jc w:val="right"/>
          <w:rPr>
            <w:rFonts w:ascii="Arial" w:hAnsi="Arial" w:cs="Arial"/>
            <w:sz w:val="22"/>
            <w:szCs w:val="24"/>
          </w:rPr>
        </w:pPr>
        <w:r w:rsidRPr="001D4D9F">
          <w:rPr>
            <w:rFonts w:ascii="Arial" w:hAnsi="Arial" w:cs="Arial"/>
            <w:sz w:val="22"/>
            <w:szCs w:val="24"/>
          </w:rPr>
          <w:fldChar w:fldCharType="begin"/>
        </w:r>
        <w:r w:rsidRPr="001D4D9F">
          <w:rPr>
            <w:rFonts w:ascii="Arial" w:hAnsi="Arial" w:cs="Arial"/>
            <w:sz w:val="22"/>
            <w:szCs w:val="24"/>
          </w:rPr>
          <w:instrText xml:space="preserve"> PAGE   \* MERGEFORMAT </w:instrText>
        </w:r>
        <w:r w:rsidRPr="001D4D9F">
          <w:rPr>
            <w:rFonts w:ascii="Arial" w:hAnsi="Arial" w:cs="Arial"/>
            <w:sz w:val="22"/>
            <w:szCs w:val="24"/>
          </w:rPr>
          <w:fldChar w:fldCharType="separate"/>
        </w:r>
        <w:r w:rsidRPr="001D4D9F">
          <w:rPr>
            <w:rFonts w:ascii="Arial" w:hAnsi="Arial" w:cs="Arial"/>
            <w:noProof/>
            <w:sz w:val="22"/>
            <w:szCs w:val="24"/>
          </w:rPr>
          <w:t>2</w:t>
        </w:r>
        <w:r w:rsidRPr="001D4D9F">
          <w:rPr>
            <w:rFonts w:ascii="Arial" w:hAnsi="Arial" w:cs="Arial"/>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54A9" w14:textId="02D1E20E" w:rsidR="001D4D9F" w:rsidRPr="001D4D9F" w:rsidRDefault="001D4D9F" w:rsidP="00A9638A">
    <w:pPr>
      <w:pStyle w:val="Footer"/>
      <w:jc w:val="right"/>
      <w:rPr>
        <w:rFonts w:ascii="Arial" w:hAnsi="Arial" w:cs="Arial"/>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355952"/>
      <w:docPartObj>
        <w:docPartGallery w:val="Page Numbers (Bottom of Page)"/>
        <w:docPartUnique/>
      </w:docPartObj>
    </w:sdtPr>
    <w:sdtEndPr>
      <w:rPr>
        <w:rFonts w:ascii="Arial" w:hAnsi="Arial" w:cs="Arial"/>
        <w:noProof/>
        <w:sz w:val="22"/>
        <w:szCs w:val="24"/>
      </w:rPr>
    </w:sdtEndPr>
    <w:sdtContent>
      <w:p w14:paraId="1387E2D6" w14:textId="05B45161" w:rsidR="00DE034D" w:rsidRPr="00DE034D" w:rsidRDefault="00DE034D" w:rsidP="00A9638A">
        <w:pPr>
          <w:pStyle w:val="Footer"/>
          <w:jc w:val="right"/>
          <w:rPr>
            <w:rFonts w:ascii="Arial" w:hAnsi="Arial" w:cs="Arial"/>
            <w:sz w:val="22"/>
            <w:szCs w:val="24"/>
          </w:rPr>
        </w:pPr>
        <w:r w:rsidRPr="00DE034D">
          <w:rPr>
            <w:rFonts w:ascii="Arial" w:hAnsi="Arial" w:cs="Arial"/>
            <w:sz w:val="22"/>
            <w:szCs w:val="24"/>
          </w:rPr>
          <w:fldChar w:fldCharType="begin"/>
        </w:r>
        <w:r w:rsidRPr="00DE034D">
          <w:rPr>
            <w:rFonts w:ascii="Arial" w:hAnsi="Arial" w:cs="Arial"/>
            <w:sz w:val="22"/>
            <w:szCs w:val="24"/>
          </w:rPr>
          <w:instrText xml:space="preserve"> PAGE   \* MERGEFORMAT </w:instrText>
        </w:r>
        <w:r w:rsidRPr="00DE034D">
          <w:rPr>
            <w:rFonts w:ascii="Arial" w:hAnsi="Arial" w:cs="Arial"/>
            <w:sz w:val="22"/>
            <w:szCs w:val="24"/>
          </w:rPr>
          <w:fldChar w:fldCharType="separate"/>
        </w:r>
        <w:r w:rsidRPr="00DE034D">
          <w:rPr>
            <w:rFonts w:ascii="Arial" w:hAnsi="Arial" w:cs="Arial"/>
            <w:noProof/>
            <w:sz w:val="22"/>
            <w:szCs w:val="24"/>
          </w:rPr>
          <w:t>2</w:t>
        </w:r>
        <w:r w:rsidRPr="00DE034D">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26EB" w14:textId="77777777" w:rsidR="00BE416C" w:rsidRDefault="00BE416C" w:rsidP="005E4F0F">
      <w:r>
        <w:separator/>
      </w:r>
    </w:p>
  </w:footnote>
  <w:footnote w:type="continuationSeparator" w:id="0">
    <w:p w14:paraId="4B3EDAE3" w14:textId="77777777" w:rsidR="00BE416C" w:rsidRDefault="00BE416C" w:rsidP="005E4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006"/>
    <w:rsid w:val="00011F64"/>
    <w:rsid w:val="00031718"/>
    <w:rsid w:val="000818FF"/>
    <w:rsid w:val="000844FD"/>
    <w:rsid w:val="000A3E41"/>
    <w:rsid w:val="000C63AB"/>
    <w:rsid w:val="000F47ED"/>
    <w:rsid w:val="00110C5E"/>
    <w:rsid w:val="00113EBF"/>
    <w:rsid w:val="00126006"/>
    <w:rsid w:val="0013198F"/>
    <w:rsid w:val="00146B57"/>
    <w:rsid w:val="00153A63"/>
    <w:rsid w:val="0019746B"/>
    <w:rsid w:val="00197B98"/>
    <w:rsid w:val="001D4D9F"/>
    <w:rsid w:val="001F62E2"/>
    <w:rsid w:val="00200659"/>
    <w:rsid w:val="002018DA"/>
    <w:rsid w:val="002062D5"/>
    <w:rsid w:val="00234ACF"/>
    <w:rsid w:val="002364ED"/>
    <w:rsid w:val="00237006"/>
    <w:rsid w:val="002544C9"/>
    <w:rsid w:val="00256533"/>
    <w:rsid w:val="0026376A"/>
    <w:rsid w:val="002A7CCD"/>
    <w:rsid w:val="002B3CBB"/>
    <w:rsid w:val="002C322A"/>
    <w:rsid w:val="002E504E"/>
    <w:rsid w:val="003057A0"/>
    <w:rsid w:val="00354F08"/>
    <w:rsid w:val="00373156"/>
    <w:rsid w:val="00380DCC"/>
    <w:rsid w:val="003A3EBE"/>
    <w:rsid w:val="003C10D2"/>
    <w:rsid w:val="003C743F"/>
    <w:rsid w:val="003D26AF"/>
    <w:rsid w:val="003D26B7"/>
    <w:rsid w:val="003E3DEC"/>
    <w:rsid w:val="003F0DBA"/>
    <w:rsid w:val="003F3798"/>
    <w:rsid w:val="00402771"/>
    <w:rsid w:val="00432287"/>
    <w:rsid w:val="00442F4F"/>
    <w:rsid w:val="00444D59"/>
    <w:rsid w:val="00446096"/>
    <w:rsid w:val="00446987"/>
    <w:rsid w:val="004536C8"/>
    <w:rsid w:val="00455D5F"/>
    <w:rsid w:val="00497D17"/>
    <w:rsid w:val="004B44FA"/>
    <w:rsid w:val="00520042"/>
    <w:rsid w:val="00535A3A"/>
    <w:rsid w:val="0056101E"/>
    <w:rsid w:val="005A4F6A"/>
    <w:rsid w:val="005B7631"/>
    <w:rsid w:val="005E34C0"/>
    <w:rsid w:val="005E3DF1"/>
    <w:rsid w:val="005E4F0F"/>
    <w:rsid w:val="005E7C6F"/>
    <w:rsid w:val="005F5D6D"/>
    <w:rsid w:val="006077EC"/>
    <w:rsid w:val="006144EA"/>
    <w:rsid w:val="00621B74"/>
    <w:rsid w:val="00626C53"/>
    <w:rsid w:val="00632F89"/>
    <w:rsid w:val="006416DD"/>
    <w:rsid w:val="00695864"/>
    <w:rsid w:val="006B0B35"/>
    <w:rsid w:val="0071029D"/>
    <w:rsid w:val="0071290A"/>
    <w:rsid w:val="007531D6"/>
    <w:rsid w:val="00772E34"/>
    <w:rsid w:val="00787D9B"/>
    <w:rsid w:val="00795482"/>
    <w:rsid w:val="007A0E85"/>
    <w:rsid w:val="007A3AC4"/>
    <w:rsid w:val="007B48CF"/>
    <w:rsid w:val="007B695B"/>
    <w:rsid w:val="007C2C73"/>
    <w:rsid w:val="007C4D74"/>
    <w:rsid w:val="007C5E1F"/>
    <w:rsid w:val="007D014A"/>
    <w:rsid w:val="007E2F8C"/>
    <w:rsid w:val="007E6A55"/>
    <w:rsid w:val="008039DE"/>
    <w:rsid w:val="0081468A"/>
    <w:rsid w:val="00816177"/>
    <w:rsid w:val="00824607"/>
    <w:rsid w:val="008332D7"/>
    <w:rsid w:val="008425F9"/>
    <w:rsid w:val="00884755"/>
    <w:rsid w:val="00887790"/>
    <w:rsid w:val="0089485A"/>
    <w:rsid w:val="008A30DF"/>
    <w:rsid w:val="008A415F"/>
    <w:rsid w:val="008C0D53"/>
    <w:rsid w:val="008C19DB"/>
    <w:rsid w:val="008F4718"/>
    <w:rsid w:val="009513D7"/>
    <w:rsid w:val="009A7532"/>
    <w:rsid w:val="009A7D9C"/>
    <w:rsid w:val="009B299D"/>
    <w:rsid w:val="009C1CAC"/>
    <w:rsid w:val="009D4ADC"/>
    <w:rsid w:val="009D5B24"/>
    <w:rsid w:val="009F4155"/>
    <w:rsid w:val="00A35511"/>
    <w:rsid w:val="00A670FF"/>
    <w:rsid w:val="00A70279"/>
    <w:rsid w:val="00A878A3"/>
    <w:rsid w:val="00A93E02"/>
    <w:rsid w:val="00A9638A"/>
    <w:rsid w:val="00AA2104"/>
    <w:rsid w:val="00AA3A09"/>
    <w:rsid w:val="00AE61C7"/>
    <w:rsid w:val="00AF3BC5"/>
    <w:rsid w:val="00B2236C"/>
    <w:rsid w:val="00B46215"/>
    <w:rsid w:val="00B608E4"/>
    <w:rsid w:val="00B70E3E"/>
    <w:rsid w:val="00B72DAE"/>
    <w:rsid w:val="00B9617F"/>
    <w:rsid w:val="00BB2F20"/>
    <w:rsid w:val="00BE29AB"/>
    <w:rsid w:val="00BE416C"/>
    <w:rsid w:val="00BF12FF"/>
    <w:rsid w:val="00BF222A"/>
    <w:rsid w:val="00C04B92"/>
    <w:rsid w:val="00C04FED"/>
    <w:rsid w:val="00C11156"/>
    <w:rsid w:val="00C44BD7"/>
    <w:rsid w:val="00C44DA0"/>
    <w:rsid w:val="00C54EBB"/>
    <w:rsid w:val="00C77920"/>
    <w:rsid w:val="00C80D38"/>
    <w:rsid w:val="00C852B3"/>
    <w:rsid w:val="00C90926"/>
    <w:rsid w:val="00C92B0C"/>
    <w:rsid w:val="00C93983"/>
    <w:rsid w:val="00C95A55"/>
    <w:rsid w:val="00CA214C"/>
    <w:rsid w:val="00CC221C"/>
    <w:rsid w:val="00CC4CD6"/>
    <w:rsid w:val="00CE1F5A"/>
    <w:rsid w:val="00CF161E"/>
    <w:rsid w:val="00D067AB"/>
    <w:rsid w:val="00D067F8"/>
    <w:rsid w:val="00D116F8"/>
    <w:rsid w:val="00D15C58"/>
    <w:rsid w:val="00D26DB7"/>
    <w:rsid w:val="00D32972"/>
    <w:rsid w:val="00D57325"/>
    <w:rsid w:val="00D6517E"/>
    <w:rsid w:val="00D945A2"/>
    <w:rsid w:val="00DA24F6"/>
    <w:rsid w:val="00DA6959"/>
    <w:rsid w:val="00DB2A66"/>
    <w:rsid w:val="00DB4C87"/>
    <w:rsid w:val="00DE034D"/>
    <w:rsid w:val="00DE3F6D"/>
    <w:rsid w:val="00DF48B8"/>
    <w:rsid w:val="00E151CA"/>
    <w:rsid w:val="00E432E8"/>
    <w:rsid w:val="00E4493F"/>
    <w:rsid w:val="00E616A3"/>
    <w:rsid w:val="00E74EE5"/>
    <w:rsid w:val="00E762EC"/>
    <w:rsid w:val="00EA1354"/>
    <w:rsid w:val="00ED140D"/>
    <w:rsid w:val="00EE5251"/>
    <w:rsid w:val="00F34C52"/>
    <w:rsid w:val="00F4470E"/>
    <w:rsid w:val="00F55CB5"/>
    <w:rsid w:val="00F669A3"/>
    <w:rsid w:val="00F700A9"/>
    <w:rsid w:val="00F807B0"/>
    <w:rsid w:val="00F81596"/>
    <w:rsid w:val="00F81DD5"/>
    <w:rsid w:val="00FC192F"/>
    <w:rsid w:val="00FD0E61"/>
    <w:rsid w:val="00FE63E4"/>
    <w:rsid w:val="00FF33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CA07E"/>
  <w15:docId w15:val="{F608E882-0178-42BE-B1A2-494683D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F0F"/>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E4F0F"/>
    <w:pPr>
      <w:tabs>
        <w:tab w:val="center" w:pos="4153"/>
        <w:tab w:val="right" w:pos="8306"/>
      </w:tabs>
    </w:pPr>
    <w:rPr>
      <w:rFonts w:cs="AngsanaUPC"/>
    </w:rPr>
  </w:style>
  <w:style w:type="character" w:customStyle="1" w:styleId="HeaderChar">
    <w:name w:val="Header Char"/>
    <w:basedOn w:val="DefaultParagraphFont"/>
    <w:link w:val="Header"/>
    <w:rsid w:val="005E4F0F"/>
    <w:rPr>
      <w:rFonts w:ascii="Times New Roman" w:eastAsia="Times New Roman" w:hAnsi="CordiaUPC" w:cs="AngsanaUPC"/>
      <w:sz w:val="24"/>
    </w:rPr>
  </w:style>
  <w:style w:type="paragraph" w:styleId="Footer">
    <w:name w:val="footer"/>
    <w:basedOn w:val="Normal"/>
    <w:link w:val="FooterChar"/>
    <w:uiPriority w:val="99"/>
    <w:rsid w:val="005E4F0F"/>
    <w:pPr>
      <w:tabs>
        <w:tab w:val="center" w:pos="4153"/>
        <w:tab w:val="right" w:pos="8306"/>
      </w:tabs>
    </w:pPr>
  </w:style>
  <w:style w:type="character" w:customStyle="1" w:styleId="FooterChar">
    <w:name w:val="Footer Char"/>
    <w:basedOn w:val="DefaultParagraphFont"/>
    <w:link w:val="Footer"/>
    <w:uiPriority w:val="99"/>
    <w:rsid w:val="005E4F0F"/>
    <w:rPr>
      <w:rFonts w:ascii="Times New Roman" w:eastAsia="Times New Roman" w:hAnsi="CordiaUPC" w:cs="Angsana New"/>
      <w:sz w:val="24"/>
    </w:rPr>
  </w:style>
  <w:style w:type="character" w:styleId="PageNumber">
    <w:name w:val="page number"/>
    <w:basedOn w:val="DefaultParagraphFont"/>
    <w:rsid w:val="005E4F0F"/>
    <w:rPr>
      <w:rFonts w:ascii="Times New Roman" w:cs="CordiaUPC"/>
      <w:sz w:val="20"/>
      <w:szCs w:val="20"/>
    </w:rPr>
  </w:style>
  <w:style w:type="paragraph" w:styleId="BodyText">
    <w:name w:val="Body Text"/>
    <w:basedOn w:val="Normal"/>
    <w:link w:val="BodyTextChar"/>
    <w:rsid w:val="005E4F0F"/>
    <w:pPr>
      <w:widowControl/>
      <w:jc w:val="both"/>
    </w:pPr>
    <w:rPr>
      <w:szCs w:val="24"/>
    </w:rPr>
  </w:style>
  <w:style w:type="character" w:customStyle="1" w:styleId="BodyTextChar">
    <w:name w:val="Body Text Char"/>
    <w:basedOn w:val="DefaultParagraphFont"/>
    <w:link w:val="BodyText"/>
    <w:rsid w:val="005E4F0F"/>
    <w:rPr>
      <w:rFonts w:ascii="Times New Roman" w:eastAsia="Times New Roman" w:hAnsi="CordiaUPC" w:cs="Angsana New"/>
      <w:sz w:val="24"/>
      <w:szCs w:val="24"/>
    </w:rPr>
  </w:style>
  <w:style w:type="paragraph" w:customStyle="1" w:styleId="ps-000-normal">
    <w:name w:val="ps-000-normal"/>
    <w:basedOn w:val="Normal"/>
    <w:rsid w:val="002544C9"/>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A1354"/>
    <w:rPr>
      <w:rFonts w:ascii="Segoe UI" w:hAnsi="Segoe UI"/>
      <w:sz w:val="18"/>
      <w:szCs w:val="22"/>
    </w:rPr>
  </w:style>
  <w:style w:type="character" w:customStyle="1" w:styleId="BalloonTextChar">
    <w:name w:val="Balloon Text Char"/>
    <w:basedOn w:val="DefaultParagraphFont"/>
    <w:link w:val="BalloonText"/>
    <w:uiPriority w:val="99"/>
    <w:semiHidden/>
    <w:rsid w:val="00EA1354"/>
    <w:rPr>
      <w:rFonts w:ascii="Segoe UI" w:eastAsia="Times New Roman" w:hAnsi="Segoe UI" w:cs="Angsana New"/>
      <w:sz w:val="18"/>
      <w:szCs w:val="22"/>
    </w:rPr>
  </w:style>
  <w:style w:type="paragraph" w:styleId="ListParagraph">
    <w:name w:val="List Paragraph"/>
    <w:basedOn w:val="Normal"/>
    <w:uiPriority w:val="34"/>
    <w:qFormat/>
    <w:rsid w:val="00FF3394"/>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ui-provider">
    <w:name w:val="ui-provider"/>
    <w:basedOn w:val="DefaultParagraphFont"/>
    <w:rsid w:val="00894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568471">
      <w:bodyDiv w:val="1"/>
      <w:marLeft w:val="0"/>
      <w:marRight w:val="0"/>
      <w:marTop w:val="0"/>
      <w:marBottom w:val="0"/>
      <w:divBdr>
        <w:top w:val="none" w:sz="0" w:space="0" w:color="auto"/>
        <w:left w:val="none" w:sz="0" w:space="0" w:color="auto"/>
        <w:bottom w:val="none" w:sz="0" w:space="0" w:color="auto"/>
        <w:right w:val="none" w:sz="0" w:space="0" w:color="auto"/>
      </w:divBdr>
    </w:div>
    <w:div w:id="139712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32036</vt:lpwstr>
  </property>
  <property fmtid="{D5CDD505-2E9C-101B-9397-08002B2CF9AE}" pid="4" name="OptimizationTime">
    <vt:lpwstr>20230227_2208</vt:lpwstr>
  </property>
</Properties>
</file>

<file path=docProps/app.xml><?xml version="1.0" encoding="utf-8"?>
<Properties xmlns="http://schemas.openxmlformats.org/officeDocument/2006/extended-properties" xmlns:vt="http://schemas.openxmlformats.org/officeDocument/2006/docPropsVTypes">
  <Template>Normal.dotm</Template>
  <TotalTime>58</TotalTime>
  <Pages>9</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56</cp:revision>
  <cp:lastPrinted>2023-02-27T14:40:00Z</cp:lastPrinted>
  <dcterms:created xsi:type="dcterms:W3CDTF">2022-02-23T06:26:00Z</dcterms:created>
  <dcterms:modified xsi:type="dcterms:W3CDTF">2023-02-27T14:40:00Z</dcterms:modified>
</cp:coreProperties>
</file>