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47DE90A7"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three-month period ended</w:t>
            </w:r>
            <w:r w:rsidR="005A16DC">
              <w:rPr>
                <w:rFonts w:cs="Times New Roman"/>
                <w:color w:val="7E7F82"/>
                <w:sz w:val="28"/>
              </w:rPr>
              <w:t xml:space="preserve"> 31 March 2023</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231893F7" w:rsidR="00CF7FF0" w:rsidRDefault="00A46E48" w:rsidP="006A4023">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w:t>
      </w:r>
      <w:proofErr w:type="gramStart"/>
      <w:r w:rsidR="00C96AD6" w:rsidRPr="00C96AD6">
        <w:rPr>
          <w:rFonts w:ascii="Arial" w:hAnsi="Arial" w:cs="Arial"/>
          <w:sz w:val="22"/>
          <w:szCs w:val="22"/>
        </w:rPr>
        <w:t>at</w:t>
      </w:r>
      <w:proofErr w:type="gramEnd"/>
      <w:r w:rsidR="00C96AD6" w:rsidRPr="00C96AD6">
        <w:rPr>
          <w:rFonts w:ascii="Arial" w:hAnsi="Arial" w:cs="Arial"/>
          <w:sz w:val="22"/>
          <w:szCs w:val="22"/>
        </w:rPr>
        <w:t xml:space="preserve"> </w:t>
      </w:r>
      <w:r w:rsidR="005A16DC">
        <w:rPr>
          <w:rFonts w:ascii="Arial" w:hAnsi="Arial" w:cs="Arial"/>
          <w:sz w:val="22"/>
          <w:szCs w:val="22"/>
        </w:rPr>
        <w:t>31 March 2023</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365FF6">
        <w:rPr>
          <w:rFonts w:ascii="Arial" w:hAnsi="Arial" w:cs="Arial"/>
          <w:sz w:val="22"/>
          <w:szCs w:val="22"/>
        </w:rPr>
        <w:t xml:space="preserve">, </w:t>
      </w:r>
      <w:r w:rsidR="00C96AD6" w:rsidRPr="00C96AD6">
        <w:rPr>
          <w:rFonts w:ascii="Arial" w:hAnsi="Arial" w:cs="Arial"/>
          <w:sz w:val="22"/>
          <w:szCs w:val="22"/>
        </w:rPr>
        <w:t>changes in shareholders’ equity</w:t>
      </w:r>
      <w:r w:rsidR="0082580C">
        <w:rPr>
          <w:rFonts w:ascii="Arial" w:hAnsi="Arial" w:cs="Arial"/>
          <w:sz w:val="22"/>
          <w:szCs w:val="22"/>
        </w:rPr>
        <w:t>,</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5A16DC">
        <w:rPr>
          <w:rFonts w:ascii="Arial" w:hAnsi="Arial" w:cs="Arial"/>
          <w:sz w:val="22"/>
          <w:szCs w:val="22"/>
        </w:rPr>
        <w:t>three</w:t>
      </w:r>
      <w:r w:rsidR="00EA0EF5" w:rsidRPr="00EA0EF5">
        <w:rPr>
          <w:rFonts w:ascii="Arial" w:hAnsi="Arial" w:cs="Arial"/>
          <w:sz w:val="22"/>
          <w:szCs w:val="22"/>
        </w:rPr>
        <w:t xml:space="preserve">-month </w:t>
      </w:r>
      <w:r w:rsidR="00C96AD6" w:rsidRPr="00C96AD6">
        <w:rPr>
          <w:rFonts w:ascii="Arial" w:hAnsi="Arial" w:cs="Arial"/>
          <w:sz w:val="22"/>
          <w:szCs w:val="22"/>
        </w:rPr>
        <w:t xml:space="preserve">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415AFCBE" w:rsidR="00794395" w:rsidRPr="002A61CA"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Qualified Conclusion </w:t>
      </w:r>
      <w:r>
        <w:rPr>
          <w:rFonts w:ascii="Arial" w:hAnsi="Arial" w:cs="Arial"/>
          <w:sz w:val="22"/>
          <w:szCs w:val="22"/>
        </w:rPr>
        <w:t>section</w:t>
      </w:r>
      <w:r w:rsidRPr="002A61CA">
        <w:rPr>
          <w:rFonts w:ascii="Arial" w:hAnsi="Arial" w:cs="Arial"/>
          <w:sz w:val="22"/>
          <w:szCs w:val="22"/>
        </w:rPr>
        <w:t>,</w:t>
      </w:r>
      <w:r>
        <w:rPr>
          <w:rFonts w:ascii="Arial" w:hAnsi="Arial" w:cs="Arial"/>
          <w:sz w:val="22"/>
          <w:szCs w:val="22"/>
        </w:rPr>
        <w:t xml:space="preserve"> </w:t>
      </w:r>
      <w:r w:rsidR="00794395" w:rsidRPr="002A61CA">
        <w:rPr>
          <w:rFonts w:ascii="Arial" w:hAnsi="Arial" w:cs="Arial"/>
          <w:sz w:val="22"/>
          <w:szCs w:val="22"/>
        </w:rPr>
        <w:t xml:space="preserve">I conducted my review in accordance with Thai Standard on Review Engagements </w:t>
      </w:r>
      <w:r w:rsidR="00794395" w:rsidRPr="002A61CA">
        <w:rPr>
          <w:rFonts w:ascii="Arial" w:hAnsi="Arial" w:cs="Arial"/>
          <w:sz w:val="22"/>
          <w:szCs w:val="22"/>
          <w:cs/>
        </w:rPr>
        <w:t>2410</w:t>
      </w:r>
      <w:r w:rsidR="00794395" w:rsidRPr="002A61CA">
        <w:rPr>
          <w:rFonts w:ascii="Arial" w:hAnsi="Arial" w:cs="Arial"/>
          <w:sz w:val="22"/>
          <w:szCs w:val="22"/>
        </w:rPr>
        <w:t xml:space="preserve">, </w:t>
      </w:r>
      <w:r w:rsidR="00794395" w:rsidRPr="002A61CA">
        <w:rPr>
          <w:rFonts w:ascii="Arial" w:hAnsi="Arial" w:cs="Arial"/>
          <w:i/>
          <w:iCs/>
          <w:sz w:val="22"/>
          <w:szCs w:val="22"/>
        </w:rPr>
        <w:t>Review of Interim Financial Information Performed by the Independent Auditor of the Entity</w:t>
      </w:r>
      <w:r w:rsidR="00794395"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EA72E9">
          <w:headerReference w:type="first" r:id="rId10"/>
          <w:footerReference w:type="first" r:id="rId11"/>
          <w:pgSz w:w="11909" w:h="16834" w:code="9"/>
          <w:pgMar w:top="2880"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6E4B80A8"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described in Note 4 to the interim consolidated financial statements, securities and derivatives business receivables of Baht 4,021 million of Trinity Securities Company Limited, which is a subsidiary of the Company, as presented in the consolidated statement of financial position as at 31 March 2023 (31 December 2022: Baht 4,523 million), included securities business receivables of Baht 479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w:t>
      </w:r>
      <w:r w:rsidR="00C87CC8">
        <w:rPr>
          <w:rFonts w:ascii="Arial" w:hAnsi="Arial" w:cs="Arial"/>
          <w:sz w:val="22"/>
          <w:szCs w:val="22"/>
        </w:rPr>
        <w:t xml:space="preserve">The management of the Company and the subsidiary consider that </w:t>
      </w:r>
      <w:r w:rsidRPr="00BF69AA">
        <w:rPr>
          <w:rFonts w:ascii="Arial" w:hAnsi="Arial" w:cs="Arial"/>
          <w:sz w:val="22"/>
          <w:szCs w:val="22"/>
        </w:rPr>
        <w:t>setting up an allowance for expected credit losses may have an adverse effect on the case that the subsidiary has filed</w:t>
      </w:r>
      <w:r w:rsidR="00C87CC8">
        <w:rPr>
          <w:rFonts w:ascii="Arial" w:hAnsi="Arial" w:cs="Arial"/>
          <w:sz w:val="22"/>
          <w:szCs w:val="22"/>
        </w:rPr>
        <w:t>, therefore the subsidiary has not recorded any allowance for expected credit losses related to the overdue se</w:t>
      </w:r>
      <w:r w:rsidR="005B2E39">
        <w:rPr>
          <w:rFonts w:ascii="Arial" w:hAnsi="Arial" w:cs="Arial"/>
          <w:sz w:val="22"/>
          <w:szCs w:val="22"/>
        </w:rPr>
        <w:t>cu</w:t>
      </w:r>
      <w:r w:rsidR="00C87CC8">
        <w:rPr>
          <w:rFonts w:ascii="Arial" w:hAnsi="Arial" w:cs="Arial"/>
          <w:sz w:val="22"/>
          <w:szCs w:val="22"/>
        </w:rPr>
        <w:t>rities business receivables mention</w:t>
      </w:r>
      <w:r w:rsidR="00A80906">
        <w:rPr>
          <w:rFonts w:ascii="Arial" w:hAnsi="Arial" w:cs="Browallia New"/>
          <w:sz w:val="22"/>
        </w:rPr>
        <w:t>ed</w:t>
      </w:r>
      <w:r w:rsidR="00C87CC8">
        <w:rPr>
          <w:rFonts w:ascii="Arial" w:hAnsi="Arial" w:cs="Arial"/>
          <w:sz w:val="22"/>
          <w:szCs w:val="22"/>
        </w:rPr>
        <w:t xml:space="preserve"> above. </w:t>
      </w:r>
      <w:r w:rsidRPr="00BF69AA">
        <w:rPr>
          <w:rFonts w:ascii="Arial" w:hAnsi="Arial" w:cs="Arial"/>
          <w:sz w:val="22"/>
          <w:szCs w:val="22"/>
        </w:rPr>
        <w:t>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p>
    <w:p w14:paraId="5804F91D" w14:textId="6EED5CD9" w:rsidR="00BF69AA" w:rsidRPr="00BF69AA"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BF69AA">
        <w:rPr>
          <w:rFonts w:ascii="Arial" w:hAnsi="Arial" w:cs="Arial"/>
          <w:sz w:val="22"/>
          <w:szCs w:val="22"/>
        </w:rPr>
        <w:t>a large number of</w:t>
      </w:r>
      <w:proofErr w:type="gramEnd"/>
      <w:r w:rsidRPr="00BF69AA">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w:t>
      </w:r>
      <w:r w:rsidR="00C87CC8">
        <w:rPr>
          <w:rFonts w:ascii="Arial" w:hAnsi="Arial" w:cs="Arial"/>
          <w:sz w:val="22"/>
          <w:szCs w:val="22"/>
        </w:rPr>
        <w:t xml:space="preserve">for the year ended </w:t>
      </w:r>
      <w:r w:rsidRPr="00BF69AA">
        <w:rPr>
          <w:rFonts w:ascii="Arial" w:hAnsi="Arial" w:cs="Arial"/>
          <w:sz w:val="22"/>
          <w:szCs w:val="22"/>
        </w:rPr>
        <w:t xml:space="preserve">31 December 2022 </w:t>
      </w:r>
      <w:r w:rsidR="00A80906">
        <w:rPr>
          <w:rFonts w:ascii="Arial" w:hAnsi="Arial" w:cs="Arial"/>
          <w:sz w:val="22"/>
          <w:szCs w:val="22"/>
        </w:rPr>
        <w:t>was</w:t>
      </w:r>
      <w:r w:rsidRPr="00BF69AA">
        <w:rPr>
          <w:rFonts w:ascii="Arial" w:hAnsi="Arial" w:cs="Arial"/>
          <w:sz w:val="22"/>
          <w:szCs w:val="22"/>
        </w:rPr>
        <w:t xml:space="preserve"> qualified in this regard. Moreover, since the </w:t>
      </w:r>
      <w:r w:rsidR="002D05F1">
        <w:rPr>
          <w:rFonts w:ascii="Arial" w:hAnsi="Arial" w:cs="Arial"/>
          <w:sz w:val="22"/>
          <w:szCs w:val="22"/>
        </w:rPr>
        <w:t>case</w:t>
      </w:r>
      <w:r w:rsidRPr="00BF69AA">
        <w:rPr>
          <w:rFonts w:ascii="Arial" w:hAnsi="Arial" w:cs="Arial"/>
          <w:sz w:val="22"/>
          <w:szCs w:val="22"/>
        </w:rPr>
        <w:t xml:space="preserve"> is under judicial process without any significant progress, I was unable to obtain sufficient appropriate audit evidence for the allowance for </w:t>
      </w:r>
      <w:r w:rsidRPr="00BF69AA">
        <w:rPr>
          <w:rFonts w:ascii="Arial" w:hAnsi="Arial" w:cs="Arial"/>
          <w:sz w:val="22"/>
          <w:szCs w:val="22"/>
        </w:rPr>
        <w:lastRenderedPageBreak/>
        <w:t xml:space="preserve">expected credit losses for such overdue receivable for the same reasons. My conclusion on the interim financial information for the three-month period ended 31 March 2023 </w:t>
      </w:r>
      <w:r w:rsidR="00C87CC8">
        <w:rPr>
          <w:rFonts w:ascii="Arial" w:hAnsi="Arial" w:cs="Arial"/>
          <w:sz w:val="22"/>
          <w:szCs w:val="22"/>
        </w:rPr>
        <w:t>is</w:t>
      </w:r>
      <w:r w:rsidRPr="00BF69AA">
        <w:rPr>
          <w:rFonts w:ascii="Arial" w:hAnsi="Arial" w:cs="Arial"/>
          <w:sz w:val="22"/>
          <w:szCs w:val="22"/>
        </w:rPr>
        <w:t xml:space="preserve"> also qualified on </w:t>
      </w:r>
      <w:r w:rsidR="00C87CC8">
        <w:rPr>
          <w:rFonts w:ascii="Arial" w:hAnsi="Arial" w:cs="Arial"/>
          <w:sz w:val="22"/>
          <w:szCs w:val="22"/>
        </w:rPr>
        <w:t>such</w:t>
      </w:r>
      <w:r w:rsidRPr="00BF69AA">
        <w:rPr>
          <w:rFonts w:ascii="Arial" w:hAnsi="Arial" w:cs="Arial"/>
          <w:sz w:val="22"/>
          <w:szCs w:val="22"/>
        </w:rPr>
        <w:t xml:space="preserve"> matter. </w:t>
      </w:r>
    </w:p>
    <w:p w14:paraId="3F0D4AE2" w14:textId="52856F4E" w:rsidR="009A7F76" w:rsidRDefault="00BF69AA" w:rsidP="00BF69AA">
      <w:pPr>
        <w:overflowPunct/>
        <w:autoSpaceDE/>
        <w:adjustRightInd/>
        <w:spacing w:before="120" w:after="120" w:line="380" w:lineRule="exact"/>
        <w:rPr>
          <w:rFonts w:ascii="Arial" w:hAnsi="Arial" w:cs="Arial"/>
          <w:sz w:val="22"/>
          <w:szCs w:val="22"/>
        </w:rPr>
      </w:pPr>
      <w:r w:rsidRPr="00BF69AA">
        <w:rPr>
          <w:rFonts w:ascii="Arial" w:hAnsi="Arial" w:cs="Arial"/>
          <w:sz w:val="22"/>
          <w:szCs w:val="22"/>
        </w:rPr>
        <w:t xml:space="preserve">If adjustments are necessary for the aforementioned transaction, the total assets and retained earnings in the consolidated statement of financial position and the separate statement of financial position (which presented investments in subsidiaries under the equity method) as at </w:t>
      </w:r>
      <w:r w:rsidR="000A4289">
        <w:rPr>
          <w:rFonts w:ascii="Arial" w:hAnsi="Arial" w:cstheme="minorBidi" w:hint="cs"/>
          <w:sz w:val="22"/>
          <w:szCs w:val="22"/>
          <w:cs/>
        </w:rPr>
        <w:t xml:space="preserve">              </w:t>
      </w:r>
      <w:r w:rsidRPr="00BF69AA">
        <w:rPr>
          <w:rFonts w:ascii="Arial" w:hAnsi="Arial" w:cs="Arial"/>
          <w:sz w:val="22"/>
          <w:szCs w:val="22"/>
        </w:rPr>
        <w:t xml:space="preserve">31 March 2023 and 31 December 2022 will decrease, and this will have an impact on the loss for the period and total comprehensive income in the consolidated and separate statements </w:t>
      </w:r>
      <w:r w:rsidR="00C87CC8">
        <w:rPr>
          <w:rFonts w:ascii="Arial" w:hAnsi="Arial" w:cs="Arial"/>
          <w:sz w:val="22"/>
          <w:szCs w:val="22"/>
        </w:rPr>
        <w:t xml:space="preserve">of comprehensive income </w:t>
      </w:r>
      <w:r w:rsidRPr="00BF69AA">
        <w:rPr>
          <w:rFonts w:ascii="Arial" w:hAnsi="Arial" w:cs="Arial"/>
          <w:sz w:val="22"/>
          <w:szCs w:val="22"/>
        </w:rPr>
        <w:t>for the three-month period ended 31 March 2023</w:t>
      </w:r>
      <w:r w:rsidR="009A7F76" w:rsidRPr="00AF6854">
        <w:rPr>
          <w:rFonts w:ascii="Arial" w:hAnsi="Arial" w:cs="Arial"/>
          <w:sz w:val="22"/>
          <w:szCs w:val="22"/>
        </w:rPr>
        <w:t>.</w:t>
      </w:r>
    </w:p>
    <w:p w14:paraId="512FA40F" w14:textId="29F82885" w:rsidR="009A7F76" w:rsidRDefault="009A7F76" w:rsidP="00134A2C">
      <w:pPr>
        <w:tabs>
          <w:tab w:val="left" w:pos="3352"/>
        </w:tabs>
        <w:spacing w:before="240" w:after="120" w:line="380" w:lineRule="exact"/>
        <w:rPr>
          <w:rFonts w:ascii="Arial" w:hAnsi="Arial" w:cs="Arial"/>
          <w:sz w:val="22"/>
          <w:szCs w:val="22"/>
        </w:rPr>
      </w:pPr>
      <w:r w:rsidRPr="002A61CA">
        <w:rPr>
          <w:rFonts w:ascii="Arial" w:hAnsi="Arial" w:cs="Arial"/>
          <w:b/>
          <w:bCs/>
          <w:sz w:val="22"/>
          <w:szCs w:val="22"/>
        </w:rPr>
        <w:t xml:space="preserve">Qualified </w:t>
      </w:r>
      <w:r>
        <w:rPr>
          <w:rFonts w:ascii="Arial" w:hAnsi="Arial" w:cs="Arial"/>
          <w:b/>
          <w:bCs/>
          <w:sz w:val="22"/>
          <w:szCs w:val="22"/>
        </w:rPr>
        <w:t>C</w:t>
      </w:r>
      <w:r w:rsidRPr="002A61CA">
        <w:rPr>
          <w:rFonts w:ascii="Arial" w:hAnsi="Arial" w:cs="Arial"/>
          <w:b/>
          <w:bCs/>
          <w:sz w:val="22"/>
          <w:szCs w:val="22"/>
        </w:rPr>
        <w:t>onclusion</w:t>
      </w:r>
      <w:r w:rsidRPr="00AC4EA4">
        <w:rPr>
          <w:rFonts w:ascii="Arial" w:hAnsi="Arial" w:cs="Arial"/>
          <w:sz w:val="22"/>
          <w:szCs w:val="22"/>
        </w:rPr>
        <w:t xml:space="preserve"> </w:t>
      </w:r>
    </w:p>
    <w:p w14:paraId="71BB41D3" w14:textId="77777777" w:rsidR="005157D9" w:rsidRDefault="00AC4EA4" w:rsidP="007A4371">
      <w:pPr>
        <w:tabs>
          <w:tab w:val="left" w:pos="3352"/>
        </w:tabs>
        <w:spacing w:before="60" w:after="60" w:line="380" w:lineRule="exact"/>
        <w:rPr>
          <w:rFonts w:ascii="Arial" w:hAnsi="Arial" w:cs="Arial"/>
          <w:sz w:val="22"/>
          <w:szCs w:val="22"/>
        </w:rPr>
      </w:pPr>
      <w:r w:rsidRPr="00AC4EA4">
        <w:rPr>
          <w:rFonts w:ascii="Arial" w:hAnsi="Arial" w:cs="Arial"/>
          <w:sz w:val="22"/>
          <w:szCs w:val="22"/>
        </w:rPr>
        <w:t>Based on my review</w:t>
      </w:r>
      <w:r w:rsidR="00117C8F">
        <w:rPr>
          <w:rFonts w:ascii="Arial" w:hAnsi="Arial" w:cs="Browallia New"/>
          <w:sz w:val="22"/>
        </w:rPr>
        <w:t>, e</w:t>
      </w:r>
      <w:r w:rsidR="00117C8F" w:rsidRPr="002A61CA">
        <w:rPr>
          <w:rFonts w:ascii="Arial" w:hAnsi="Arial" w:cs="Arial"/>
          <w:sz w:val="22"/>
          <w:szCs w:val="22"/>
        </w:rPr>
        <w:t xml:space="preserve">xcept for the possible effects of the matter as described in the </w:t>
      </w:r>
      <w:r w:rsidR="00117C8F" w:rsidRPr="002A61CA">
        <w:rPr>
          <w:rFonts w:ascii="Arial" w:hAnsi="Arial" w:cs="Arial"/>
          <w:i/>
          <w:iCs/>
          <w:sz w:val="22"/>
          <w:szCs w:val="22"/>
        </w:rPr>
        <w:t xml:space="preserve">Basis for Qualified Conclusion </w:t>
      </w:r>
      <w:r w:rsidR="00117C8F">
        <w:rPr>
          <w:rFonts w:ascii="Arial" w:hAnsi="Arial" w:cs="Arial"/>
          <w:sz w:val="22"/>
          <w:szCs w:val="22"/>
        </w:rPr>
        <w:t>section</w:t>
      </w:r>
      <w:r w:rsidRPr="00AC4EA4">
        <w:rPr>
          <w:rFonts w:ascii="Arial" w:hAnsi="Arial" w:cs="Arial"/>
          <w:sz w:val="22"/>
          <w:szCs w:val="22"/>
        </w:rPr>
        <w:t xml:space="preserve">,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281732F5" w14:textId="2E1F592A" w:rsidR="005157D9" w:rsidRPr="005157D9" w:rsidRDefault="005157D9" w:rsidP="007A4371">
      <w:pPr>
        <w:spacing w:before="240" w:after="120" w:line="380" w:lineRule="exact"/>
        <w:rPr>
          <w:rFonts w:ascii="Arial" w:hAnsi="Arial" w:cs="Arial"/>
          <w:b/>
          <w:bCs/>
          <w:sz w:val="22"/>
          <w:szCs w:val="22"/>
        </w:rPr>
      </w:pPr>
      <w:r w:rsidRPr="005157D9">
        <w:rPr>
          <w:rFonts w:ascii="Arial" w:hAnsi="Arial" w:cs="Arial"/>
          <w:b/>
          <w:bCs/>
          <w:sz w:val="22"/>
          <w:szCs w:val="22"/>
        </w:rPr>
        <w:t>Emphasis of Matter</w:t>
      </w:r>
    </w:p>
    <w:p w14:paraId="3F9D82EB" w14:textId="186AA66E" w:rsidR="005157D9" w:rsidRPr="005157D9" w:rsidRDefault="005157D9" w:rsidP="005157D9">
      <w:pPr>
        <w:tabs>
          <w:tab w:val="left" w:pos="3352"/>
        </w:tabs>
        <w:spacing w:before="60" w:after="60" w:line="380" w:lineRule="exact"/>
        <w:rPr>
          <w:rFonts w:ascii="Arial" w:hAnsi="Arial" w:cs="Arial"/>
          <w:sz w:val="22"/>
          <w:szCs w:val="22"/>
        </w:rPr>
      </w:pPr>
      <w:r w:rsidRPr="005157D9">
        <w:rPr>
          <w:rFonts w:ascii="Arial" w:hAnsi="Arial" w:cs="Arial"/>
          <w:sz w:val="22"/>
          <w:szCs w:val="22"/>
        </w:rPr>
        <w:t xml:space="preserve">I draw attention to Note </w:t>
      </w:r>
      <w:r w:rsidR="0039446C">
        <w:rPr>
          <w:rFonts w:ascii="Arial" w:hAnsi="Arial" w:cs="Browallia New"/>
          <w:sz w:val="22"/>
        </w:rPr>
        <w:t>9</w:t>
      </w:r>
      <w:r w:rsidRPr="005157D9">
        <w:rPr>
          <w:rFonts w:ascii="Arial" w:hAnsi="Arial" w:cs="Arial"/>
          <w:sz w:val="22"/>
          <w:szCs w:val="22"/>
        </w:rPr>
        <w:t xml:space="preserve"> to the interim consolidated financial statements</w:t>
      </w:r>
      <w:r w:rsidR="00B27355">
        <w:rPr>
          <w:rFonts w:ascii="Arial" w:hAnsi="Arial" w:cs="Arial"/>
          <w:sz w:val="22"/>
          <w:szCs w:val="22"/>
        </w:rPr>
        <w:t xml:space="preserve"> </w:t>
      </w:r>
      <w:r w:rsidR="00B27355" w:rsidRPr="00406A77">
        <w:rPr>
          <w:rFonts w:ascii="Arial" w:hAnsi="Arial" w:cs="Arial"/>
          <w:sz w:val="22"/>
          <w:szCs w:val="22"/>
        </w:rPr>
        <w:t xml:space="preserve">regarding the </w:t>
      </w:r>
      <w:r w:rsidR="00B27355">
        <w:rPr>
          <w:rFonts w:ascii="Arial" w:hAnsi="Arial" w:cs="Arial"/>
          <w:sz w:val="22"/>
          <w:szCs w:val="22"/>
        </w:rPr>
        <w:t>investing</w:t>
      </w:r>
      <w:r w:rsidR="00B27355" w:rsidRPr="00406A77">
        <w:rPr>
          <w:rFonts w:ascii="Arial" w:hAnsi="Arial" w:cs="Arial"/>
          <w:sz w:val="22"/>
          <w:szCs w:val="22"/>
        </w:rPr>
        <w:t xml:space="preserve"> </w:t>
      </w:r>
      <w:r w:rsidR="0039446C">
        <w:rPr>
          <w:rFonts w:ascii="Arial" w:hAnsi="Arial" w:cs="Arial"/>
          <w:sz w:val="22"/>
          <w:szCs w:val="22"/>
        </w:rPr>
        <w:t>associates</w:t>
      </w:r>
      <w:r w:rsidR="00B27355" w:rsidRPr="00406A77">
        <w:rPr>
          <w:rFonts w:ascii="Arial" w:hAnsi="Arial" w:cs="Arial"/>
          <w:sz w:val="22"/>
          <w:szCs w:val="22"/>
        </w:rPr>
        <w:t xml:space="preserve"> by the Company. At present, the Company is in the process of assessing the fair value of the identifiable assets acquired and liabilities assumed at the </w:t>
      </w:r>
      <w:r w:rsidR="00B27355">
        <w:rPr>
          <w:rFonts w:ascii="Arial" w:hAnsi="Arial" w:cs="Arial"/>
          <w:sz w:val="22"/>
          <w:szCs w:val="22"/>
        </w:rPr>
        <w:t>investing</w:t>
      </w:r>
      <w:r w:rsidR="00B27355" w:rsidRPr="00406A77">
        <w:rPr>
          <w:rFonts w:ascii="Arial" w:hAnsi="Arial" w:cs="Arial"/>
          <w:sz w:val="22"/>
          <w:szCs w:val="22"/>
        </w:rPr>
        <w:t xml:space="preserve"> date</w:t>
      </w:r>
      <w:r w:rsidR="00B27355">
        <w:rPr>
          <w:rFonts w:ascii="Arial" w:hAnsi="Arial" w:cs="Arial"/>
          <w:sz w:val="22"/>
          <w:szCs w:val="22"/>
        </w:rPr>
        <w:t xml:space="preserve"> of such </w:t>
      </w:r>
      <w:r w:rsidR="0039446C">
        <w:rPr>
          <w:rFonts w:ascii="Arial" w:hAnsi="Arial" w:cs="Arial"/>
          <w:sz w:val="22"/>
          <w:szCs w:val="22"/>
        </w:rPr>
        <w:t>associates</w:t>
      </w:r>
      <w:r w:rsidR="00B27355" w:rsidRPr="00406A77">
        <w:rPr>
          <w:rFonts w:ascii="Arial" w:hAnsi="Arial" w:cs="Arial"/>
          <w:sz w:val="22"/>
          <w:szCs w:val="22"/>
        </w:rPr>
        <w:t>. My conclusion is not qualified in respect of this matter</w:t>
      </w:r>
      <w:r w:rsidRPr="005157D9">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609C24FF"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AC630E">
        <w:rPr>
          <w:rFonts w:ascii="Arial" w:hAnsi="Arial" w:cs="Arial"/>
          <w:sz w:val="22"/>
          <w:szCs w:val="22"/>
        </w:rPr>
        <w:t>10 May</w:t>
      </w:r>
      <w:r w:rsidR="005A16DC">
        <w:rPr>
          <w:rFonts w:ascii="Arial" w:hAnsi="Arial" w:cs="Arial"/>
          <w:sz w:val="22"/>
          <w:szCs w:val="22"/>
        </w:rPr>
        <w:t xml:space="preserve"> 2023</w:t>
      </w:r>
    </w:p>
    <w:sectPr w:rsidR="00237204" w:rsidRPr="00C91665" w:rsidSect="00EA72E9">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938568"/>
      <w:docPartObj>
        <w:docPartGallery w:val="Page Numbers (Bottom of Page)"/>
        <w:docPartUnique/>
      </w:docPartObj>
    </w:sdtPr>
    <w:sdtEndPr>
      <w:rPr>
        <w:rFonts w:ascii="Arial" w:hAnsi="Arial" w:cs="Arial"/>
        <w:noProof/>
        <w:sz w:val="22"/>
        <w:szCs w:val="24"/>
      </w:rPr>
    </w:sdtEndPr>
    <w:sdtContent>
      <w:p w14:paraId="5AB9C708" w14:textId="46AE96D5" w:rsidR="00EA72E9" w:rsidRPr="00EA72E9" w:rsidRDefault="00EA72E9" w:rsidP="00EA72E9">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4513"/>
      <w:docPartObj>
        <w:docPartGallery w:val="Page Numbers (Bottom of Page)"/>
        <w:docPartUnique/>
      </w:docPartObj>
    </w:sdtPr>
    <w:sdtEndPr>
      <w:rPr>
        <w:rFonts w:ascii="Arial" w:hAnsi="Arial" w:cs="Arial"/>
        <w:noProof/>
        <w:sz w:val="22"/>
        <w:szCs w:val="24"/>
      </w:rPr>
    </w:sdtEndPr>
    <w:sdtContent>
      <w:p w14:paraId="6FCED813" w14:textId="55F98A33" w:rsidR="00EA72E9" w:rsidRPr="00EA72E9" w:rsidRDefault="00EA72E9" w:rsidP="00794395">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E335" w14:textId="39DAFF6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289"/>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17C8F"/>
    <w:rsid w:val="001202A8"/>
    <w:rsid w:val="00121E50"/>
    <w:rsid w:val="001245B3"/>
    <w:rsid w:val="001256BD"/>
    <w:rsid w:val="00125D2B"/>
    <w:rsid w:val="00134A2C"/>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6451F"/>
    <w:rsid w:val="0036465E"/>
    <w:rsid w:val="00364AAB"/>
    <w:rsid w:val="00364E63"/>
    <w:rsid w:val="00365FF6"/>
    <w:rsid w:val="00371E18"/>
    <w:rsid w:val="0037615C"/>
    <w:rsid w:val="00380E45"/>
    <w:rsid w:val="0038183D"/>
    <w:rsid w:val="00381DF8"/>
    <w:rsid w:val="00386B6C"/>
    <w:rsid w:val="003944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2FC"/>
    <w:rsid w:val="00596580"/>
    <w:rsid w:val="00597F93"/>
    <w:rsid w:val="005A075D"/>
    <w:rsid w:val="005A16DC"/>
    <w:rsid w:val="005A2785"/>
    <w:rsid w:val="005A2C4C"/>
    <w:rsid w:val="005A56D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2734A"/>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2FE9"/>
    <w:rsid w:val="008239A9"/>
    <w:rsid w:val="00823C66"/>
    <w:rsid w:val="008240A2"/>
    <w:rsid w:val="008244B7"/>
    <w:rsid w:val="0082580C"/>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4704"/>
    <w:rsid w:val="00866522"/>
    <w:rsid w:val="008673BA"/>
    <w:rsid w:val="008677DA"/>
    <w:rsid w:val="00872954"/>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EC"/>
    <w:rsid w:val="00B10DE9"/>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87CC8"/>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19B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2E9"/>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35700</vt:lpwstr>
  </property>
  <property fmtid="{D5CDD505-2E9C-101B-9397-08002B2CF9AE}" pid="4" name="OptimizationTime">
    <vt:lpwstr>20230510_2134</vt:lpwstr>
  </property>
</Properties>
</file>

<file path=docProps/app.xml><?xml version="1.0" encoding="utf-8"?>
<Properties xmlns="http://schemas.openxmlformats.org/officeDocument/2006/extended-properties" xmlns:vt="http://schemas.openxmlformats.org/officeDocument/2006/docPropsVTypes">
  <Template>Normal.dotm</Template>
  <TotalTime>210</TotalTime>
  <Pages>4</Pages>
  <Words>1007</Words>
  <Characters>5673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77</cp:revision>
  <cp:lastPrinted>2023-05-10T12:01:00Z</cp:lastPrinted>
  <dcterms:created xsi:type="dcterms:W3CDTF">2018-09-25T04:03:00Z</dcterms:created>
  <dcterms:modified xsi:type="dcterms:W3CDTF">2023-05-10T12:01:00Z</dcterms:modified>
</cp:coreProperties>
</file>