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84372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9A03B2A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  <w:cs/>
        </w:rPr>
      </w:pPr>
    </w:p>
    <w:p w14:paraId="530A906D" w14:textId="77777777" w:rsidR="00D33753" w:rsidRPr="00AF47A4" w:rsidRDefault="00D33753" w:rsidP="00D33753">
      <w:pPr>
        <w:pStyle w:val="Title"/>
        <w:rPr>
          <w:rFonts w:ascii="Times New Roman" w:hAnsi="Times New Roman" w:cstheme="minorBidi"/>
          <w:sz w:val="40"/>
          <w:szCs w:val="40"/>
          <w:cs/>
        </w:rPr>
      </w:pPr>
    </w:p>
    <w:p w14:paraId="57537B1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8A604D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4154E2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0640D0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16"/>
          <w:szCs w:val="16"/>
        </w:rPr>
      </w:pPr>
    </w:p>
    <w:p w14:paraId="29549DB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  <w:r w:rsidRPr="009355AC">
        <w:rPr>
          <w:rFonts w:ascii="Times New Roman" w:hAnsi="Times New Roman" w:cs="Times New Roman"/>
          <w:sz w:val="40"/>
          <w:szCs w:val="40"/>
        </w:rPr>
        <w:t xml:space="preserve">POSCO-Thainox Public Company Limited </w:t>
      </w:r>
    </w:p>
    <w:p w14:paraId="2E34071F" w14:textId="77777777" w:rsidR="00D33753" w:rsidRPr="009355AC" w:rsidRDefault="00D33753" w:rsidP="00D33753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rPr>
          <w:rFonts w:ascii="Times New Roman" w:hAnsi="Times New Roman"/>
          <w:sz w:val="40"/>
          <w:szCs w:val="40"/>
        </w:rPr>
      </w:pPr>
    </w:p>
    <w:p w14:paraId="1D01F13A" w14:textId="2095CC96" w:rsidR="00D33753" w:rsidRPr="00E02AD2" w:rsidRDefault="00D33753" w:rsidP="00D33753">
      <w:pPr>
        <w:spacing w:line="240" w:lineRule="atLeast"/>
        <w:jc w:val="center"/>
        <w:rPr>
          <w:rFonts w:ascii="Times New Roman" w:hAnsi="Times New Roman" w:cstheme="minorBidi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Pr="009355AC">
        <w:rPr>
          <w:rFonts w:ascii="Times New Roman" w:hAnsi="Times New Roman" w:cs="Times New Roman"/>
          <w:sz w:val="36"/>
          <w:szCs w:val="36"/>
        </w:rPr>
        <w:t>nterim financial statements</w:t>
      </w:r>
      <w:r w:rsidRPr="009355AC">
        <w:rPr>
          <w:rFonts w:ascii="Times New Roman" w:hAnsi="Times New Roman" w:cs="Times New Roman"/>
          <w:sz w:val="36"/>
          <w:szCs w:val="36"/>
        </w:rPr>
        <w:br/>
      </w:r>
      <w:r w:rsidR="00B75E10" w:rsidRPr="00E2595F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B75E10">
        <w:rPr>
          <w:rFonts w:ascii="Times New Roman" w:hAnsi="Times New Roman" w:cs="Times New Roman"/>
          <w:sz w:val="36"/>
          <w:szCs w:val="36"/>
        </w:rPr>
        <w:t xml:space="preserve">and six-month </w:t>
      </w:r>
      <w:r w:rsidR="00B75E10" w:rsidRPr="00E2595F">
        <w:rPr>
          <w:rFonts w:ascii="Times New Roman" w:hAnsi="Times New Roman" w:cs="Times New Roman"/>
          <w:sz w:val="36"/>
          <w:szCs w:val="36"/>
        </w:rPr>
        <w:t>periods ended</w:t>
      </w:r>
      <w:r w:rsidR="00B75E10" w:rsidRPr="00E2595F">
        <w:rPr>
          <w:rFonts w:ascii="Times New Roman" w:hAnsi="Times New Roman" w:cs="Times New Roman"/>
          <w:sz w:val="36"/>
          <w:szCs w:val="36"/>
        </w:rPr>
        <w:br/>
      </w:r>
      <w:r w:rsidR="00B75E10">
        <w:rPr>
          <w:rFonts w:ascii="Times New Roman" w:hAnsi="Times New Roman" w:cs="Times New Roman"/>
          <w:sz w:val="36"/>
          <w:szCs w:val="36"/>
        </w:rPr>
        <w:t>30 June</w:t>
      </w:r>
      <w:r w:rsidR="00B75E10" w:rsidRPr="00E2595F">
        <w:rPr>
          <w:rFonts w:ascii="Times New Roman" w:hAnsi="Times New Roman" w:cs="Times New Roman"/>
          <w:sz w:val="36"/>
          <w:szCs w:val="36"/>
        </w:rPr>
        <w:t xml:space="preserve"> </w:t>
      </w:r>
      <w:r w:rsidRPr="009355AC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</w:t>
      </w:r>
      <w:r w:rsidR="00E02AD2">
        <w:rPr>
          <w:rFonts w:ascii="Times New Roman" w:hAnsi="Times New Roman" w:cstheme="minorBidi"/>
          <w:sz w:val="36"/>
          <w:szCs w:val="36"/>
        </w:rPr>
        <w:t>3</w:t>
      </w:r>
    </w:p>
    <w:p w14:paraId="6E90040D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25F85997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4391BADD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8BA954A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  <w:sectPr w:rsidR="00D33753" w:rsidRPr="009355AC" w:rsidSect="00AF47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3BF85C63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1FD0793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2318626E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4C922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6251FE0" w14:textId="77777777" w:rsidR="00D33753" w:rsidRPr="009355AC" w:rsidRDefault="00D33753" w:rsidP="00D33753">
      <w:pPr>
        <w:ind w:right="-450"/>
        <w:rPr>
          <w:rFonts w:ascii="Times New Roman" w:hAnsi="Times New Roman" w:cs="Cordia New"/>
          <w:b/>
          <w:bCs/>
          <w:sz w:val="28"/>
          <w:szCs w:val="28"/>
        </w:rPr>
      </w:pPr>
    </w:p>
    <w:p w14:paraId="0771EE43" w14:textId="631A65D7" w:rsidR="00627A4D" w:rsidRDefault="00627A4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06C1C6FF" w14:textId="52FBC89A" w:rsidR="009648A8" w:rsidRDefault="009648A8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204B9CFB" w14:textId="0FD20548" w:rsidR="009648A8" w:rsidRDefault="009648A8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07214233" w14:textId="21F543FE" w:rsidR="009648A8" w:rsidRDefault="009648A8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593E3A38" w14:textId="77777777" w:rsidR="009648A8" w:rsidRDefault="009648A8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727CC351" w14:textId="77777777" w:rsidR="00B7573D" w:rsidRDefault="00B7573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4BE67" w14:textId="38CE2761" w:rsidR="00D33753" w:rsidRPr="009355AC" w:rsidRDefault="00D33753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355AC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</w:t>
      </w:r>
      <w:r w:rsidRPr="009355AC"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2D4929CB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6AD5294F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0E9EB05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 w:rsidRPr="009355AC">
        <w:rPr>
          <w:rFonts w:ascii="Times New Roman" w:hAnsi="Times New Roman" w:cs="Times New Roman"/>
          <w:b/>
          <w:bCs/>
          <w:sz w:val="24"/>
          <w:szCs w:val="24"/>
        </w:rPr>
        <w:t>To the Board of Directors of POSCO-Thainox Public Company Limited</w:t>
      </w:r>
    </w:p>
    <w:p w14:paraId="78E0B29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5F2FCCF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47D689C7" w14:textId="10A7EF55" w:rsidR="00D33753" w:rsidRPr="009355AC" w:rsidRDefault="00D33753" w:rsidP="000E2AD9">
      <w:pPr>
        <w:spacing w:line="240" w:lineRule="atLeast"/>
        <w:ind w:right="62"/>
        <w:jc w:val="thaiDistribute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I have reviewed the </w:t>
      </w:r>
      <w:r w:rsidRPr="009D43AE">
        <w:rPr>
          <w:rFonts w:ascii="Times New Roman" w:eastAsia="Times New Roman" w:hAnsi="Times New Roman" w:cs="Times New Roman"/>
          <w:sz w:val="22"/>
          <w:szCs w:val="22"/>
        </w:rPr>
        <w:t>accompanying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statement of financial position in which the equity method is applied and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separate statement of financial position of POSCO-Thainox Public Company Limited as at </w:t>
      </w:r>
      <w:r w:rsidR="00000190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30 June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20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2</w:t>
      </w:r>
      <w:r w:rsidR="00E02AD2">
        <w:rPr>
          <w:rFonts w:ascii="Times New Roman" w:eastAsia="Times New Roman" w:hAnsi="Times New Roman"/>
          <w:spacing w:val="-1"/>
          <w:sz w:val="22"/>
          <w:szCs w:val="28"/>
        </w:rPr>
        <w:t>3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;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804AC4">
        <w:rPr>
          <w:rFonts w:ascii="Times New Roman" w:eastAsia="Times New Roman" w:hAnsi="Times New Roman" w:cstheme="minorBidi"/>
          <w:sz w:val="22"/>
          <w:szCs w:val="22"/>
          <w:cs/>
        </w:rPr>
        <w:br/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the related statements of comprehensive income</w:t>
      </w:r>
      <w:r w:rsidR="0000019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000190" w:rsidRPr="00F40597">
        <w:rPr>
          <w:rFonts w:ascii="Times New Roman" w:eastAsia="Times New Roman" w:hAnsi="Times New Roman" w:cs="Times New Roman"/>
          <w:sz w:val="22"/>
          <w:szCs w:val="22"/>
        </w:rPr>
        <w:t xml:space="preserve">for the </w:t>
      </w:r>
      <w:r w:rsidR="0000019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>three-month and six-month periods ended</w:t>
      </w:r>
      <w:r w:rsidR="00000190" w:rsidRPr="00F4059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804AC4">
        <w:rPr>
          <w:rFonts w:ascii="Times New Roman" w:eastAsia="Times New Roman" w:hAnsi="Times New Roman" w:cstheme="minorBidi"/>
          <w:sz w:val="22"/>
          <w:szCs w:val="22"/>
          <w:cs/>
        </w:rPr>
        <w:br/>
      </w:r>
      <w:r w:rsidR="0000019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>30 June</w:t>
      </w:r>
      <w:r w:rsidR="00000190" w:rsidRPr="00F40597">
        <w:rPr>
          <w:rFonts w:ascii="Times New Roman" w:eastAsia="Times New Roman" w:hAnsi="Times New Roman" w:cs="Times New Roman"/>
          <w:sz w:val="22"/>
          <w:szCs w:val="22"/>
        </w:rPr>
        <w:t xml:space="preserve"> 202</w:t>
      </w:r>
      <w:r w:rsidR="00000190">
        <w:rPr>
          <w:rFonts w:ascii="Times New Roman" w:eastAsia="Times New Roman" w:hAnsi="Times New Roman" w:cs="Times New Roman"/>
          <w:sz w:val="22"/>
          <w:szCs w:val="22"/>
        </w:rPr>
        <w:t>3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changes in equity and cash flows </w:t>
      </w:r>
      <w:r w:rsidR="00000190" w:rsidRPr="00F40597">
        <w:rPr>
          <w:rFonts w:ascii="Times New Roman" w:eastAsia="Times New Roman" w:hAnsi="Times New Roman" w:cs="Times New Roman"/>
          <w:sz w:val="22"/>
          <w:szCs w:val="22"/>
        </w:rPr>
        <w:t xml:space="preserve">for the </w:t>
      </w:r>
      <w:r w:rsidR="0000019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>six-month periods ended</w:t>
      </w:r>
      <w:r w:rsidR="00000190" w:rsidRPr="00F4059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00019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>30 June</w:t>
      </w:r>
      <w:r w:rsidR="0000019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20</w:t>
      </w:r>
      <w:r>
        <w:rPr>
          <w:rFonts w:ascii="Times New Roman" w:eastAsia="Times New Roman" w:hAnsi="Times New Roman" w:cs="Times New Roman"/>
          <w:sz w:val="22"/>
          <w:szCs w:val="22"/>
        </w:rPr>
        <w:t>2</w:t>
      </w:r>
      <w:r w:rsidR="00E02AD2">
        <w:rPr>
          <w:rFonts w:ascii="Times New Roman" w:eastAsia="Times New Roman" w:hAnsi="Times New Roman" w:cs="Times New Roman"/>
          <w:sz w:val="22"/>
          <w:szCs w:val="22"/>
        </w:rPr>
        <w:t>3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; and condensed notes (“interim financial information”</w:t>
      </w:r>
      <w:r>
        <w:rPr>
          <w:rFonts w:ascii="Times New Roman" w:eastAsia="Times New Roman" w:hAnsi="Times New Roman" w:cs="Times New Roman"/>
          <w:sz w:val="22"/>
          <w:szCs w:val="22"/>
        </w:rPr>
        <w:t>)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. Management is responsible for the preparation and presentation of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in accordance with Thai Accounting Standard 34, “Interim Financial Reporting”. My responsibility</w:t>
      </w:r>
      <w:r w:rsidR="00B7573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to express a conclusion on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review.</w:t>
      </w:r>
    </w:p>
    <w:p w14:paraId="0C7068AB" w14:textId="77777777" w:rsidR="00D33753" w:rsidRPr="009355AC" w:rsidRDefault="00D33753" w:rsidP="00D33753">
      <w:pPr>
        <w:spacing w:line="240" w:lineRule="atLeast"/>
        <w:ind w:right="62"/>
        <w:jc w:val="thaiDistribute"/>
        <w:rPr>
          <w:rFonts w:ascii="Times New Roman" w:hAnsi="Times New Roman" w:cs="Times New Roman"/>
        </w:rPr>
      </w:pPr>
    </w:p>
    <w:p w14:paraId="4F6C25A3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Scope of Review</w:t>
      </w:r>
    </w:p>
    <w:p w14:paraId="02ECBCE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4F189A5A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E648C2" w14:textId="77777777" w:rsidR="00D33753" w:rsidRPr="009355AC" w:rsidRDefault="00D33753" w:rsidP="00D33753">
      <w:pPr>
        <w:rPr>
          <w:rFonts w:ascii="Times New Roman" w:hAnsi="Times New Roman" w:cs="Times New Roman"/>
          <w:sz w:val="22"/>
        </w:rPr>
      </w:pPr>
    </w:p>
    <w:p w14:paraId="0682380F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Conclusion</w:t>
      </w:r>
    </w:p>
    <w:p w14:paraId="4CAD5B69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31989B52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355AC">
        <w:rPr>
          <w:rFonts w:ascii="Times New Roman" w:eastAsia="Times New Roman" w:hAnsi="Times New Roman" w:cs="Times New Roman"/>
          <w:sz w:val="22"/>
          <w:szCs w:val="22"/>
          <w:cs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68B59E7" w14:textId="77777777" w:rsidR="00D33753" w:rsidRPr="009355AC" w:rsidRDefault="00D33753" w:rsidP="00D33753">
      <w:pPr>
        <w:pStyle w:val="BodyText2"/>
        <w:spacing w:line="240" w:lineRule="atLeast"/>
        <w:ind w:right="62"/>
        <w:rPr>
          <w:rFonts w:cs="Times New Roman"/>
          <w:sz w:val="20"/>
          <w:szCs w:val="20"/>
        </w:rPr>
      </w:pPr>
    </w:p>
    <w:p w14:paraId="6B04C6D6" w14:textId="77777777" w:rsidR="00D33753" w:rsidRPr="009355AC" w:rsidRDefault="00D33753" w:rsidP="00D33753">
      <w:pPr>
        <w:rPr>
          <w:rFonts w:ascii="Times New Roman" w:hAnsi="Times New Roman" w:cs="Times New Roman"/>
          <w:i/>
          <w:szCs w:val="18"/>
        </w:rPr>
      </w:pPr>
    </w:p>
    <w:p w14:paraId="314CEA5E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6EC7DDE7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0498EB3F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79857AF8" w14:textId="476928A3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(</w:t>
      </w:r>
      <w:r w:rsidR="00022CA7">
        <w:rPr>
          <w:rFonts w:ascii="Times New Roman" w:hAnsi="Times New Roman" w:cs="Times New Roman"/>
          <w:sz w:val="22"/>
          <w:szCs w:val="22"/>
        </w:rPr>
        <w:t>Piyanat</w:t>
      </w:r>
      <w:r w:rsidRPr="009355AC">
        <w:rPr>
          <w:rFonts w:ascii="Times New Roman" w:hAnsi="Times New Roman" w:cs="Times New Roman"/>
          <w:sz w:val="22"/>
          <w:szCs w:val="22"/>
        </w:rPr>
        <w:t xml:space="preserve"> </w:t>
      </w:r>
      <w:r w:rsidR="00022CA7">
        <w:rPr>
          <w:rFonts w:ascii="Times New Roman" w:hAnsi="Times New Roman" w:cs="Times New Roman"/>
          <w:sz w:val="22"/>
          <w:szCs w:val="22"/>
        </w:rPr>
        <w:t>Singkhorn</w:t>
      </w:r>
      <w:r>
        <w:rPr>
          <w:rFonts w:ascii="Times New Roman" w:hAnsi="Times New Roman" w:cs="Times New Roman"/>
          <w:sz w:val="22"/>
          <w:szCs w:val="22"/>
        </w:rPr>
        <w:t>)</w:t>
      </w:r>
    </w:p>
    <w:p w14:paraId="10CB66F2" w14:textId="77777777" w:rsidR="00D33753" w:rsidRPr="009355AC" w:rsidRDefault="00D33753" w:rsidP="00D33753">
      <w:pPr>
        <w:tabs>
          <w:tab w:val="center" w:pos="4712"/>
        </w:tabs>
        <w:spacing w:line="240" w:lineRule="atLeast"/>
        <w:ind w:right="180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Certified Public Accountant</w:t>
      </w:r>
      <w:r w:rsidRPr="009355AC">
        <w:rPr>
          <w:rFonts w:ascii="Times New Roman" w:hAnsi="Times New Roman" w:cs="Times New Roman"/>
          <w:sz w:val="22"/>
          <w:szCs w:val="22"/>
        </w:rPr>
        <w:tab/>
      </w:r>
    </w:p>
    <w:p w14:paraId="66390649" w14:textId="7F8B0921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022CA7">
        <w:rPr>
          <w:rFonts w:ascii="Times New Roman" w:hAnsi="Times New Roman" w:cs="Times New Roman"/>
          <w:sz w:val="22"/>
          <w:szCs w:val="22"/>
        </w:rPr>
        <w:t>11641</w:t>
      </w:r>
    </w:p>
    <w:p w14:paraId="34B31D73" w14:textId="77777777" w:rsidR="00D33753" w:rsidRPr="002D0D8C" w:rsidRDefault="00D33753" w:rsidP="00D33753">
      <w:pPr>
        <w:spacing w:line="240" w:lineRule="atLeast"/>
        <w:ind w:right="47"/>
        <w:rPr>
          <w:rFonts w:ascii="Times New Roman" w:hAnsi="Times New Roman" w:cstheme="minorBidi"/>
          <w:sz w:val="22"/>
          <w:szCs w:val="22"/>
          <w:cs/>
        </w:rPr>
      </w:pPr>
    </w:p>
    <w:p w14:paraId="567D9314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2A8038FD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141709C5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Bangkok</w:t>
      </w:r>
    </w:p>
    <w:p w14:paraId="52DE8576" w14:textId="7D49299E" w:rsidR="00D33753" w:rsidRPr="009355AC" w:rsidRDefault="00AF2A6E" w:rsidP="00D3375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43"/>
        <w:rPr>
          <w:rFonts w:cs="Times New Roman"/>
        </w:rPr>
      </w:pPr>
      <w:r>
        <w:rPr>
          <w:szCs w:val="28"/>
        </w:rPr>
        <w:t>10</w:t>
      </w:r>
      <w:r w:rsidR="00000190">
        <w:rPr>
          <w:rFonts w:cs="Times New Roman"/>
        </w:rPr>
        <w:t xml:space="preserve"> August</w:t>
      </w:r>
      <w:r w:rsidR="00000190" w:rsidRPr="003A03AD">
        <w:rPr>
          <w:rFonts w:cs="Times New Roman"/>
        </w:rPr>
        <w:t xml:space="preserve"> </w:t>
      </w:r>
      <w:r w:rsidR="00D33753" w:rsidRPr="003A03AD">
        <w:rPr>
          <w:rFonts w:cs="Times New Roman"/>
        </w:rPr>
        <w:t>202</w:t>
      </w:r>
      <w:r w:rsidR="00E02AD2">
        <w:rPr>
          <w:rFonts w:cs="Times New Roman"/>
        </w:rPr>
        <w:t>3</w:t>
      </w:r>
    </w:p>
    <w:sectPr w:rsidR="00D33753" w:rsidRPr="009355AC" w:rsidSect="00AF47A4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3B00A" w14:textId="77777777" w:rsidR="006A6317" w:rsidRDefault="006A6317">
      <w:r>
        <w:separator/>
      </w:r>
    </w:p>
  </w:endnote>
  <w:endnote w:type="continuationSeparator" w:id="0">
    <w:p w14:paraId="614C5362" w14:textId="77777777" w:rsidR="006A6317" w:rsidRDefault="006A6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6B0B" w14:textId="77777777" w:rsidR="003A03AD" w:rsidRDefault="003A03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95B0" w14:textId="77777777" w:rsidR="00AD4AEE" w:rsidRPr="003D16B2" w:rsidRDefault="00AF2A6E" w:rsidP="009E679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F655" w14:textId="77777777" w:rsidR="003A03AD" w:rsidRDefault="003A0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53B66" w14:textId="77777777" w:rsidR="006A6317" w:rsidRDefault="006A6317">
      <w:r>
        <w:separator/>
      </w:r>
    </w:p>
  </w:footnote>
  <w:footnote w:type="continuationSeparator" w:id="0">
    <w:p w14:paraId="006C96CB" w14:textId="77777777" w:rsidR="006A6317" w:rsidRDefault="006A6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7393" w14:textId="77777777" w:rsidR="003A03AD" w:rsidRDefault="003A03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FED6" w14:textId="77777777" w:rsidR="003A03AD" w:rsidRDefault="003A03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B67AE" w14:textId="77777777" w:rsidR="003A03AD" w:rsidRDefault="003A03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753"/>
    <w:rsid w:val="00000190"/>
    <w:rsid w:val="00022CA7"/>
    <w:rsid w:val="000E2AD9"/>
    <w:rsid w:val="0013510F"/>
    <w:rsid w:val="002076E0"/>
    <w:rsid w:val="002D0D8C"/>
    <w:rsid w:val="003A03AD"/>
    <w:rsid w:val="00400EEE"/>
    <w:rsid w:val="004413F5"/>
    <w:rsid w:val="00504158"/>
    <w:rsid w:val="00627A4D"/>
    <w:rsid w:val="006A6317"/>
    <w:rsid w:val="006E0203"/>
    <w:rsid w:val="007065B9"/>
    <w:rsid w:val="00741D08"/>
    <w:rsid w:val="00804AC4"/>
    <w:rsid w:val="008B31DE"/>
    <w:rsid w:val="008F782E"/>
    <w:rsid w:val="009648A8"/>
    <w:rsid w:val="009769B4"/>
    <w:rsid w:val="009E3BC2"/>
    <w:rsid w:val="00A05C39"/>
    <w:rsid w:val="00AF2A6E"/>
    <w:rsid w:val="00AF47A4"/>
    <w:rsid w:val="00B7573D"/>
    <w:rsid w:val="00B75E10"/>
    <w:rsid w:val="00BC5193"/>
    <w:rsid w:val="00C86B54"/>
    <w:rsid w:val="00D33753"/>
    <w:rsid w:val="00D61438"/>
    <w:rsid w:val="00E02AD2"/>
    <w:rsid w:val="00E46079"/>
    <w:rsid w:val="00E5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3D5ADE"/>
  <w15:chartTrackingRefBased/>
  <w15:docId w15:val="{633BBBE4-EDB7-48A3-889B-1A9269020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753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33753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33753"/>
    <w:rPr>
      <w:rFonts w:ascii="Arial" w:eastAsia="MS Mincho" w:hAnsi="Arial" w:cs="Angsana New"/>
      <w:b/>
      <w:bCs/>
      <w:kern w:val="36"/>
      <w:sz w:val="20"/>
      <w:szCs w:val="20"/>
    </w:rPr>
  </w:style>
  <w:style w:type="paragraph" w:styleId="Footer">
    <w:name w:val="footer"/>
    <w:basedOn w:val="Normal"/>
    <w:link w:val="FooterChar"/>
    <w:uiPriority w:val="99"/>
    <w:rsid w:val="00D337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753"/>
    <w:rPr>
      <w:rFonts w:ascii="Arial" w:eastAsia="MS Mincho" w:hAnsi="Arial" w:cs="Angsana New"/>
      <w:sz w:val="20"/>
      <w:szCs w:val="20"/>
    </w:rPr>
  </w:style>
  <w:style w:type="paragraph" w:styleId="BodyText2">
    <w:name w:val="Body Text 2"/>
    <w:basedOn w:val="Normal"/>
    <w:link w:val="BodyText2Char"/>
    <w:rsid w:val="00D33753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33753"/>
    <w:rPr>
      <w:rFonts w:ascii="Times New Roman" w:eastAsia="MS Mincho" w:hAnsi="Times New Roman" w:cs="Angsana New"/>
      <w:color w:val="000000"/>
      <w:szCs w:val="22"/>
    </w:rPr>
  </w:style>
  <w:style w:type="paragraph" w:customStyle="1" w:styleId="StandaardOpinion">
    <w:name w:val="StandaardOpinion"/>
    <w:basedOn w:val="Normal"/>
    <w:rsid w:val="00D337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ReportHeading1">
    <w:name w:val="ReportHeading1"/>
    <w:basedOn w:val="Normal"/>
    <w:rsid w:val="00D33753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19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193"/>
    <w:rPr>
      <w:rFonts w:ascii="Segoe UI" w:eastAsia="MS Mincho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3A03AD"/>
    <w:pPr>
      <w:tabs>
        <w:tab w:val="center" w:pos="4680"/>
        <w:tab w:val="right" w:pos="9360"/>
      </w:tabs>
    </w:pPr>
    <w:rPr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3A03AD"/>
    <w:rPr>
      <w:rFonts w:ascii="Arial" w:eastAsia="MS Mincho" w:hAnsi="Arial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F623D7-E902-4EC7-B40B-E30C0D4A1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ACBAB-AC10-4707-9174-FFDA4088EA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Chapaksaya, Thipayasirin</cp:lastModifiedBy>
  <cp:revision>9</cp:revision>
  <cp:lastPrinted>2021-05-04T02:48:00Z</cp:lastPrinted>
  <dcterms:created xsi:type="dcterms:W3CDTF">2023-03-22T03:35:00Z</dcterms:created>
  <dcterms:modified xsi:type="dcterms:W3CDTF">2023-07-19T07:01:00Z</dcterms:modified>
</cp:coreProperties>
</file>