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0E9945D1"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EA0EF5" w:rsidRPr="0008050E">
              <w:rPr>
                <w:rFonts w:cs="Times New Roman"/>
                <w:color w:val="7E7F82"/>
                <w:sz w:val="28"/>
              </w:rPr>
              <w:t xml:space="preserve">three-month </w:t>
            </w:r>
            <w:r w:rsidR="003E1D33">
              <w:rPr>
                <w:rFonts w:cs="Times New Roman"/>
                <w:color w:val="7E7F82"/>
                <w:sz w:val="28"/>
              </w:rPr>
              <w:t xml:space="preserve">and </w:t>
            </w:r>
            <w:r w:rsidR="006D3357">
              <w:rPr>
                <w:rFonts w:cs="Times New Roman"/>
                <w:color w:val="7E7F82"/>
                <w:sz w:val="28"/>
              </w:rPr>
              <w:t>nine</w:t>
            </w:r>
            <w:r w:rsidR="003E1D33">
              <w:rPr>
                <w:rFonts w:cs="Times New Roman"/>
                <w:color w:val="7E7F82"/>
                <w:sz w:val="28"/>
              </w:rPr>
              <w:t xml:space="preserve">-month </w:t>
            </w:r>
            <w:r w:rsidR="00EA0EF5" w:rsidRPr="0008050E">
              <w:rPr>
                <w:rFonts w:cs="Times New Roman"/>
                <w:color w:val="7E7F82"/>
                <w:sz w:val="28"/>
              </w:rPr>
              <w:t>period</w:t>
            </w:r>
            <w:r w:rsidR="003E1D33">
              <w:rPr>
                <w:rFonts w:cs="Times New Roman"/>
                <w:color w:val="7E7F82"/>
                <w:sz w:val="28"/>
              </w:rPr>
              <w:t>s</w:t>
            </w:r>
            <w:r w:rsidR="00EA0EF5" w:rsidRPr="0008050E">
              <w:rPr>
                <w:rFonts w:cs="Times New Roman"/>
                <w:color w:val="7E7F82"/>
                <w:sz w:val="28"/>
              </w:rPr>
              <w:t xml:space="preserve"> ended</w:t>
            </w:r>
            <w:r w:rsidR="005A16DC">
              <w:rPr>
                <w:rFonts w:cs="Times New Roman"/>
                <w:color w:val="7E7F82"/>
                <w:sz w:val="28"/>
              </w:rPr>
              <w:t xml:space="preserve"> </w:t>
            </w:r>
            <w:r w:rsidR="006D3357">
              <w:rPr>
                <w:rFonts w:cs="Times New Roman"/>
                <w:color w:val="7E7F82"/>
                <w:sz w:val="28"/>
              </w:rPr>
              <w:t xml:space="preserve">                           </w:t>
            </w:r>
            <w:r w:rsidR="003E1D33">
              <w:rPr>
                <w:rFonts w:cs="Times New Roman"/>
                <w:color w:val="7E7F82"/>
                <w:sz w:val="28"/>
              </w:rPr>
              <w:t xml:space="preserve">30 </w:t>
            </w:r>
            <w:r w:rsidR="006D3357">
              <w:rPr>
                <w:rFonts w:cs="Times New Roman"/>
                <w:color w:val="7E7F82"/>
                <w:sz w:val="28"/>
              </w:rPr>
              <w:t>September</w:t>
            </w:r>
            <w:r w:rsidR="005A16DC">
              <w:rPr>
                <w:rFonts w:cs="Times New Roman"/>
                <w:color w:val="7E7F82"/>
                <w:sz w:val="28"/>
              </w:rPr>
              <w:t xml:space="preserve"> 2023</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14:paraId="5B41C7CD" w14:textId="0DF875F5" w:rsidR="00CF7FF0" w:rsidRDefault="00A46E48" w:rsidP="006A4023">
      <w:pPr>
        <w:pStyle w:val="BodyText"/>
        <w:spacing w:before="360" w:after="12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w:t>
      </w:r>
      <w:r w:rsidR="004151E1">
        <w:rPr>
          <w:rFonts w:ascii="Arial" w:hAnsi="Arial" w:cstheme="minorBidi" w:hint="cs"/>
          <w:sz w:val="22"/>
          <w:szCs w:val="22"/>
          <w:cs/>
        </w:rPr>
        <w:t xml:space="preserve">                                </w:t>
      </w:r>
      <w:r w:rsidR="00C96AD6" w:rsidRPr="00C96AD6">
        <w:rPr>
          <w:rFonts w:ascii="Arial" w:hAnsi="Arial" w:cs="Arial"/>
          <w:sz w:val="22"/>
          <w:szCs w:val="22"/>
        </w:rPr>
        <w:t xml:space="preserve">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at </w:t>
      </w:r>
      <w:r w:rsidR="003E1D33">
        <w:rPr>
          <w:rFonts w:ascii="Arial" w:hAnsi="Arial" w:cs="Arial"/>
          <w:sz w:val="22"/>
          <w:szCs w:val="22"/>
        </w:rPr>
        <w:t xml:space="preserve">30 </w:t>
      </w:r>
      <w:r w:rsidR="006D3357">
        <w:rPr>
          <w:rFonts w:ascii="Arial" w:hAnsi="Arial" w:cs="Arial"/>
          <w:sz w:val="22"/>
          <w:szCs w:val="22"/>
        </w:rPr>
        <w:t>September</w:t>
      </w:r>
      <w:r w:rsidR="005A16DC">
        <w:rPr>
          <w:rFonts w:ascii="Arial" w:hAnsi="Arial" w:cs="Arial"/>
          <w:sz w:val="22"/>
          <w:szCs w:val="22"/>
        </w:rPr>
        <w:t xml:space="preserve"> 2023</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3E1D33" w:rsidRPr="003E1D33">
        <w:rPr>
          <w:rFonts w:ascii="Arial" w:hAnsi="Arial" w:cs="Arial"/>
          <w:sz w:val="22"/>
          <w:szCs w:val="22"/>
        </w:rPr>
        <w:t xml:space="preserve"> </w:t>
      </w:r>
      <w:r w:rsidR="003E1D33" w:rsidRPr="00C96AD6">
        <w:rPr>
          <w:rFonts w:ascii="Arial" w:hAnsi="Arial" w:cs="Arial"/>
          <w:sz w:val="22"/>
          <w:szCs w:val="22"/>
        </w:rPr>
        <w:t>for the</w:t>
      </w:r>
      <w:r w:rsidR="003E1D33">
        <w:rPr>
          <w:rFonts w:ascii="Arial" w:hAnsi="Arial" w:cs="Arial"/>
          <w:sz w:val="22"/>
          <w:szCs w:val="22"/>
        </w:rPr>
        <w:t xml:space="preserve"> three</w:t>
      </w:r>
      <w:r w:rsidR="003E1D33" w:rsidRPr="00EA0EF5">
        <w:rPr>
          <w:rFonts w:ascii="Arial" w:hAnsi="Arial" w:cs="Arial"/>
          <w:sz w:val="22"/>
          <w:szCs w:val="22"/>
        </w:rPr>
        <w:t xml:space="preserve">-month </w:t>
      </w:r>
      <w:r w:rsidR="003E1D33">
        <w:rPr>
          <w:rFonts w:ascii="Arial" w:hAnsi="Arial" w:cs="Arial"/>
          <w:sz w:val="22"/>
          <w:szCs w:val="22"/>
        </w:rPr>
        <w:t xml:space="preserve">and </w:t>
      </w:r>
      <w:r w:rsidR="006D3357">
        <w:rPr>
          <w:rFonts w:ascii="Arial" w:hAnsi="Arial" w:cs="Arial"/>
          <w:sz w:val="22"/>
          <w:szCs w:val="22"/>
        </w:rPr>
        <w:t>nine</w:t>
      </w:r>
      <w:r w:rsidR="003E1D33">
        <w:rPr>
          <w:rFonts w:ascii="Arial" w:hAnsi="Arial" w:cs="Arial"/>
          <w:sz w:val="22"/>
          <w:szCs w:val="22"/>
        </w:rPr>
        <w:t xml:space="preserve">-month </w:t>
      </w:r>
      <w:r w:rsidR="003E1D33" w:rsidRPr="00C96AD6">
        <w:rPr>
          <w:rFonts w:ascii="Arial" w:hAnsi="Arial" w:cs="Arial"/>
          <w:sz w:val="22"/>
          <w:szCs w:val="22"/>
        </w:rPr>
        <w:t>period</w:t>
      </w:r>
      <w:r w:rsidR="003E1D33">
        <w:rPr>
          <w:rFonts w:ascii="Arial" w:hAnsi="Arial" w:cs="Arial"/>
          <w:sz w:val="22"/>
          <w:szCs w:val="22"/>
        </w:rPr>
        <w:t>s</w:t>
      </w:r>
      <w:r w:rsidR="003E1D33" w:rsidRPr="00C96AD6">
        <w:rPr>
          <w:rFonts w:ascii="Arial" w:hAnsi="Arial" w:cs="Arial"/>
          <w:sz w:val="22"/>
          <w:szCs w:val="22"/>
        </w:rPr>
        <w:t xml:space="preserve"> then </w:t>
      </w:r>
      <w:r w:rsidR="003E1D33" w:rsidRPr="004B4D4B">
        <w:rPr>
          <w:rFonts w:ascii="Arial" w:hAnsi="Arial" w:cs="Arial"/>
          <w:sz w:val="22"/>
          <w:szCs w:val="22"/>
        </w:rPr>
        <w:t>ended</w:t>
      </w:r>
      <w:r w:rsidR="00365FF6" w:rsidRPr="004B4D4B">
        <w:rPr>
          <w:rFonts w:ascii="Arial" w:hAnsi="Arial" w:cs="Arial"/>
          <w:sz w:val="22"/>
          <w:szCs w:val="22"/>
        </w:rPr>
        <w:t xml:space="preserve">, </w:t>
      </w:r>
      <w:r w:rsidR="00402AC6" w:rsidRPr="004B4D4B">
        <w:rPr>
          <w:rFonts w:ascii="Arial" w:hAnsi="Arial" w:cs="Arial"/>
          <w:sz w:val="22"/>
          <w:szCs w:val="22"/>
        </w:rPr>
        <w:t xml:space="preserve">and the related consolidated statements of </w:t>
      </w:r>
      <w:r w:rsidR="00C96AD6" w:rsidRPr="004B4D4B">
        <w:rPr>
          <w:rFonts w:ascii="Arial" w:hAnsi="Arial" w:cs="Arial"/>
          <w:sz w:val="22"/>
          <w:szCs w:val="22"/>
        </w:rPr>
        <w:t>changes in shareholders’ equity</w:t>
      </w:r>
      <w:r w:rsidR="000F5147" w:rsidRPr="004B4D4B">
        <w:rPr>
          <w:rFonts w:ascii="Arial" w:hAnsi="Arial" w:cs="Arial"/>
          <w:sz w:val="22"/>
          <w:szCs w:val="22"/>
        </w:rPr>
        <w:t xml:space="preserve"> </w:t>
      </w:r>
      <w:r w:rsidR="00C96AD6" w:rsidRPr="004B4D4B">
        <w:rPr>
          <w:rFonts w:ascii="Arial" w:hAnsi="Arial" w:cs="Arial"/>
          <w:sz w:val="22"/>
          <w:szCs w:val="22"/>
        </w:rPr>
        <w:t>and</w:t>
      </w:r>
      <w:r w:rsidR="00C21A95" w:rsidRPr="004B4D4B">
        <w:rPr>
          <w:rFonts w:ascii="Arial" w:hAnsi="Arial" w:cs="Arial"/>
          <w:sz w:val="22"/>
          <w:szCs w:val="22"/>
        </w:rPr>
        <w:t xml:space="preserve"> </w:t>
      </w:r>
      <w:r w:rsidR="00C96AD6" w:rsidRPr="004B4D4B">
        <w:rPr>
          <w:rFonts w:ascii="Arial" w:hAnsi="Arial" w:cs="Arial"/>
          <w:sz w:val="22"/>
          <w:szCs w:val="22"/>
        </w:rPr>
        <w:t>cash flows for the</w:t>
      </w:r>
      <w:r w:rsidR="008E7EAF" w:rsidRPr="004B4D4B">
        <w:rPr>
          <w:rFonts w:ascii="Arial" w:hAnsi="Arial" w:cs="Arial"/>
          <w:sz w:val="22"/>
          <w:szCs w:val="22"/>
        </w:rPr>
        <w:t xml:space="preserve"> </w:t>
      </w:r>
      <w:r w:rsidR="006D3357">
        <w:rPr>
          <w:rFonts w:ascii="Arial" w:hAnsi="Arial" w:cs="Arial"/>
          <w:sz w:val="22"/>
          <w:szCs w:val="22"/>
        </w:rPr>
        <w:t>nine</w:t>
      </w:r>
      <w:r w:rsidR="003E1D33" w:rsidRPr="004B4D4B">
        <w:rPr>
          <w:rFonts w:ascii="Arial" w:hAnsi="Arial" w:cs="Arial"/>
          <w:sz w:val="22"/>
          <w:szCs w:val="22"/>
        </w:rPr>
        <w:t xml:space="preserve">-month </w:t>
      </w:r>
      <w:r w:rsidR="00C96AD6" w:rsidRPr="004B4D4B">
        <w:rPr>
          <w:rFonts w:ascii="Arial" w:hAnsi="Arial" w:cs="Arial"/>
          <w:sz w:val="22"/>
          <w:szCs w:val="22"/>
        </w:rPr>
        <w:t xml:space="preserve">period then ended, as well as the condensed notes to the </w:t>
      </w:r>
      <w:r w:rsidR="008E7EAF" w:rsidRPr="004B4D4B">
        <w:rPr>
          <w:rFonts w:ascii="Arial" w:hAnsi="Arial" w:cs="Arial"/>
          <w:sz w:val="22"/>
          <w:szCs w:val="22"/>
        </w:rPr>
        <w:t>interim</w:t>
      </w:r>
      <w:r w:rsidR="008E7EAF">
        <w:rPr>
          <w:rFonts w:ascii="Arial" w:hAnsi="Arial" w:cs="Arial"/>
          <w:sz w:val="22"/>
          <w:szCs w:val="22"/>
        </w:rPr>
        <w:t xml:space="preserve">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xml:space="preserve">. I have also reviewed the </w:t>
      </w:r>
      <w:r w:rsidR="00850C1C">
        <w:rPr>
          <w:rFonts w:ascii="Arial" w:hAnsi="Arial" w:cs="Arial"/>
          <w:sz w:val="22"/>
          <w:szCs w:val="22"/>
        </w:rPr>
        <w:t xml:space="preserve">interim </w:t>
      </w:r>
      <w:r w:rsidR="00C96AD6" w:rsidRPr="00C96AD6">
        <w:rPr>
          <w:rFonts w:ascii="Arial" w:hAnsi="Arial" w:cs="Arial"/>
          <w:sz w:val="22"/>
          <w:szCs w:val="22"/>
        </w:rPr>
        <w:t>separate</w:t>
      </w:r>
      <w:r w:rsidR="00644DF7">
        <w:rPr>
          <w:rFonts w:ascii="Arial" w:hAnsi="Arial" w:cs="Arial"/>
          <w:sz w:val="22"/>
          <w:szCs w:val="22"/>
        </w:rPr>
        <w:t xml:space="preserve">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050A71">
        <w:rPr>
          <w:rFonts w:ascii="Arial" w:hAnsi="Arial" w:cs="Browallia New"/>
          <w:sz w:val="22"/>
          <w:szCs w:val="28"/>
        </w:rPr>
        <w:t>s</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72734A">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415AFCBE" w:rsidR="00794395" w:rsidRPr="002A61CA" w:rsidRDefault="00D719B6"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Except for the matter as described in the </w:t>
      </w:r>
      <w:r w:rsidRPr="002A61CA">
        <w:rPr>
          <w:rFonts w:ascii="Arial" w:hAnsi="Arial" w:cs="Arial"/>
          <w:i/>
          <w:iCs/>
          <w:sz w:val="22"/>
          <w:szCs w:val="22"/>
        </w:rPr>
        <w:t xml:space="preserve">Basis for Qualified Conclusion </w:t>
      </w:r>
      <w:r>
        <w:rPr>
          <w:rFonts w:ascii="Arial" w:hAnsi="Arial" w:cs="Arial"/>
          <w:sz w:val="22"/>
          <w:szCs w:val="22"/>
        </w:rPr>
        <w:t>section</w:t>
      </w:r>
      <w:r w:rsidRPr="002A61CA">
        <w:rPr>
          <w:rFonts w:ascii="Arial" w:hAnsi="Arial" w:cs="Arial"/>
          <w:sz w:val="22"/>
          <w:szCs w:val="22"/>
        </w:rPr>
        <w:t>,</w:t>
      </w:r>
      <w:r>
        <w:rPr>
          <w:rFonts w:ascii="Arial" w:hAnsi="Arial" w:cs="Arial"/>
          <w:sz w:val="22"/>
          <w:szCs w:val="22"/>
        </w:rPr>
        <w:t xml:space="preserve"> </w:t>
      </w:r>
      <w:r w:rsidR="00794395" w:rsidRPr="002A61CA">
        <w:rPr>
          <w:rFonts w:ascii="Arial" w:hAnsi="Arial" w:cs="Arial"/>
          <w:sz w:val="22"/>
          <w:szCs w:val="22"/>
        </w:rPr>
        <w:t xml:space="preserve">I conducted my review in accordance with Thai Standard on Review Engagements </w:t>
      </w:r>
      <w:r w:rsidR="00794395" w:rsidRPr="002A61CA">
        <w:rPr>
          <w:rFonts w:ascii="Arial" w:hAnsi="Arial" w:cs="Arial"/>
          <w:sz w:val="22"/>
          <w:szCs w:val="22"/>
          <w:cs/>
        </w:rPr>
        <w:t>2410</w:t>
      </w:r>
      <w:r w:rsidR="00794395" w:rsidRPr="002A61CA">
        <w:rPr>
          <w:rFonts w:ascii="Arial" w:hAnsi="Arial" w:cs="Arial"/>
          <w:sz w:val="22"/>
          <w:szCs w:val="22"/>
        </w:rPr>
        <w:t xml:space="preserve">, </w:t>
      </w:r>
      <w:r w:rsidR="00794395" w:rsidRPr="002A61CA">
        <w:rPr>
          <w:rFonts w:ascii="Arial" w:hAnsi="Arial" w:cs="Arial"/>
          <w:i/>
          <w:iCs/>
          <w:sz w:val="22"/>
          <w:szCs w:val="22"/>
        </w:rPr>
        <w:t>Review of Interim Financial Information Performed by the Independent Auditor of the Entity</w:t>
      </w:r>
      <w:r w:rsidR="00794395"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1A2B00" w14:textId="77777777" w:rsidR="00EA72E9" w:rsidRDefault="00EA72E9" w:rsidP="009A7F76">
      <w:pPr>
        <w:tabs>
          <w:tab w:val="left" w:pos="3352"/>
        </w:tabs>
        <w:spacing w:before="240" w:after="120" w:line="380" w:lineRule="exact"/>
        <w:rPr>
          <w:rFonts w:ascii="Arial" w:hAnsi="Arial" w:cs="Arial"/>
          <w:b/>
          <w:bCs/>
          <w:sz w:val="22"/>
          <w:szCs w:val="22"/>
        </w:rPr>
        <w:sectPr w:rsidR="00EA72E9" w:rsidSect="00881DEB">
          <w:headerReference w:type="first" r:id="rId10"/>
          <w:footerReference w:type="first" r:id="rId11"/>
          <w:pgSz w:w="11909" w:h="16834" w:code="9"/>
          <w:pgMar w:top="3312" w:right="1080" w:bottom="1080" w:left="1296" w:header="706" w:footer="706" w:gutter="0"/>
          <w:pgNumType w:start="2"/>
          <w:cols w:space="720"/>
          <w:titlePg/>
          <w:docGrid w:linePitch="326"/>
        </w:sectPr>
      </w:pPr>
    </w:p>
    <w:p w14:paraId="7E80D4A8" w14:textId="4E639273" w:rsidR="009A7F76" w:rsidRPr="002A61CA" w:rsidRDefault="0072734A" w:rsidP="009A7F76">
      <w:pPr>
        <w:tabs>
          <w:tab w:val="left" w:pos="3352"/>
        </w:tabs>
        <w:spacing w:before="240" w:after="120" w:line="380" w:lineRule="exact"/>
        <w:rPr>
          <w:rFonts w:ascii="Arial" w:hAnsi="Arial" w:cs="Arial"/>
          <w:b/>
          <w:bCs/>
          <w:sz w:val="22"/>
          <w:szCs w:val="22"/>
        </w:rPr>
      </w:pPr>
      <w:r w:rsidRPr="002A61CA">
        <w:rPr>
          <w:rFonts w:ascii="Arial" w:hAnsi="Arial" w:cs="Arial"/>
          <w:b/>
          <w:bCs/>
          <w:sz w:val="22"/>
          <w:szCs w:val="22"/>
        </w:rPr>
        <w:lastRenderedPageBreak/>
        <w:t>Basis for Qualified Conclusion</w:t>
      </w:r>
    </w:p>
    <w:p w14:paraId="3816A6AC" w14:textId="13A28A70" w:rsidR="00BF69AA" w:rsidRPr="00BF69AA"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As described in Note 4 to the interim consolidated financial statements, securities and derivatives business receivables of Baht </w:t>
      </w:r>
      <w:r w:rsidR="008F2A7C">
        <w:rPr>
          <w:rFonts w:ascii="Arial" w:hAnsi="Arial" w:cs="Arial"/>
          <w:sz w:val="22"/>
          <w:szCs w:val="22"/>
        </w:rPr>
        <w:t>3,2</w:t>
      </w:r>
      <w:r w:rsidR="00C73824">
        <w:rPr>
          <w:rFonts w:ascii="Arial" w:hAnsi="Arial" w:cs="Arial"/>
          <w:sz w:val="22"/>
          <w:szCs w:val="22"/>
        </w:rPr>
        <w:t>2</w:t>
      </w:r>
      <w:r w:rsidR="008F2A7C">
        <w:rPr>
          <w:rFonts w:ascii="Arial" w:hAnsi="Arial" w:cs="Arial"/>
          <w:sz w:val="22"/>
          <w:szCs w:val="22"/>
        </w:rPr>
        <w:t>1</w:t>
      </w:r>
      <w:r w:rsidRPr="00BF69AA">
        <w:rPr>
          <w:rFonts w:ascii="Arial" w:hAnsi="Arial" w:cs="Arial"/>
          <w:sz w:val="22"/>
          <w:szCs w:val="22"/>
        </w:rPr>
        <w:t xml:space="preserve"> million of Trinity Securities Company Limited, which is a subsidiary of the Company, as presented in the consolidated statement of financial position as at </w:t>
      </w:r>
      <w:r w:rsidR="003E1D33">
        <w:rPr>
          <w:rFonts w:ascii="Arial" w:hAnsi="Arial" w:cs="Arial"/>
          <w:sz w:val="22"/>
          <w:szCs w:val="22"/>
        </w:rPr>
        <w:t xml:space="preserve">30 </w:t>
      </w:r>
      <w:r w:rsidR="006D3357">
        <w:rPr>
          <w:rFonts w:ascii="Arial" w:hAnsi="Arial" w:cs="Arial"/>
          <w:sz w:val="22"/>
          <w:szCs w:val="22"/>
        </w:rPr>
        <w:t>September</w:t>
      </w:r>
      <w:r w:rsidRPr="00BF69AA">
        <w:rPr>
          <w:rFonts w:ascii="Arial" w:hAnsi="Arial" w:cs="Arial"/>
          <w:sz w:val="22"/>
          <w:szCs w:val="22"/>
        </w:rPr>
        <w:t xml:space="preserve"> 2023 (31 December 2022: Baht 4,523 million), included securities business receivables of Baht </w:t>
      </w:r>
      <w:r w:rsidR="008F2A7C">
        <w:rPr>
          <w:rFonts w:ascii="Arial" w:hAnsi="Arial" w:cs="Arial"/>
          <w:sz w:val="22"/>
          <w:szCs w:val="22"/>
        </w:rPr>
        <w:t>479</w:t>
      </w:r>
      <w:r w:rsidRPr="00BF69AA">
        <w:rPr>
          <w:rFonts w:ascii="Arial" w:hAnsi="Arial" w:cs="Arial"/>
          <w:sz w:val="22"/>
          <w:szCs w:val="22"/>
        </w:rPr>
        <w:t xml:space="preserve"> million that had defaulted on payments for outstanding positions resulting from purchase orders made for shares of a listed company that the Stock Exchange of Thailand (“SET”) identified as potentially abnormal purchase and sale transactions in November 2022. The management of the Company and the subsidiary have determined that this event constitutes an abnormal transaction, as it was carried out with fraudulent intent. Such conduct is prohibited by law. On 15 November 202</w:t>
      </w:r>
      <w:r w:rsidR="007311B9">
        <w:rPr>
          <w:rFonts w:ascii="Arial" w:hAnsi="Arial" w:cs="Arial"/>
          <w:sz w:val="22"/>
          <w:szCs w:val="22"/>
        </w:rPr>
        <w:t>2</w:t>
      </w:r>
      <w:r w:rsidRPr="00BF69AA">
        <w:rPr>
          <w:rFonts w:ascii="Arial" w:hAnsi="Arial" w:cs="Arial"/>
          <w:sz w:val="22"/>
          <w:szCs w:val="22"/>
        </w:rPr>
        <w:t xml:space="preserve">, the subsidiary filed a complaint alleging fraudulent conduct with the Economic Crime Suppression Division of the Central Investigation Bureau (“ECD”). Moreover, on 16 February 2023, the subsidiary filed a petition for protection of its rights from the predicate offense and submitted supporting evidence that details the damage incurred and the amount of damages suffered to the authorities at the Anti-Money Laundering Office (“AMLO”). </w:t>
      </w:r>
      <w:r w:rsidR="00C87CC8">
        <w:rPr>
          <w:rFonts w:ascii="Arial" w:hAnsi="Arial" w:cs="Arial"/>
          <w:sz w:val="22"/>
          <w:szCs w:val="22"/>
        </w:rPr>
        <w:t xml:space="preserve">The management of the Company and the subsidiary consider that </w:t>
      </w:r>
      <w:r w:rsidRPr="00BF69AA">
        <w:rPr>
          <w:rFonts w:ascii="Arial" w:hAnsi="Arial" w:cs="Arial"/>
          <w:sz w:val="22"/>
          <w:szCs w:val="22"/>
        </w:rPr>
        <w:t>setting up an allowance for expected credit losses may have an adverse effect on the case that the subsidiary has filed</w:t>
      </w:r>
      <w:r w:rsidR="00C87CC8">
        <w:rPr>
          <w:rFonts w:ascii="Arial" w:hAnsi="Arial" w:cs="Arial"/>
          <w:sz w:val="22"/>
          <w:szCs w:val="22"/>
        </w:rPr>
        <w:t>, therefore the subsidiary has not recorded any allowance for expected credit losses related to the overdue se</w:t>
      </w:r>
      <w:r w:rsidR="005B2E39">
        <w:rPr>
          <w:rFonts w:ascii="Arial" w:hAnsi="Arial" w:cs="Arial"/>
          <w:sz w:val="22"/>
          <w:szCs w:val="22"/>
        </w:rPr>
        <w:t>cu</w:t>
      </w:r>
      <w:r w:rsidR="00C87CC8">
        <w:rPr>
          <w:rFonts w:ascii="Arial" w:hAnsi="Arial" w:cs="Arial"/>
          <w:sz w:val="22"/>
          <w:szCs w:val="22"/>
        </w:rPr>
        <w:t>rities business receivables mention</w:t>
      </w:r>
      <w:r w:rsidR="00A80906">
        <w:rPr>
          <w:rFonts w:ascii="Arial" w:hAnsi="Arial" w:cs="Browallia New"/>
          <w:sz w:val="22"/>
        </w:rPr>
        <w:t>ed</w:t>
      </w:r>
      <w:r w:rsidR="00C87CC8">
        <w:rPr>
          <w:rFonts w:ascii="Arial" w:hAnsi="Arial" w:cs="Arial"/>
          <w:sz w:val="22"/>
          <w:szCs w:val="22"/>
        </w:rPr>
        <w:t xml:space="preserve"> above. </w:t>
      </w:r>
      <w:r w:rsidRPr="00BF69AA">
        <w:rPr>
          <w:rFonts w:ascii="Arial" w:hAnsi="Arial" w:cs="Arial"/>
          <w:sz w:val="22"/>
          <w:szCs w:val="22"/>
        </w:rPr>
        <w:t>The management of the Company and the subsidiary believe that there is a high probability that this transaction will be cancelled and treated as if it had never occurred. The overdue amount is expected to be fully reimbursed from assets that will be seized in accordance with the court order.</w:t>
      </w:r>
    </w:p>
    <w:p w14:paraId="5804F91D" w14:textId="6FF269F1" w:rsidR="00BF69AA" w:rsidRPr="00BF69AA"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As this event is considered an abnormal transaction, the management of the Company and the subsidiary have been unable to find past comparable cases or any supporting evidence to validate their belief, and </w:t>
      </w:r>
      <w:proofErr w:type="gramStart"/>
      <w:r w:rsidRPr="00BF69AA">
        <w:rPr>
          <w:rFonts w:ascii="Arial" w:hAnsi="Arial" w:cs="Arial"/>
          <w:sz w:val="22"/>
          <w:szCs w:val="22"/>
        </w:rPr>
        <w:t>a large number of</w:t>
      </w:r>
      <w:proofErr w:type="gramEnd"/>
      <w:r w:rsidRPr="00BF69AA">
        <w:rPr>
          <w:rFonts w:ascii="Arial" w:hAnsi="Arial" w:cs="Arial"/>
          <w:sz w:val="22"/>
          <w:szCs w:val="22"/>
        </w:rPr>
        <w:t xml:space="preserve"> victims are involved in the matter. Therefore, it is beyond my ability to obtain evidence on the extent of damage suffered by each company and submit a request for damage recovery to the relevant authorities, nor can I determine whether the total value exceeds the value of the assets seized in accordance with the court order. As a result, I was unable to obtain sufficient appropriate audit evidence for the allowance for expected credit losses for such overdue receivable to conclude whether the allowance should be set up and, if so, what the appropriate balance of the allowance should be. Consequently, my opinion on the consolidated and separate financial statements </w:t>
      </w:r>
      <w:r w:rsidR="00C87CC8">
        <w:rPr>
          <w:rFonts w:ascii="Arial" w:hAnsi="Arial" w:cs="Arial"/>
          <w:sz w:val="22"/>
          <w:szCs w:val="22"/>
        </w:rPr>
        <w:t xml:space="preserve">for the year ended </w:t>
      </w:r>
      <w:r w:rsidRPr="00BF69AA">
        <w:rPr>
          <w:rFonts w:ascii="Arial" w:hAnsi="Arial" w:cs="Arial"/>
          <w:sz w:val="22"/>
          <w:szCs w:val="22"/>
        </w:rPr>
        <w:t xml:space="preserve">31 December 2022 </w:t>
      </w:r>
      <w:r w:rsidR="00A80906">
        <w:rPr>
          <w:rFonts w:ascii="Arial" w:hAnsi="Arial" w:cs="Arial"/>
          <w:sz w:val="22"/>
          <w:szCs w:val="22"/>
        </w:rPr>
        <w:t>was</w:t>
      </w:r>
      <w:r w:rsidRPr="00BF69AA">
        <w:rPr>
          <w:rFonts w:ascii="Arial" w:hAnsi="Arial" w:cs="Arial"/>
          <w:sz w:val="22"/>
          <w:szCs w:val="22"/>
        </w:rPr>
        <w:t xml:space="preserve"> qualified in this regard. Moreover, since the </w:t>
      </w:r>
      <w:r w:rsidR="002D05F1">
        <w:rPr>
          <w:rFonts w:ascii="Arial" w:hAnsi="Arial" w:cs="Arial"/>
          <w:sz w:val="22"/>
          <w:szCs w:val="22"/>
        </w:rPr>
        <w:t>case</w:t>
      </w:r>
      <w:r w:rsidRPr="00BF69AA">
        <w:rPr>
          <w:rFonts w:ascii="Arial" w:hAnsi="Arial" w:cs="Arial"/>
          <w:sz w:val="22"/>
          <w:szCs w:val="22"/>
        </w:rPr>
        <w:t xml:space="preserve"> is under judicial process without any significant progress, I was unable to obtain sufficient appropriate audit evidence for the allowance for </w:t>
      </w:r>
      <w:r w:rsidRPr="00BF69AA">
        <w:rPr>
          <w:rFonts w:ascii="Arial" w:hAnsi="Arial" w:cs="Arial"/>
          <w:sz w:val="22"/>
          <w:szCs w:val="22"/>
        </w:rPr>
        <w:lastRenderedPageBreak/>
        <w:t>expected credit losses for such overdue receivable for the same reasons. My conclusion on the interim financial information for the three-month</w:t>
      </w:r>
      <w:r w:rsidR="003E1D33">
        <w:rPr>
          <w:rFonts w:ascii="Arial" w:hAnsi="Arial" w:cs="Arial"/>
          <w:sz w:val="22"/>
          <w:szCs w:val="22"/>
        </w:rPr>
        <w:t xml:space="preserve"> and </w:t>
      </w:r>
      <w:r w:rsidR="006D3357">
        <w:rPr>
          <w:rFonts w:ascii="Arial" w:hAnsi="Arial" w:cs="Arial"/>
          <w:sz w:val="22"/>
          <w:szCs w:val="22"/>
        </w:rPr>
        <w:t>nine</w:t>
      </w:r>
      <w:r w:rsidR="003E1D33">
        <w:rPr>
          <w:rFonts w:ascii="Arial" w:hAnsi="Arial" w:cs="Arial"/>
          <w:sz w:val="22"/>
          <w:szCs w:val="22"/>
        </w:rPr>
        <w:t>-month</w:t>
      </w:r>
      <w:r w:rsidRPr="00BF69AA">
        <w:rPr>
          <w:rFonts w:ascii="Arial" w:hAnsi="Arial" w:cs="Arial"/>
          <w:sz w:val="22"/>
          <w:szCs w:val="22"/>
        </w:rPr>
        <w:t xml:space="preserve"> period</w:t>
      </w:r>
      <w:r w:rsidR="003E1D33">
        <w:rPr>
          <w:rFonts w:ascii="Arial" w:hAnsi="Arial" w:cs="Arial"/>
          <w:sz w:val="22"/>
          <w:szCs w:val="22"/>
        </w:rPr>
        <w:t>s</w:t>
      </w:r>
      <w:r w:rsidRPr="00BF69AA">
        <w:rPr>
          <w:rFonts w:ascii="Arial" w:hAnsi="Arial" w:cs="Arial"/>
          <w:sz w:val="22"/>
          <w:szCs w:val="22"/>
        </w:rPr>
        <w:t xml:space="preserve"> ended </w:t>
      </w:r>
      <w:r w:rsidR="003E1D33">
        <w:rPr>
          <w:rFonts w:ascii="Arial" w:hAnsi="Arial" w:cs="Arial"/>
          <w:sz w:val="22"/>
          <w:szCs w:val="22"/>
        </w:rPr>
        <w:t xml:space="preserve">30 </w:t>
      </w:r>
      <w:r w:rsidR="006D3357">
        <w:rPr>
          <w:rFonts w:ascii="Arial" w:hAnsi="Arial" w:cs="Arial"/>
          <w:sz w:val="22"/>
          <w:szCs w:val="22"/>
        </w:rPr>
        <w:t>September</w:t>
      </w:r>
      <w:r w:rsidR="006D3357" w:rsidRPr="00BF69AA">
        <w:rPr>
          <w:rFonts w:ascii="Arial" w:hAnsi="Arial" w:cs="Arial"/>
          <w:sz w:val="22"/>
          <w:szCs w:val="22"/>
        </w:rPr>
        <w:t xml:space="preserve"> </w:t>
      </w:r>
      <w:r w:rsidRPr="00BF69AA">
        <w:rPr>
          <w:rFonts w:ascii="Arial" w:hAnsi="Arial" w:cs="Arial"/>
          <w:sz w:val="22"/>
          <w:szCs w:val="22"/>
        </w:rPr>
        <w:t xml:space="preserve">2023 </w:t>
      </w:r>
      <w:r w:rsidR="00C87CC8">
        <w:rPr>
          <w:rFonts w:ascii="Arial" w:hAnsi="Arial" w:cs="Arial"/>
          <w:sz w:val="22"/>
          <w:szCs w:val="22"/>
        </w:rPr>
        <w:t>is</w:t>
      </w:r>
      <w:r w:rsidRPr="00BF69AA">
        <w:rPr>
          <w:rFonts w:ascii="Arial" w:hAnsi="Arial" w:cs="Arial"/>
          <w:sz w:val="22"/>
          <w:szCs w:val="22"/>
        </w:rPr>
        <w:t xml:space="preserve"> also qualified on </w:t>
      </w:r>
      <w:r w:rsidR="00C87CC8">
        <w:rPr>
          <w:rFonts w:ascii="Arial" w:hAnsi="Arial" w:cs="Arial"/>
          <w:sz w:val="22"/>
          <w:szCs w:val="22"/>
        </w:rPr>
        <w:t>such</w:t>
      </w:r>
      <w:r w:rsidRPr="00BF69AA">
        <w:rPr>
          <w:rFonts w:ascii="Arial" w:hAnsi="Arial" w:cs="Arial"/>
          <w:sz w:val="22"/>
          <w:szCs w:val="22"/>
        </w:rPr>
        <w:t xml:space="preserve"> matter. </w:t>
      </w:r>
    </w:p>
    <w:p w14:paraId="3F0D4AE2" w14:textId="38366760" w:rsidR="009A7F76"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If adjustments are necessary for the aforementioned transaction, the total assets and </w:t>
      </w:r>
      <w:r w:rsidR="00C73824">
        <w:rPr>
          <w:rFonts w:ascii="Arial" w:hAnsi="Arial" w:cs="Arial"/>
          <w:sz w:val="22"/>
          <w:szCs w:val="22"/>
        </w:rPr>
        <w:t>deficit</w:t>
      </w:r>
      <w:r w:rsidR="007311B9">
        <w:rPr>
          <w:rFonts w:ascii="Arial" w:hAnsi="Arial" w:cs="Arial"/>
          <w:sz w:val="22"/>
          <w:szCs w:val="22"/>
        </w:rPr>
        <w:t xml:space="preserve">/ retained earnings </w:t>
      </w:r>
      <w:r w:rsidRPr="00BF69AA">
        <w:rPr>
          <w:rFonts w:ascii="Arial" w:hAnsi="Arial" w:cs="Arial"/>
          <w:sz w:val="22"/>
          <w:szCs w:val="22"/>
        </w:rPr>
        <w:t>in the consolidated</w:t>
      </w:r>
      <w:r w:rsidR="002A1AB3">
        <w:rPr>
          <w:rFonts w:ascii="Arial" w:hAnsi="Arial" w:cs="Arial"/>
          <w:sz w:val="22"/>
          <w:szCs w:val="22"/>
        </w:rPr>
        <w:t xml:space="preserve"> and separate</w:t>
      </w:r>
      <w:r w:rsidRPr="00BF69AA">
        <w:rPr>
          <w:rFonts w:ascii="Arial" w:hAnsi="Arial" w:cs="Arial"/>
          <w:sz w:val="22"/>
          <w:szCs w:val="22"/>
        </w:rPr>
        <w:t xml:space="preserve"> statement</w:t>
      </w:r>
      <w:r w:rsidR="002A1AB3">
        <w:rPr>
          <w:rFonts w:ascii="Arial" w:hAnsi="Arial" w:cs="Arial"/>
          <w:sz w:val="22"/>
          <w:szCs w:val="22"/>
        </w:rPr>
        <w:t>s</w:t>
      </w:r>
      <w:r w:rsidRPr="00BF69AA">
        <w:rPr>
          <w:rFonts w:ascii="Arial" w:hAnsi="Arial" w:cs="Arial"/>
          <w:sz w:val="22"/>
          <w:szCs w:val="22"/>
        </w:rPr>
        <w:t xml:space="preserve"> of financial position (which presented investments</w:t>
      </w:r>
      <w:r w:rsidR="007311B9">
        <w:rPr>
          <w:rFonts w:ascii="Arial" w:hAnsi="Arial" w:cs="Arial"/>
          <w:sz w:val="22"/>
          <w:szCs w:val="22"/>
        </w:rPr>
        <w:t xml:space="preserve"> </w:t>
      </w:r>
      <w:r w:rsidRPr="00BF69AA">
        <w:rPr>
          <w:rFonts w:ascii="Arial" w:hAnsi="Arial" w:cs="Arial"/>
          <w:sz w:val="22"/>
          <w:szCs w:val="22"/>
        </w:rPr>
        <w:t>in subsidiaries under the equity method) as at</w:t>
      </w:r>
      <w:r w:rsidR="002A1AB3">
        <w:rPr>
          <w:rFonts w:ascii="Arial" w:hAnsi="Arial" w:cs="Arial"/>
          <w:sz w:val="22"/>
          <w:szCs w:val="22"/>
        </w:rPr>
        <w:t xml:space="preserve"> </w:t>
      </w:r>
      <w:r w:rsidR="003E1D33">
        <w:rPr>
          <w:rFonts w:ascii="Arial" w:hAnsi="Arial" w:cs="Arial"/>
          <w:sz w:val="22"/>
          <w:szCs w:val="22"/>
        </w:rPr>
        <w:t xml:space="preserve">30 </w:t>
      </w:r>
      <w:r w:rsidR="006D3357">
        <w:rPr>
          <w:rFonts w:ascii="Arial" w:hAnsi="Arial" w:cs="Arial"/>
          <w:sz w:val="22"/>
          <w:szCs w:val="22"/>
        </w:rPr>
        <w:t>September</w:t>
      </w:r>
      <w:r w:rsidR="006D3357" w:rsidRPr="00BF69AA">
        <w:rPr>
          <w:rFonts w:ascii="Arial" w:hAnsi="Arial" w:cs="Arial"/>
          <w:sz w:val="22"/>
          <w:szCs w:val="22"/>
        </w:rPr>
        <w:t xml:space="preserve"> </w:t>
      </w:r>
      <w:r w:rsidRPr="00BF69AA">
        <w:rPr>
          <w:rFonts w:ascii="Arial" w:hAnsi="Arial" w:cs="Arial"/>
          <w:sz w:val="22"/>
          <w:szCs w:val="22"/>
        </w:rPr>
        <w:t xml:space="preserve">2023 and </w:t>
      </w:r>
      <w:r w:rsidR="007311B9">
        <w:rPr>
          <w:rFonts w:ascii="Arial" w:hAnsi="Arial" w:cs="Arial"/>
          <w:sz w:val="22"/>
          <w:szCs w:val="22"/>
        </w:rPr>
        <w:t xml:space="preserve">             </w:t>
      </w:r>
      <w:r w:rsidRPr="00BF69AA">
        <w:rPr>
          <w:rFonts w:ascii="Arial" w:hAnsi="Arial" w:cs="Arial"/>
          <w:sz w:val="22"/>
          <w:szCs w:val="22"/>
        </w:rPr>
        <w:t>31 December 2022 will decrease</w:t>
      </w:r>
      <w:r w:rsidR="00C73824">
        <w:rPr>
          <w:rFonts w:ascii="Arial" w:hAnsi="Arial" w:cs="Arial"/>
          <w:sz w:val="22"/>
          <w:szCs w:val="22"/>
        </w:rPr>
        <w:t xml:space="preserve"> and increase</w:t>
      </w:r>
      <w:r w:rsidR="007311B9">
        <w:rPr>
          <w:rFonts w:ascii="Arial" w:hAnsi="Arial" w:cs="Arial"/>
          <w:sz w:val="22"/>
          <w:szCs w:val="22"/>
        </w:rPr>
        <w:t>/decrease</w:t>
      </w:r>
      <w:r w:rsidR="00C73824">
        <w:rPr>
          <w:rFonts w:ascii="Arial" w:hAnsi="Arial" w:cs="Arial"/>
          <w:sz w:val="22"/>
          <w:szCs w:val="22"/>
        </w:rPr>
        <w:t>, respectively</w:t>
      </w:r>
      <w:r w:rsidRPr="00BF69AA">
        <w:rPr>
          <w:rFonts w:ascii="Arial" w:hAnsi="Arial" w:cs="Arial"/>
          <w:sz w:val="22"/>
          <w:szCs w:val="22"/>
        </w:rPr>
        <w:t>, and this will have an impact on the loss for the period</w:t>
      </w:r>
      <w:r w:rsidR="00600479">
        <w:rPr>
          <w:rFonts w:ascii="Arial" w:hAnsi="Arial" w:cs="Arial"/>
          <w:sz w:val="22"/>
          <w:szCs w:val="22"/>
        </w:rPr>
        <w:t>s</w:t>
      </w:r>
      <w:r w:rsidRPr="00BF69AA">
        <w:rPr>
          <w:rFonts w:ascii="Arial" w:hAnsi="Arial" w:cs="Arial"/>
          <w:sz w:val="22"/>
          <w:szCs w:val="22"/>
        </w:rPr>
        <w:t xml:space="preserve"> and total comprehensive income in the consolidated and separate statements </w:t>
      </w:r>
      <w:r w:rsidR="00C87CC8">
        <w:rPr>
          <w:rFonts w:ascii="Arial" w:hAnsi="Arial" w:cs="Arial"/>
          <w:sz w:val="22"/>
          <w:szCs w:val="22"/>
        </w:rPr>
        <w:t xml:space="preserve">of comprehensive income </w:t>
      </w:r>
      <w:r w:rsidRPr="00BF69AA">
        <w:rPr>
          <w:rFonts w:ascii="Arial" w:hAnsi="Arial" w:cs="Arial"/>
          <w:sz w:val="22"/>
          <w:szCs w:val="22"/>
        </w:rPr>
        <w:t xml:space="preserve">for the three-month </w:t>
      </w:r>
      <w:r w:rsidR="003E1D33">
        <w:rPr>
          <w:rFonts w:ascii="Arial" w:hAnsi="Arial" w:cs="Arial"/>
          <w:sz w:val="22"/>
          <w:szCs w:val="22"/>
        </w:rPr>
        <w:t xml:space="preserve">and </w:t>
      </w:r>
      <w:r w:rsidR="006D3357">
        <w:rPr>
          <w:rFonts w:ascii="Arial" w:hAnsi="Arial" w:cs="Arial"/>
          <w:sz w:val="22"/>
          <w:szCs w:val="22"/>
        </w:rPr>
        <w:t>nine</w:t>
      </w:r>
      <w:r w:rsidR="003E1D33">
        <w:rPr>
          <w:rFonts w:ascii="Arial" w:hAnsi="Arial" w:cs="Arial"/>
          <w:sz w:val="22"/>
          <w:szCs w:val="22"/>
        </w:rPr>
        <w:t xml:space="preserve">-month </w:t>
      </w:r>
      <w:r w:rsidRPr="00BF69AA">
        <w:rPr>
          <w:rFonts w:ascii="Arial" w:hAnsi="Arial" w:cs="Arial"/>
          <w:sz w:val="22"/>
          <w:szCs w:val="22"/>
        </w:rPr>
        <w:t>period</w:t>
      </w:r>
      <w:r w:rsidR="003E1D33">
        <w:rPr>
          <w:rFonts w:ascii="Arial" w:hAnsi="Arial" w:cs="Arial"/>
          <w:sz w:val="22"/>
          <w:szCs w:val="22"/>
        </w:rPr>
        <w:t>s</w:t>
      </w:r>
      <w:r w:rsidRPr="00BF69AA">
        <w:rPr>
          <w:rFonts w:ascii="Arial" w:hAnsi="Arial" w:cs="Arial"/>
          <w:sz w:val="22"/>
          <w:szCs w:val="22"/>
        </w:rPr>
        <w:t xml:space="preserve"> ended </w:t>
      </w:r>
      <w:r w:rsidR="003E1D33">
        <w:rPr>
          <w:rFonts w:ascii="Arial" w:hAnsi="Arial" w:cs="Arial"/>
          <w:sz w:val="22"/>
          <w:szCs w:val="22"/>
        </w:rPr>
        <w:t xml:space="preserve">30 </w:t>
      </w:r>
      <w:r w:rsidR="006D3357">
        <w:rPr>
          <w:rFonts w:ascii="Arial" w:hAnsi="Arial" w:cs="Arial"/>
          <w:sz w:val="22"/>
          <w:szCs w:val="22"/>
        </w:rPr>
        <w:t>September</w:t>
      </w:r>
      <w:r w:rsidR="006D3357" w:rsidRPr="00BF69AA">
        <w:rPr>
          <w:rFonts w:ascii="Arial" w:hAnsi="Arial" w:cs="Arial"/>
          <w:sz w:val="22"/>
          <w:szCs w:val="22"/>
        </w:rPr>
        <w:t xml:space="preserve"> </w:t>
      </w:r>
      <w:r w:rsidRPr="00BF69AA">
        <w:rPr>
          <w:rFonts w:ascii="Arial" w:hAnsi="Arial" w:cs="Arial"/>
          <w:sz w:val="22"/>
          <w:szCs w:val="22"/>
        </w:rPr>
        <w:t>2023</w:t>
      </w:r>
      <w:r w:rsidR="009A7F76" w:rsidRPr="00AF6854">
        <w:rPr>
          <w:rFonts w:ascii="Arial" w:hAnsi="Arial" w:cs="Arial"/>
          <w:sz w:val="22"/>
          <w:szCs w:val="22"/>
        </w:rPr>
        <w:t>.</w:t>
      </w:r>
    </w:p>
    <w:p w14:paraId="512FA40F" w14:textId="29F82885" w:rsidR="009A7F76" w:rsidRDefault="009A7F76" w:rsidP="00134A2C">
      <w:pPr>
        <w:tabs>
          <w:tab w:val="left" w:pos="3352"/>
        </w:tabs>
        <w:spacing w:before="240" w:after="120" w:line="380" w:lineRule="exact"/>
        <w:rPr>
          <w:rFonts w:ascii="Arial" w:hAnsi="Arial" w:cs="Arial"/>
          <w:sz w:val="22"/>
          <w:szCs w:val="22"/>
        </w:rPr>
      </w:pPr>
      <w:r w:rsidRPr="002A61CA">
        <w:rPr>
          <w:rFonts w:ascii="Arial" w:hAnsi="Arial" w:cs="Arial"/>
          <w:b/>
          <w:bCs/>
          <w:sz w:val="22"/>
          <w:szCs w:val="22"/>
        </w:rPr>
        <w:t xml:space="preserve">Qualified </w:t>
      </w:r>
      <w:r>
        <w:rPr>
          <w:rFonts w:ascii="Arial" w:hAnsi="Arial" w:cs="Arial"/>
          <w:b/>
          <w:bCs/>
          <w:sz w:val="22"/>
          <w:szCs w:val="22"/>
        </w:rPr>
        <w:t>C</w:t>
      </w:r>
      <w:r w:rsidRPr="002A61CA">
        <w:rPr>
          <w:rFonts w:ascii="Arial" w:hAnsi="Arial" w:cs="Arial"/>
          <w:b/>
          <w:bCs/>
          <w:sz w:val="22"/>
          <w:szCs w:val="22"/>
        </w:rPr>
        <w:t>onclusion</w:t>
      </w:r>
      <w:r w:rsidRPr="00AC4EA4">
        <w:rPr>
          <w:rFonts w:ascii="Arial" w:hAnsi="Arial" w:cs="Arial"/>
          <w:sz w:val="22"/>
          <w:szCs w:val="22"/>
        </w:rPr>
        <w:t xml:space="preserve"> </w:t>
      </w:r>
    </w:p>
    <w:p w14:paraId="71BB41D3" w14:textId="77777777" w:rsidR="005157D9" w:rsidRDefault="00AC4EA4" w:rsidP="007A4371">
      <w:pPr>
        <w:tabs>
          <w:tab w:val="left" w:pos="3352"/>
        </w:tabs>
        <w:spacing w:before="60" w:after="60" w:line="380" w:lineRule="exact"/>
        <w:rPr>
          <w:rFonts w:ascii="Arial" w:hAnsi="Arial" w:cs="Arial"/>
          <w:sz w:val="22"/>
          <w:szCs w:val="22"/>
        </w:rPr>
      </w:pPr>
      <w:r w:rsidRPr="00AC4EA4">
        <w:rPr>
          <w:rFonts w:ascii="Arial" w:hAnsi="Arial" w:cs="Arial"/>
          <w:sz w:val="22"/>
          <w:szCs w:val="22"/>
        </w:rPr>
        <w:t>Based on my review</w:t>
      </w:r>
      <w:r w:rsidR="00117C8F">
        <w:rPr>
          <w:rFonts w:ascii="Arial" w:hAnsi="Arial" w:cs="Browallia New"/>
          <w:sz w:val="22"/>
        </w:rPr>
        <w:t>, e</w:t>
      </w:r>
      <w:r w:rsidR="00117C8F" w:rsidRPr="002A61CA">
        <w:rPr>
          <w:rFonts w:ascii="Arial" w:hAnsi="Arial" w:cs="Arial"/>
          <w:sz w:val="22"/>
          <w:szCs w:val="22"/>
        </w:rPr>
        <w:t xml:space="preserve">xcept for the possible effects of the matter as described in the </w:t>
      </w:r>
      <w:r w:rsidR="00117C8F" w:rsidRPr="002A61CA">
        <w:rPr>
          <w:rFonts w:ascii="Arial" w:hAnsi="Arial" w:cs="Arial"/>
          <w:i/>
          <w:iCs/>
          <w:sz w:val="22"/>
          <w:szCs w:val="22"/>
        </w:rPr>
        <w:t xml:space="preserve">Basis for Qualified Conclusion </w:t>
      </w:r>
      <w:r w:rsidR="00117C8F">
        <w:rPr>
          <w:rFonts w:ascii="Arial" w:hAnsi="Arial" w:cs="Arial"/>
          <w:sz w:val="22"/>
          <w:szCs w:val="22"/>
        </w:rPr>
        <w:t>section</w:t>
      </w:r>
      <w:r w:rsidRPr="00AC4EA4">
        <w:rPr>
          <w:rFonts w:ascii="Arial" w:hAnsi="Arial" w:cs="Arial"/>
          <w:sz w:val="22"/>
          <w:szCs w:val="22"/>
        </w:rPr>
        <w:t xml:space="preserve">, nothing has come to my attention that causes me to believe that the accompanying interim financial information is not prepared, in all material respects, in accordance with Thai Accounting Standard 34 </w:t>
      </w:r>
      <w:r w:rsidRPr="00540D08">
        <w:rPr>
          <w:rFonts w:ascii="Arial" w:hAnsi="Arial" w:cs="Arial"/>
          <w:i/>
          <w:iCs/>
          <w:sz w:val="22"/>
          <w:szCs w:val="22"/>
        </w:rPr>
        <w:t>Interim Financial Reporting</w:t>
      </w:r>
      <w:r w:rsidRPr="00AC4EA4">
        <w:rPr>
          <w:rFonts w:ascii="Arial" w:hAnsi="Arial" w:cs="Arial"/>
          <w:sz w:val="22"/>
          <w:szCs w:val="22"/>
        </w:rPr>
        <w:t>.</w:t>
      </w:r>
    </w:p>
    <w:p w14:paraId="281732F5" w14:textId="2E1F592A" w:rsidR="005157D9" w:rsidRPr="005157D9" w:rsidRDefault="005157D9" w:rsidP="007A4371">
      <w:pPr>
        <w:spacing w:before="240" w:after="120" w:line="380" w:lineRule="exact"/>
        <w:rPr>
          <w:rFonts w:ascii="Arial" w:hAnsi="Arial" w:cs="Arial"/>
          <w:b/>
          <w:bCs/>
          <w:sz w:val="22"/>
          <w:szCs w:val="22"/>
        </w:rPr>
      </w:pPr>
      <w:r w:rsidRPr="005157D9">
        <w:rPr>
          <w:rFonts w:ascii="Arial" w:hAnsi="Arial" w:cs="Arial"/>
          <w:b/>
          <w:bCs/>
          <w:sz w:val="22"/>
          <w:szCs w:val="22"/>
        </w:rPr>
        <w:t>Emphasis of Matter</w:t>
      </w:r>
    </w:p>
    <w:p w14:paraId="3F9D82EB" w14:textId="186AA66E" w:rsidR="005157D9" w:rsidRPr="005157D9" w:rsidRDefault="005157D9" w:rsidP="005157D9">
      <w:pPr>
        <w:tabs>
          <w:tab w:val="left" w:pos="3352"/>
        </w:tabs>
        <w:spacing w:before="60" w:after="60" w:line="380" w:lineRule="exact"/>
        <w:rPr>
          <w:rFonts w:ascii="Arial" w:hAnsi="Arial" w:cs="Arial"/>
          <w:sz w:val="22"/>
          <w:szCs w:val="22"/>
        </w:rPr>
      </w:pPr>
      <w:r w:rsidRPr="005157D9">
        <w:rPr>
          <w:rFonts w:ascii="Arial" w:hAnsi="Arial" w:cs="Arial"/>
          <w:sz w:val="22"/>
          <w:szCs w:val="22"/>
        </w:rPr>
        <w:t xml:space="preserve">I draw attention to Note </w:t>
      </w:r>
      <w:r w:rsidR="0039446C">
        <w:rPr>
          <w:rFonts w:ascii="Arial" w:hAnsi="Arial" w:cs="Browallia New"/>
          <w:sz w:val="22"/>
        </w:rPr>
        <w:t>9</w:t>
      </w:r>
      <w:r w:rsidRPr="005157D9">
        <w:rPr>
          <w:rFonts w:ascii="Arial" w:hAnsi="Arial" w:cs="Arial"/>
          <w:sz w:val="22"/>
          <w:szCs w:val="22"/>
        </w:rPr>
        <w:t xml:space="preserve"> to the interim consolidated financial statements</w:t>
      </w:r>
      <w:r w:rsidR="00B27355">
        <w:rPr>
          <w:rFonts w:ascii="Arial" w:hAnsi="Arial" w:cs="Arial"/>
          <w:sz w:val="22"/>
          <w:szCs w:val="22"/>
        </w:rPr>
        <w:t xml:space="preserve"> </w:t>
      </w:r>
      <w:r w:rsidR="00B27355" w:rsidRPr="00406A77">
        <w:rPr>
          <w:rFonts w:ascii="Arial" w:hAnsi="Arial" w:cs="Arial"/>
          <w:sz w:val="22"/>
          <w:szCs w:val="22"/>
        </w:rPr>
        <w:t xml:space="preserve">regarding the </w:t>
      </w:r>
      <w:r w:rsidR="00B27355">
        <w:rPr>
          <w:rFonts w:ascii="Arial" w:hAnsi="Arial" w:cs="Arial"/>
          <w:sz w:val="22"/>
          <w:szCs w:val="22"/>
        </w:rPr>
        <w:t>investing</w:t>
      </w:r>
      <w:r w:rsidR="00B27355" w:rsidRPr="00406A77">
        <w:rPr>
          <w:rFonts w:ascii="Arial" w:hAnsi="Arial" w:cs="Arial"/>
          <w:sz w:val="22"/>
          <w:szCs w:val="22"/>
        </w:rPr>
        <w:t xml:space="preserve"> </w:t>
      </w:r>
      <w:r w:rsidR="0039446C">
        <w:rPr>
          <w:rFonts w:ascii="Arial" w:hAnsi="Arial" w:cs="Arial"/>
          <w:sz w:val="22"/>
          <w:szCs w:val="22"/>
        </w:rPr>
        <w:t>associates</w:t>
      </w:r>
      <w:r w:rsidR="00B27355" w:rsidRPr="00406A77">
        <w:rPr>
          <w:rFonts w:ascii="Arial" w:hAnsi="Arial" w:cs="Arial"/>
          <w:sz w:val="22"/>
          <w:szCs w:val="22"/>
        </w:rPr>
        <w:t xml:space="preserve"> by the Company. At present, the Company is in the process of assessing the fair value of the identifiable assets acquired and liabilities assumed at the </w:t>
      </w:r>
      <w:r w:rsidR="00B27355">
        <w:rPr>
          <w:rFonts w:ascii="Arial" w:hAnsi="Arial" w:cs="Arial"/>
          <w:sz w:val="22"/>
          <w:szCs w:val="22"/>
        </w:rPr>
        <w:t>investing</w:t>
      </w:r>
      <w:r w:rsidR="00B27355" w:rsidRPr="00406A77">
        <w:rPr>
          <w:rFonts w:ascii="Arial" w:hAnsi="Arial" w:cs="Arial"/>
          <w:sz w:val="22"/>
          <w:szCs w:val="22"/>
        </w:rPr>
        <w:t xml:space="preserve"> date</w:t>
      </w:r>
      <w:r w:rsidR="00B27355">
        <w:rPr>
          <w:rFonts w:ascii="Arial" w:hAnsi="Arial" w:cs="Arial"/>
          <w:sz w:val="22"/>
          <w:szCs w:val="22"/>
        </w:rPr>
        <w:t xml:space="preserve"> of such </w:t>
      </w:r>
      <w:r w:rsidR="0039446C">
        <w:rPr>
          <w:rFonts w:ascii="Arial" w:hAnsi="Arial" w:cs="Arial"/>
          <w:sz w:val="22"/>
          <w:szCs w:val="22"/>
        </w:rPr>
        <w:t>associates</w:t>
      </w:r>
      <w:r w:rsidR="00B27355" w:rsidRPr="00406A77">
        <w:rPr>
          <w:rFonts w:ascii="Arial" w:hAnsi="Arial" w:cs="Arial"/>
          <w:sz w:val="22"/>
          <w:szCs w:val="22"/>
        </w:rPr>
        <w:t>. My conclusion is not qualified in respect of this matter</w:t>
      </w:r>
      <w:r w:rsidRPr="005157D9">
        <w:rPr>
          <w:rFonts w:ascii="Arial" w:hAnsi="Arial" w:cs="Arial"/>
          <w:sz w:val="22"/>
          <w:szCs w:val="22"/>
        </w:rPr>
        <w:t>.</w:t>
      </w:r>
    </w:p>
    <w:p w14:paraId="6B5917C0" w14:textId="77777777" w:rsidR="005157D9" w:rsidRPr="00AC4EA4" w:rsidRDefault="005157D9" w:rsidP="00365FF6">
      <w:pPr>
        <w:tabs>
          <w:tab w:val="left" w:pos="3352"/>
        </w:tabs>
        <w:spacing w:before="60" w:after="60" w:line="380" w:lineRule="exact"/>
        <w:rPr>
          <w:rFonts w:ascii="Arial" w:hAnsi="Arial" w:cs="Arial"/>
          <w:sz w:val="22"/>
          <w:szCs w:val="22"/>
        </w:rPr>
      </w:pP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528C237D"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7F1871">
        <w:rPr>
          <w:rFonts w:ascii="Arial" w:hAnsi="Arial" w:cstheme="minorBidi"/>
          <w:sz w:val="22"/>
          <w:szCs w:val="22"/>
        </w:rPr>
        <w:t>14</w:t>
      </w:r>
      <w:r w:rsidR="006D3357">
        <w:rPr>
          <w:rFonts w:ascii="Arial" w:hAnsi="Arial" w:cstheme="minorBidi"/>
          <w:sz w:val="22"/>
          <w:szCs w:val="22"/>
        </w:rPr>
        <w:t xml:space="preserve"> November</w:t>
      </w:r>
      <w:r w:rsidR="005A16DC">
        <w:rPr>
          <w:rFonts w:ascii="Arial" w:hAnsi="Arial" w:cs="Arial"/>
          <w:sz w:val="22"/>
          <w:szCs w:val="22"/>
        </w:rPr>
        <w:t xml:space="preserve"> 2023</w:t>
      </w:r>
    </w:p>
    <w:sectPr w:rsidR="00237204" w:rsidRPr="00C91665" w:rsidSect="00EA72E9">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42994" w14:textId="0A590AAB" w:rsidR="005157D9" w:rsidRPr="005157D9" w:rsidRDefault="005157D9" w:rsidP="00794395">
    <w:pPr>
      <w:pStyle w:val="Footer"/>
      <w:jc w:val="right"/>
      <w:rPr>
        <w:rFonts w:ascii="Arial" w:hAnsi="Arial" w:cs="Arial"/>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938568"/>
      <w:docPartObj>
        <w:docPartGallery w:val="Page Numbers (Bottom of Page)"/>
        <w:docPartUnique/>
      </w:docPartObj>
    </w:sdtPr>
    <w:sdtEndPr>
      <w:rPr>
        <w:rFonts w:ascii="Arial" w:hAnsi="Arial" w:cs="Arial"/>
        <w:noProof/>
        <w:sz w:val="22"/>
        <w:szCs w:val="24"/>
      </w:rPr>
    </w:sdtEndPr>
    <w:sdtContent>
      <w:p w14:paraId="5AB9C708" w14:textId="46AE96D5" w:rsidR="00EA72E9" w:rsidRPr="00EA72E9" w:rsidRDefault="00EA72E9" w:rsidP="00EA72E9">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4513"/>
      <w:docPartObj>
        <w:docPartGallery w:val="Page Numbers (Bottom of Page)"/>
        <w:docPartUnique/>
      </w:docPartObj>
    </w:sdtPr>
    <w:sdtEndPr>
      <w:rPr>
        <w:rFonts w:ascii="Arial" w:hAnsi="Arial" w:cs="Arial"/>
        <w:noProof/>
        <w:sz w:val="22"/>
        <w:szCs w:val="24"/>
      </w:rPr>
    </w:sdtEndPr>
    <w:sdtContent>
      <w:p w14:paraId="6FCED813" w14:textId="55F98A33" w:rsidR="00EA72E9" w:rsidRPr="00EA72E9" w:rsidRDefault="00EA72E9" w:rsidP="00794395">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E335" w14:textId="39DAFF6B" w:rsidR="005157D9" w:rsidRDefault="00515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7403683">
    <w:abstractNumId w:val="0"/>
  </w:num>
  <w:num w:numId="2" w16cid:durableId="582185637">
    <w:abstractNumId w:val="2"/>
  </w:num>
  <w:num w:numId="3" w16cid:durableId="1436098480">
    <w:abstractNumId w:val="3"/>
  </w:num>
  <w:num w:numId="4" w16cid:durableId="1932856966">
    <w:abstractNumId w:val="5"/>
  </w:num>
  <w:num w:numId="5" w16cid:durableId="75366658">
    <w:abstractNumId w:val="4"/>
  </w:num>
  <w:num w:numId="6" w16cid:durableId="333074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585C"/>
    <w:rsid w:val="00026631"/>
    <w:rsid w:val="00031E1A"/>
    <w:rsid w:val="0003236C"/>
    <w:rsid w:val="00033A3A"/>
    <w:rsid w:val="00037A67"/>
    <w:rsid w:val="0004255A"/>
    <w:rsid w:val="00045458"/>
    <w:rsid w:val="00045D07"/>
    <w:rsid w:val="00050291"/>
    <w:rsid w:val="00050A7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220"/>
    <w:rsid w:val="0009270E"/>
    <w:rsid w:val="00094B1E"/>
    <w:rsid w:val="000965E7"/>
    <w:rsid w:val="000A4289"/>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17C8F"/>
    <w:rsid w:val="001202A8"/>
    <w:rsid w:val="00121E50"/>
    <w:rsid w:val="001245B3"/>
    <w:rsid w:val="001256BD"/>
    <w:rsid w:val="00125D2B"/>
    <w:rsid w:val="00134A2C"/>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AB3"/>
    <w:rsid w:val="002A1EC6"/>
    <w:rsid w:val="002A23A2"/>
    <w:rsid w:val="002A74D3"/>
    <w:rsid w:val="002B217C"/>
    <w:rsid w:val="002B525D"/>
    <w:rsid w:val="002B75A2"/>
    <w:rsid w:val="002C15F1"/>
    <w:rsid w:val="002C19E7"/>
    <w:rsid w:val="002C1EEC"/>
    <w:rsid w:val="002C2D09"/>
    <w:rsid w:val="002C37DA"/>
    <w:rsid w:val="002C4615"/>
    <w:rsid w:val="002D01BE"/>
    <w:rsid w:val="002D05F1"/>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44EE"/>
    <w:rsid w:val="0035620D"/>
    <w:rsid w:val="0036451F"/>
    <w:rsid w:val="0036465E"/>
    <w:rsid w:val="00364AAB"/>
    <w:rsid w:val="00364E63"/>
    <w:rsid w:val="00365FF6"/>
    <w:rsid w:val="00371E18"/>
    <w:rsid w:val="0037615C"/>
    <w:rsid w:val="00380E45"/>
    <w:rsid w:val="0038183D"/>
    <w:rsid w:val="00381DF8"/>
    <w:rsid w:val="00386B6C"/>
    <w:rsid w:val="003944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1D33"/>
    <w:rsid w:val="003E2190"/>
    <w:rsid w:val="003E44FA"/>
    <w:rsid w:val="003F0A1A"/>
    <w:rsid w:val="003F66D4"/>
    <w:rsid w:val="00401747"/>
    <w:rsid w:val="00401BEB"/>
    <w:rsid w:val="00402AC6"/>
    <w:rsid w:val="0040464D"/>
    <w:rsid w:val="00410329"/>
    <w:rsid w:val="004151E1"/>
    <w:rsid w:val="0041797E"/>
    <w:rsid w:val="00420948"/>
    <w:rsid w:val="00421723"/>
    <w:rsid w:val="004253AF"/>
    <w:rsid w:val="0042694A"/>
    <w:rsid w:val="00435E81"/>
    <w:rsid w:val="004369BA"/>
    <w:rsid w:val="004378B9"/>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4D4B"/>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31D1"/>
    <w:rsid w:val="004E6297"/>
    <w:rsid w:val="004F033E"/>
    <w:rsid w:val="004F3C93"/>
    <w:rsid w:val="004F436B"/>
    <w:rsid w:val="004F629D"/>
    <w:rsid w:val="004F66D2"/>
    <w:rsid w:val="00501B36"/>
    <w:rsid w:val="005024DE"/>
    <w:rsid w:val="005130A8"/>
    <w:rsid w:val="005157D9"/>
    <w:rsid w:val="005167BA"/>
    <w:rsid w:val="005168A6"/>
    <w:rsid w:val="0052223D"/>
    <w:rsid w:val="00524C1C"/>
    <w:rsid w:val="00525969"/>
    <w:rsid w:val="00527327"/>
    <w:rsid w:val="00532DE4"/>
    <w:rsid w:val="0053358F"/>
    <w:rsid w:val="00540D08"/>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2FC"/>
    <w:rsid w:val="00596580"/>
    <w:rsid w:val="00597F93"/>
    <w:rsid w:val="005A075D"/>
    <w:rsid w:val="005A16DC"/>
    <w:rsid w:val="005A2785"/>
    <w:rsid w:val="005A2C4C"/>
    <w:rsid w:val="005A56D0"/>
    <w:rsid w:val="005B0595"/>
    <w:rsid w:val="005B1B2A"/>
    <w:rsid w:val="005B2699"/>
    <w:rsid w:val="005B2E3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479"/>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457B4"/>
    <w:rsid w:val="00651499"/>
    <w:rsid w:val="006545FC"/>
    <w:rsid w:val="00654E2B"/>
    <w:rsid w:val="00655E5E"/>
    <w:rsid w:val="00660A2C"/>
    <w:rsid w:val="006611F1"/>
    <w:rsid w:val="00661367"/>
    <w:rsid w:val="00664F81"/>
    <w:rsid w:val="00666036"/>
    <w:rsid w:val="00670D43"/>
    <w:rsid w:val="00671FB5"/>
    <w:rsid w:val="00674F7B"/>
    <w:rsid w:val="0067556B"/>
    <w:rsid w:val="00680090"/>
    <w:rsid w:val="0068183C"/>
    <w:rsid w:val="006926C1"/>
    <w:rsid w:val="00693F08"/>
    <w:rsid w:val="00695C1B"/>
    <w:rsid w:val="00696F81"/>
    <w:rsid w:val="006973AE"/>
    <w:rsid w:val="006A0AB6"/>
    <w:rsid w:val="006A2E14"/>
    <w:rsid w:val="006A4023"/>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357"/>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0691D"/>
    <w:rsid w:val="00712DC5"/>
    <w:rsid w:val="00713FDC"/>
    <w:rsid w:val="007155CF"/>
    <w:rsid w:val="00727004"/>
    <w:rsid w:val="0072734A"/>
    <w:rsid w:val="007311B9"/>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4371"/>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1871"/>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2FE9"/>
    <w:rsid w:val="008239A9"/>
    <w:rsid w:val="00823C66"/>
    <w:rsid w:val="008240A2"/>
    <w:rsid w:val="008244B7"/>
    <w:rsid w:val="0082580C"/>
    <w:rsid w:val="00834F6D"/>
    <w:rsid w:val="00835A19"/>
    <w:rsid w:val="008362EE"/>
    <w:rsid w:val="0084042C"/>
    <w:rsid w:val="00842052"/>
    <w:rsid w:val="00843D84"/>
    <w:rsid w:val="00844676"/>
    <w:rsid w:val="00845053"/>
    <w:rsid w:val="00846BF9"/>
    <w:rsid w:val="00850C1C"/>
    <w:rsid w:val="008560D1"/>
    <w:rsid w:val="00856C29"/>
    <w:rsid w:val="00856E0C"/>
    <w:rsid w:val="0086306C"/>
    <w:rsid w:val="008641ED"/>
    <w:rsid w:val="00864704"/>
    <w:rsid w:val="00866522"/>
    <w:rsid w:val="008673BA"/>
    <w:rsid w:val="008677DA"/>
    <w:rsid w:val="00872954"/>
    <w:rsid w:val="00873C04"/>
    <w:rsid w:val="0087445B"/>
    <w:rsid w:val="00875054"/>
    <w:rsid w:val="00881DEB"/>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7EAF"/>
    <w:rsid w:val="008F2A7C"/>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656D"/>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A7F76"/>
    <w:rsid w:val="009B54A2"/>
    <w:rsid w:val="009B6ABC"/>
    <w:rsid w:val="009B778C"/>
    <w:rsid w:val="009C4FE5"/>
    <w:rsid w:val="009C59ED"/>
    <w:rsid w:val="009D0490"/>
    <w:rsid w:val="009E646F"/>
    <w:rsid w:val="009E6EC5"/>
    <w:rsid w:val="009F18AB"/>
    <w:rsid w:val="009F3842"/>
    <w:rsid w:val="009F5D4D"/>
    <w:rsid w:val="00A003F7"/>
    <w:rsid w:val="00A00B59"/>
    <w:rsid w:val="00A01A6D"/>
    <w:rsid w:val="00A04882"/>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0906"/>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3A9"/>
    <w:rsid w:val="00AC3EB2"/>
    <w:rsid w:val="00AC4EA4"/>
    <w:rsid w:val="00AC58C4"/>
    <w:rsid w:val="00AC630E"/>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077EC"/>
    <w:rsid w:val="00B10DE9"/>
    <w:rsid w:val="00B12A66"/>
    <w:rsid w:val="00B142E0"/>
    <w:rsid w:val="00B1436F"/>
    <w:rsid w:val="00B14986"/>
    <w:rsid w:val="00B14D04"/>
    <w:rsid w:val="00B15399"/>
    <w:rsid w:val="00B17D25"/>
    <w:rsid w:val="00B220FC"/>
    <w:rsid w:val="00B23FF2"/>
    <w:rsid w:val="00B27355"/>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69AA"/>
    <w:rsid w:val="00BF7CDB"/>
    <w:rsid w:val="00C02EB6"/>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6518"/>
    <w:rsid w:val="00C700B9"/>
    <w:rsid w:val="00C710C3"/>
    <w:rsid w:val="00C73824"/>
    <w:rsid w:val="00C7513D"/>
    <w:rsid w:val="00C7653A"/>
    <w:rsid w:val="00C77216"/>
    <w:rsid w:val="00C80F68"/>
    <w:rsid w:val="00C830B6"/>
    <w:rsid w:val="00C83B74"/>
    <w:rsid w:val="00C86CE4"/>
    <w:rsid w:val="00C87CC8"/>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1C1"/>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19B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3A3"/>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0EF5"/>
    <w:rsid w:val="00EA72E9"/>
    <w:rsid w:val="00EA75B6"/>
    <w:rsid w:val="00EA78BF"/>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4CC4"/>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52B0"/>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781799">
      <w:bodyDiv w:val="1"/>
      <w:marLeft w:val="0"/>
      <w:marRight w:val="0"/>
      <w:marTop w:val="0"/>
      <w:marBottom w:val="0"/>
      <w:divBdr>
        <w:top w:val="none" w:sz="0" w:space="0" w:color="auto"/>
        <w:left w:val="none" w:sz="0" w:space="0" w:color="auto"/>
        <w:bottom w:val="none" w:sz="0" w:space="0" w:color="auto"/>
        <w:right w:val="none" w:sz="0" w:space="0" w:color="auto"/>
      </w:divBdr>
    </w:div>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36432</vt:lpwstr>
  </property>
  <property fmtid="{D5CDD505-2E9C-101B-9397-08002B2CF9AE}" pid="4" name="OptimizationTime">
    <vt:lpwstr>20231114_1830</vt:lpwstr>
  </property>
</Properties>
</file>

<file path=docProps/app.xml><?xml version="1.0" encoding="utf-8"?>
<Properties xmlns="http://schemas.openxmlformats.org/officeDocument/2006/extended-properties" xmlns:vt="http://schemas.openxmlformats.org/officeDocument/2006/docPropsVTypes">
  <Template>Normal.dotm</Template>
  <TotalTime>22</TotalTime>
  <Pages>4</Pages>
  <Words>1026</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17</cp:revision>
  <cp:lastPrinted>2023-11-09T08:18:00Z</cp:lastPrinted>
  <dcterms:created xsi:type="dcterms:W3CDTF">2023-07-14T15:06:00Z</dcterms:created>
  <dcterms:modified xsi:type="dcterms:W3CDTF">2023-11-09T08:19:00Z</dcterms:modified>
</cp:coreProperties>
</file>