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F826E6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F826E6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7E5AE29" w14:textId="59DC78F9" w:rsidR="00295155" w:rsidRPr="00D642D7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Limited and its subsidiaries (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“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</w:t>
      </w:r>
      <w:proofErr w:type="spellStart"/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>Berli</w:t>
      </w:r>
      <w:proofErr w:type="spellEnd"/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Jucker Public </w:t>
      </w:r>
      <w:r w:rsidR="00EC3C9F"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Company 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>Limited</w:t>
      </w:r>
      <w:r w:rsidR="003872D3"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(the “Company”)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as at </w:t>
      </w:r>
      <w:r w:rsidR="001C1FCD" w:rsidRPr="00EC3C9F">
        <w:rPr>
          <w:rFonts w:ascii="Times New Roman" w:hAnsi="Times New Roman"/>
          <w:color w:val="000000"/>
          <w:spacing w:val="-4"/>
          <w:sz w:val="24"/>
          <w:szCs w:val="30"/>
        </w:rPr>
        <w:t>March</w:t>
      </w:r>
      <w:r w:rsidR="00566B88" w:rsidRPr="00EC3C9F">
        <w:rPr>
          <w:rFonts w:ascii="Times New Roman" w:hAnsi="Times New Roman"/>
          <w:color w:val="000000"/>
          <w:spacing w:val="-4"/>
          <w:sz w:val="24"/>
          <w:szCs w:val="30"/>
        </w:rPr>
        <w:t xml:space="preserve"> 3</w:t>
      </w:r>
      <w:r w:rsidR="001C1FCD" w:rsidRPr="00EC3C9F">
        <w:rPr>
          <w:rFonts w:ascii="Times New Roman" w:hAnsi="Times New Roman"/>
          <w:color w:val="000000"/>
          <w:spacing w:val="-4"/>
          <w:sz w:val="24"/>
          <w:szCs w:val="30"/>
        </w:rPr>
        <w:t>1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30"/>
        </w:rPr>
        <w:t>,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D642D7" w:rsidRPr="00EC3C9F">
        <w:rPr>
          <w:rFonts w:ascii="Times New Roman" w:hAnsi="Times New Roman"/>
          <w:color w:val="000000"/>
          <w:spacing w:val="-4"/>
          <w:sz w:val="24"/>
          <w:szCs w:val="24"/>
        </w:rPr>
        <w:t>202</w:t>
      </w:r>
      <w:r w:rsidR="001C1FCD" w:rsidRPr="00EC3C9F">
        <w:rPr>
          <w:rFonts w:ascii="Times New Roman" w:hAnsi="Times New Roman"/>
          <w:color w:val="000000"/>
          <w:spacing w:val="-4"/>
          <w:sz w:val="24"/>
          <w:szCs w:val="24"/>
        </w:rPr>
        <w:t>4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>, and the related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consolidated and separate statements of profit or loss and other comprehensive income</w:t>
      </w:r>
      <w:r w:rsidR="001D59AD"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566B88"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</w:t>
      </w:r>
      <w:r w:rsidR="007E7314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cash flows for the </w:t>
      </w:r>
      <w:r w:rsidR="001421E8">
        <w:rPr>
          <w:rFonts w:ascii="Times New Roman" w:hAnsi="Times New Roman" w:cs="Times New Roman"/>
          <w:color w:val="000000"/>
          <w:spacing w:val="-2"/>
          <w:sz w:val="24"/>
          <w:szCs w:val="24"/>
        </w:rPr>
        <w:t>three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 </w:t>
      </w:r>
      <w:r w:rsidR="008B79C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then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ended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F826E6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F826E6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F826E6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F826E6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gramEnd"/>
    </w:p>
    <w:p w14:paraId="4073CA4D" w14:textId="77777777" w:rsidR="00C453CA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266C7227" w:rsidR="00C453CA" w:rsidRPr="00D642D7" w:rsidRDefault="00DC0CBD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May</w:t>
      </w:r>
      <w:r w:rsidR="00317361">
        <w:rPr>
          <w:rFonts w:ascii="Times New Roman" w:hAnsi="Times New Roman"/>
          <w:sz w:val="24"/>
          <w:szCs w:val="30"/>
        </w:rPr>
        <w:t xml:space="preserve"> </w:t>
      </w:r>
      <w:r>
        <w:rPr>
          <w:rFonts w:ascii="Times New Roman" w:hAnsi="Times New Roman"/>
          <w:sz w:val="24"/>
          <w:szCs w:val="30"/>
        </w:rPr>
        <w:t>14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1C1FCD">
        <w:rPr>
          <w:rFonts w:ascii="Times New Roman" w:hAnsi="Times New Roman"/>
          <w:sz w:val="24"/>
          <w:szCs w:val="24"/>
        </w:rPr>
        <w:t>4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F826E6">
      <w:headerReference w:type="default" r:id="rId10"/>
      <w:footerReference w:type="default" r:id="rId11"/>
      <w:pgSz w:w="11906" w:h="16838" w:code="9"/>
      <w:pgMar w:top="2592" w:right="1224" w:bottom="1440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A470" w14:textId="77777777" w:rsidR="004E0641" w:rsidRDefault="004E0641">
      <w:r>
        <w:separator/>
      </w:r>
    </w:p>
  </w:endnote>
  <w:endnote w:type="continuationSeparator" w:id="0">
    <w:p w14:paraId="6AC4ED19" w14:textId="77777777" w:rsidR="004E0641" w:rsidRDefault="004E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FF15" w14:textId="1B2E821B" w:rsidR="00B62F25" w:rsidRDefault="00B62F25" w:rsidP="00B62F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AE4D4" w14:textId="77777777" w:rsidR="004E0641" w:rsidRDefault="004E0641">
      <w:r>
        <w:separator/>
      </w:r>
    </w:p>
  </w:footnote>
  <w:footnote w:type="continuationSeparator" w:id="0">
    <w:p w14:paraId="63A1146A" w14:textId="77777777" w:rsidR="004E0641" w:rsidRDefault="004E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5DAE" w14:textId="351C567B" w:rsidR="00280136" w:rsidRDefault="00280136" w:rsidP="0028013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421E8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1FCD"/>
    <w:rsid w:val="001C2679"/>
    <w:rsid w:val="001C6A97"/>
    <w:rsid w:val="001D002F"/>
    <w:rsid w:val="001D1035"/>
    <w:rsid w:val="001D59AD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0C92"/>
    <w:rsid w:val="002425F5"/>
    <w:rsid w:val="00252CD2"/>
    <w:rsid w:val="002667AB"/>
    <w:rsid w:val="00275C57"/>
    <w:rsid w:val="00280136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445D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366D"/>
    <w:rsid w:val="00306D3D"/>
    <w:rsid w:val="00312100"/>
    <w:rsid w:val="00313B8B"/>
    <w:rsid w:val="003158E7"/>
    <w:rsid w:val="00317361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3E2F"/>
    <w:rsid w:val="003872D3"/>
    <w:rsid w:val="00390D4B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A152D"/>
    <w:rsid w:val="004B11DF"/>
    <w:rsid w:val="004B2C1A"/>
    <w:rsid w:val="004C6AAD"/>
    <w:rsid w:val="004D263F"/>
    <w:rsid w:val="004D4BF3"/>
    <w:rsid w:val="004D7E85"/>
    <w:rsid w:val="004E0641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1568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E7314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5CF7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B79CB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12E2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62F25"/>
    <w:rsid w:val="00B75BBC"/>
    <w:rsid w:val="00B8155E"/>
    <w:rsid w:val="00B856EA"/>
    <w:rsid w:val="00B87835"/>
    <w:rsid w:val="00B939F8"/>
    <w:rsid w:val="00B94D6B"/>
    <w:rsid w:val="00B95B36"/>
    <w:rsid w:val="00BA0390"/>
    <w:rsid w:val="00BA3B9E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CB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C3C9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6E6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Props1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3EF47-8267-4860-903F-B8F418B952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CAE18-13DB-41EB-AB3F-48E2A5F1C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307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pthantapanit@deloitte.com</cp:lastModifiedBy>
  <cp:revision>54</cp:revision>
  <cp:lastPrinted>2024-05-13T06:00:00Z</cp:lastPrinted>
  <dcterms:created xsi:type="dcterms:W3CDTF">2021-05-01T17:31:00Z</dcterms:created>
  <dcterms:modified xsi:type="dcterms:W3CDTF">2024-05-13T06:00:00Z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