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625AB519" w14:textId="07A25501" w:rsidR="000836B3" w:rsidRPr="00CC34CC" w:rsidRDefault="000836B3" w:rsidP="00C855A9">
      <w:pPr>
        <w:overflowPunct/>
        <w:autoSpaceDE/>
        <w:autoSpaceDN/>
        <w:adjustRightInd/>
        <w:spacing w:before="360" w:after="360"/>
        <w:textAlignment w:val="auto"/>
        <w:rPr>
          <w:rFonts w:asciiTheme="majorBidi" w:hAnsiTheme="majorBidi" w:cstheme="majorBidi"/>
          <w:b/>
          <w:bCs/>
          <w:kern w:val="8"/>
          <w:sz w:val="28"/>
          <w:szCs w:val="28"/>
          <w:lang w:val="en-GB" w:bidi="he-IL"/>
        </w:rPr>
      </w:pPr>
      <w:r w:rsidRPr="00CC34CC">
        <w:rPr>
          <w:rFonts w:asciiTheme="majorBidi" w:hAnsiTheme="majorBidi" w:cstheme="majorBidi"/>
          <w:b/>
          <w:bCs/>
          <w:kern w:val="8"/>
          <w:sz w:val="28"/>
          <w:szCs w:val="28"/>
          <w:lang w:val="en-GB" w:bidi="he-IL"/>
        </w:rPr>
        <w:t xml:space="preserve">To the Board of Directors and the Shareholders of </w:t>
      </w:r>
      <w:r w:rsidR="002F2B92" w:rsidRPr="00CC34CC">
        <w:rPr>
          <w:rFonts w:asciiTheme="majorBidi" w:hAnsiTheme="majorBidi" w:cstheme="majorBidi"/>
          <w:b/>
          <w:bCs/>
          <w:kern w:val="8"/>
          <w:sz w:val="28"/>
          <w:szCs w:val="28"/>
          <w:lang w:val="en-GB" w:bidi="he-IL"/>
        </w:rPr>
        <w:t>Global Consumer</w:t>
      </w:r>
      <w:r w:rsidRPr="00CC34CC">
        <w:rPr>
          <w:rFonts w:asciiTheme="majorBidi" w:hAnsiTheme="majorBidi" w:cstheme="majorBidi"/>
          <w:b/>
          <w:bCs/>
          <w:kern w:val="8"/>
          <w:sz w:val="28"/>
          <w:szCs w:val="28"/>
          <w:lang w:val="en-GB" w:bidi="he-IL"/>
        </w:rPr>
        <w:t xml:space="preserve"> Public Company Limited</w:t>
      </w:r>
    </w:p>
    <w:p w14:paraId="5DB2F861" w14:textId="234A0E07" w:rsidR="000836B3" w:rsidRPr="00CC34CC"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consolidated and separate statements of financial position of </w:t>
      </w:r>
      <w:r w:rsidR="002F2B92" w:rsidRPr="00CC34CC">
        <w:rPr>
          <w:rFonts w:asciiTheme="majorBidi" w:hAnsiTheme="majorBidi" w:cstheme="majorBidi"/>
          <w:noProof/>
          <w:spacing w:val="-2"/>
          <w:sz w:val="28"/>
          <w:szCs w:val="28"/>
        </w:rPr>
        <w:t xml:space="preserve">Global Consumer </w:t>
      </w:r>
      <w:r w:rsidRPr="00CC34CC">
        <w:rPr>
          <w:rFonts w:asciiTheme="majorBidi" w:hAnsiTheme="majorBidi" w:cstheme="majorBidi"/>
          <w:noProof/>
          <w:spacing w:val="-2"/>
          <w:sz w:val="28"/>
          <w:szCs w:val="28"/>
        </w:rPr>
        <w:t>Public Company Limited and its subsidiaries (the “Group”) as at 31 March 202</w:t>
      </w:r>
      <w:r w:rsidR="008D48D3" w:rsidRPr="00CC34CC">
        <w:rPr>
          <w:rFonts w:asciiTheme="majorBidi" w:hAnsiTheme="majorBidi" w:cstheme="majorBidi"/>
          <w:noProof/>
          <w:spacing w:val="-2"/>
          <w:sz w:val="28"/>
          <w:szCs w:val="28"/>
        </w:rPr>
        <w:t>4</w:t>
      </w:r>
      <w:r w:rsidRPr="00CC34CC">
        <w:rPr>
          <w:rFonts w:asciiTheme="majorBidi" w:hAnsiTheme="majorBidi" w:cstheme="majorBidi"/>
          <w:noProof/>
          <w:spacing w:val="-2"/>
          <w:sz w:val="28"/>
          <w:szCs w:val="28"/>
        </w:rPr>
        <w:t>, the related consolidated and separate statements of profit or loss and other comprehensive income, changes in shareholders’ equity and cash flows for the three-month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6B58BE50" w14:textId="05C770F0" w:rsidR="00CB7AA1" w:rsidRDefault="00CB7AA1" w:rsidP="00C855A9">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rPr>
      </w:pPr>
      <w:r w:rsidRPr="00CC34CC">
        <w:rPr>
          <w:rFonts w:asciiTheme="majorBidi" w:hAnsiTheme="majorBidi" w:cstheme="majorBidi"/>
          <w:sz w:val="28"/>
          <w:szCs w:val="28"/>
        </w:rPr>
        <w:t xml:space="preserve">Note </w:t>
      </w:r>
      <w:r w:rsidRPr="00CC34CC">
        <w:rPr>
          <w:rFonts w:asciiTheme="majorBidi" w:hAnsiTheme="majorBidi" w:cstheme="majorBidi"/>
          <w:sz w:val="28"/>
          <w:szCs w:val="28"/>
          <w:cs/>
        </w:rPr>
        <w:t xml:space="preserve">1 </w:t>
      </w:r>
      <w:r w:rsidRPr="00CC34CC">
        <w:rPr>
          <w:rFonts w:asciiTheme="majorBidi" w:hAnsiTheme="majorBidi" w:cstheme="majorBidi"/>
          <w:sz w:val="28"/>
          <w:szCs w:val="28"/>
        </w:rPr>
        <w:t>to the financial statements, As at 31 March 2024, the Group has current liabilities exceeded its current assets by Baht 170.32 million and also has accumulated deficits of Baht 820.21 million. In addition, the Group has total comprehensive loss for the three-month period ended 31 March 2024 Baht 10.57 million. However, the Group’s management believes that it is still appropriate for the Group to prepare the financial statements based on a going concern basis because the Group has planned to enhance its business service strategy by increasing the profit margin per sale</w:t>
      </w:r>
      <w:r w:rsidR="00671F9D">
        <w:rPr>
          <w:rFonts w:asciiTheme="majorBidi" w:hAnsiTheme="majorBidi" w:cstheme="majorBidi"/>
          <w:sz w:val="28"/>
          <w:szCs w:val="28"/>
        </w:rPr>
        <w:t xml:space="preserve">’ </w:t>
      </w:r>
      <w:r w:rsidRPr="00CC34CC">
        <w:rPr>
          <w:rFonts w:asciiTheme="majorBidi" w:hAnsiTheme="majorBidi" w:cstheme="majorBidi"/>
          <w:sz w:val="28"/>
          <w:szCs w:val="28"/>
        </w:rPr>
        <w:t>focus on changing profitable sales channels, reduce production costs by reducing raw material costs, production labor costs, selling and administrative expenses</w:t>
      </w:r>
      <w:r w:rsidR="00671F9D">
        <w:rPr>
          <w:rFonts w:asciiTheme="majorBidi" w:hAnsiTheme="majorBidi" w:cstheme="majorBidi"/>
          <w:sz w:val="28"/>
          <w:szCs w:val="28"/>
        </w:rPr>
        <w:t>,</w:t>
      </w:r>
      <w:r w:rsidRPr="00CC34CC">
        <w:rPr>
          <w:rFonts w:asciiTheme="majorBidi" w:hAnsiTheme="majorBidi" w:cstheme="majorBidi"/>
          <w:sz w:val="28"/>
          <w:szCs w:val="28"/>
        </w:rPr>
        <w:t xml:space="preserve"> </w:t>
      </w:r>
      <w:r w:rsidR="00671F9D">
        <w:rPr>
          <w:rFonts w:asciiTheme="majorBidi" w:hAnsiTheme="majorBidi" w:cstheme="majorBidi"/>
          <w:sz w:val="28"/>
          <w:szCs w:val="28"/>
        </w:rPr>
        <w:t>i</w:t>
      </w:r>
      <w:r w:rsidRPr="00CC34CC">
        <w:rPr>
          <w:rFonts w:asciiTheme="majorBidi" w:hAnsiTheme="majorBidi" w:cstheme="majorBidi"/>
          <w:sz w:val="28"/>
          <w:szCs w:val="28"/>
        </w:rPr>
        <w:t>ncrease production efficiency by reducing the loss rate in the production process focuses on increasing product quality. In addition, the Group will find a source of credit with financial institutions in the credit line of amount not over Baht 40 million by May 2024.</w:t>
      </w:r>
      <w:r w:rsidR="00671F9D">
        <w:rPr>
          <w:rFonts w:asciiTheme="majorBidi" w:hAnsiTheme="majorBidi" w:cstheme="majorBidi"/>
          <w:sz w:val="28"/>
          <w:szCs w:val="28"/>
        </w:rPr>
        <w:t xml:space="preserve"> Which will result in </w:t>
      </w:r>
      <w:r w:rsidRPr="00CC34CC">
        <w:rPr>
          <w:rFonts w:asciiTheme="majorBidi" w:hAnsiTheme="majorBidi" w:cstheme="majorBidi"/>
          <w:sz w:val="28"/>
          <w:szCs w:val="28"/>
        </w:rPr>
        <w:t>having more liquidity and positive operating cash flow. Accordingly, the financial statements have been prepared on a going concern basis, which contemplates the realization of assets and the satisfaction of liabilities in the normal course of business.</w:t>
      </w:r>
    </w:p>
    <w:p w14:paraId="2D1442CD" w14:textId="471E1392" w:rsidR="008D48D3" w:rsidRPr="00CC34CC" w:rsidRDefault="00CC1EDE" w:rsidP="00C855A9">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lang w:val="en-GB"/>
        </w:rPr>
      </w:pPr>
      <w:r w:rsidRPr="00CC34CC">
        <w:rPr>
          <w:rFonts w:asciiTheme="majorBidi" w:hAnsiTheme="majorBidi" w:cstheme="majorBidi"/>
          <w:sz w:val="28"/>
          <w:szCs w:val="28"/>
        </w:rPr>
        <w:t xml:space="preserve">Note </w:t>
      </w:r>
      <w:r w:rsidRPr="00CC34CC">
        <w:rPr>
          <w:rFonts w:asciiTheme="majorBidi" w:hAnsiTheme="majorBidi" w:cstheme="majorBidi"/>
          <w:sz w:val="28"/>
          <w:szCs w:val="28"/>
          <w:cs/>
        </w:rPr>
        <w:t>1</w:t>
      </w:r>
      <w:r w:rsidRPr="00CC34CC">
        <w:rPr>
          <w:rFonts w:asciiTheme="majorBidi" w:hAnsiTheme="majorBidi" w:cstheme="majorBidi"/>
          <w:sz w:val="28"/>
          <w:szCs w:val="28"/>
        </w:rPr>
        <w:t>1</w:t>
      </w:r>
      <w:r w:rsidRPr="00CC34CC">
        <w:rPr>
          <w:rFonts w:asciiTheme="majorBidi" w:hAnsiTheme="majorBidi" w:cstheme="majorBidi"/>
          <w:sz w:val="28"/>
          <w:szCs w:val="28"/>
          <w:cs/>
        </w:rPr>
        <w:t xml:space="preserve"> </w:t>
      </w:r>
      <w:r w:rsidRPr="00CC34CC">
        <w:rPr>
          <w:rFonts w:asciiTheme="majorBidi" w:hAnsiTheme="majorBidi" w:cstheme="majorBidi"/>
          <w:sz w:val="28"/>
          <w:szCs w:val="28"/>
        </w:rPr>
        <w:t xml:space="preserve">to the financial statements, on </w:t>
      </w:r>
      <w:r w:rsidR="00671F9D" w:rsidRPr="00CC34CC">
        <w:rPr>
          <w:rFonts w:asciiTheme="majorBidi" w:hAnsiTheme="majorBidi" w:cstheme="majorBidi"/>
          <w:sz w:val="28"/>
          <w:szCs w:val="28"/>
          <w:cs/>
        </w:rPr>
        <w:t>1</w:t>
      </w:r>
      <w:r w:rsidR="00671F9D">
        <w:rPr>
          <w:rFonts w:asciiTheme="majorBidi" w:hAnsiTheme="majorBidi" w:cstheme="majorBidi"/>
          <w:sz w:val="28"/>
          <w:szCs w:val="28"/>
        </w:rPr>
        <w:t xml:space="preserve"> </w:t>
      </w:r>
      <w:r w:rsidRPr="00CC34CC">
        <w:rPr>
          <w:rFonts w:asciiTheme="majorBidi" w:hAnsiTheme="majorBidi" w:cstheme="majorBidi"/>
          <w:sz w:val="28"/>
          <w:szCs w:val="28"/>
        </w:rPr>
        <w:t>November</w:t>
      </w:r>
      <w:r w:rsidR="00671F9D">
        <w:rPr>
          <w:rFonts w:asciiTheme="majorBidi" w:hAnsiTheme="majorBidi" w:cstheme="majorBidi"/>
          <w:sz w:val="28"/>
          <w:szCs w:val="28"/>
        </w:rPr>
        <w:t xml:space="preserve"> </w:t>
      </w:r>
      <w:r w:rsidRPr="00CC34CC">
        <w:rPr>
          <w:rFonts w:asciiTheme="majorBidi" w:hAnsiTheme="majorBidi" w:cstheme="majorBidi"/>
          <w:sz w:val="28"/>
          <w:szCs w:val="28"/>
          <w:cs/>
        </w:rPr>
        <w:t>2023</w:t>
      </w:r>
      <w:r w:rsidRPr="00CC34CC">
        <w:rPr>
          <w:rFonts w:asciiTheme="majorBidi" w:hAnsiTheme="majorBidi" w:cstheme="majorBidi"/>
          <w:sz w:val="28"/>
          <w:szCs w:val="28"/>
        </w:rPr>
        <w:t xml:space="preserve">, the Company has entered into a Memorandum of Understanding with a company located in United Arab Emirates to invest in such company.  On </w:t>
      </w:r>
      <w:r w:rsidR="00671F9D" w:rsidRPr="00CC34CC">
        <w:rPr>
          <w:rFonts w:asciiTheme="majorBidi" w:hAnsiTheme="majorBidi" w:cstheme="majorBidi"/>
          <w:sz w:val="28"/>
          <w:szCs w:val="28"/>
          <w:cs/>
        </w:rPr>
        <w:t>6</w:t>
      </w:r>
      <w:r w:rsidR="00671F9D">
        <w:rPr>
          <w:rFonts w:asciiTheme="majorBidi" w:hAnsiTheme="majorBidi" w:cstheme="majorBidi"/>
          <w:sz w:val="28"/>
          <w:szCs w:val="28"/>
        </w:rPr>
        <w:t xml:space="preserve"> </w:t>
      </w:r>
      <w:r w:rsidRPr="00CC34CC">
        <w:rPr>
          <w:rFonts w:asciiTheme="majorBidi" w:hAnsiTheme="majorBidi" w:cstheme="majorBidi"/>
          <w:sz w:val="28"/>
          <w:szCs w:val="28"/>
        </w:rPr>
        <w:t xml:space="preserve">November </w:t>
      </w:r>
      <w:r w:rsidRPr="00CC34CC">
        <w:rPr>
          <w:rFonts w:asciiTheme="majorBidi" w:hAnsiTheme="majorBidi" w:cstheme="majorBidi"/>
          <w:sz w:val="28"/>
          <w:szCs w:val="28"/>
          <w:cs/>
        </w:rPr>
        <w:t>2023</w:t>
      </w:r>
      <w:r w:rsidRPr="00CC34CC">
        <w:rPr>
          <w:rFonts w:asciiTheme="majorBidi" w:hAnsiTheme="majorBidi" w:cstheme="majorBidi"/>
          <w:sz w:val="28"/>
          <w:szCs w:val="28"/>
        </w:rPr>
        <w:t xml:space="preserve">, the Company paid a deposit to a shareholder company of such company amounting to USD </w:t>
      </w:r>
      <w:r w:rsidRPr="00CC34CC">
        <w:rPr>
          <w:rFonts w:asciiTheme="majorBidi" w:hAnsiTheme="majorBidi" w:cstheme="majorBidi"/>
          <w:sz w:val="28"/>
          <w:szCs w:val="28"/>
          <w:cs/>
        </w:rPr>
        <w:t xml:space="preserve">2.75 </w:t>
      </w:r>
      <w:r w:rsidRPr="00CC34CC">
        <w:rPr>
          <w:rFonts w:asciiTheme="majorBidi" w:hAnsiTheme="majorBidi" w:cstheme="majorBidi"/>
          <w:sz w:val="28"/>
          <w:szCs w:val="28"/>
        </w:rPr>
        <w:t xml:space="preserve">million or equivalent to Baht </w:t>
      </w:r>
      <w:r w:rsidRPr="00CC34CC">
        <w:rPr>
          <w:rFonts w:asciiTheme="majorBidi" w:hAnsiTheme="majorBidi" w:cstheme="majorBidi"/>
          <w:sz w:val="28"/>
          <w:szCs w:val="28"/>
          <w:cs/>
        </w:rPr>
        <w:t xml:space="preserve">98.01 </w:t>
      </w:r>
      <w:r w:rsidRPr="00CC34CC">
        <w:rPr>
          <w:rFonts w:asciiTheme="majorBidi" w:hAnsiTheme="majorBidi" w:cstheme="majorBidi"/>
          <w:sz w:val="28"/>
          <w:szCs w:val="28"/>
        </w:rPr>
        <w:t xml:space="preserve">million. The Company is currently in the process of evaluating information of this investment. </w:t>
      </w:r>
    </w:p>
    <w:p w14:paraId="0DA11DB3" w14:textId="77777777" w:rsidR="00CC34CC"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Our conclusion is not modified in respect of these matters.</w:t>
      </w:r>
    </w:p>
    <w:p w14:paraId="0077C3D9" w14:textId="22E65459" w:rsidR="00CC34CC" w:rsidRDefault="00CC34CC">
      <w:pPr>
        <w:overflowPunct/>
        <w:autoSpaceDE/>
        <w:autoSpaceDN/>
        <w:adjustRightInd/>
        <w:textAlignment w:val="auto"/>
        <w:rPr>
          <w:rFonts w:asciiTheme="majorBidi" w:hAnsiTheme="majorBidi" w:cstheme="majorBidi"/>
          <w:sz w:val="28"/>
          <w:szCs w:val="28"/>
          <w:lang w:val="en-GB"/>
        </w:rPr>
      </w:pPr>
      <w:r>
        <w:rPr>
          <w:rFonts w:asciiTheme="majorBidi" w:hAnsiTheme="majorBidi" w:cstheme="majorBidi"/>
          <w:sz w:val="28"/>
          <w:szCs w:val="28"/>
          <w:lang w:val="en-GB"/>
        </w:rPr>
        <w:br w:type="page"/>
      </w:r>
    </w:p>
    <w:p w14:paraId="1AED389C" w14:textId="77777777" w:rsidR="00CC34CC" w:rsidRPr="00CC34CC" w:rsidRDefault="00CC34CC" w:rsidP="00CC34CC">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Other matters</w:t>
      </w:r>
    </w:p>
    <w:p w14:paraId="19A17A89" w14:textId="77777777" w:rsidR="00CC34CC" w:rsidRPr="00CC34CC" w:rsidRDefault="00CC34CC" w:rsidP="00C855A9">
      <w:pPr>
        <w:tabs>
          <w:tab w:val="center" w:pos="6480"/>
        </w:tabs>
        <w:spacing w:before="120" w:line="360" w:lineRule="exact"/>
        <w:ind w:right="-43"/>
        <w:jc w:val="both"/>
        <w:rPr>
          <w:rFonts w:asciiTheme="majorBidi" w:hAnsiTheme="majorBidi" w:cstheme="majorBidi"/>
          <w:sz w:val="28"/>
          <w:szCs w:val="28"/>
          <w:lang w:val="en-GB"/>
        </w:rPr>
      </w:pPr>
      <w:r w:rsidRPr="00CC34CC">
        <w:rPr>
          <w:rFonts w:asciiTheme="majorBidi" w:hAnsiTheme="majorBidi" w:cstheme="majorBidi"/>
          <w:sz w:val="28"/>
          <w:szCs w:val="28"/>
          <w:lang w:val="en-GB"/>
        </w:rPr>
        <w:t xml:space="preserve">The consolidated and separate statements of financial position of Global Consumer Public Company Limited and its subsidiaries as at 31 December 2023, presented as comparative information, were audited by another auditor who expressed an unmodified opinion with the material uncertainty related to going concern paragraph according to the report dated 29 February 2024. </w:t>
      </w:r>
    </w:p>
    <w:p w14:paraId="4593EFB8" w14:textId="77777777" w:rsidR="00CC34CC" w:rsidRPr="00CC34CC" w:rsidRDefault="00CC34CC" w:rsidP="00C855A9">
      <w:pPr>
        <w:tabs>
          <w:tab w:val="center" w:pos="6480"/>
        </w:tabs>
        <w:spacing w:before="120" w:line="360" w:lineRule="exact"/>
        <w:ind w:right="-43"/>
        <w:jc w:val="both"/>
        <w:rPr>
          <w:rFonts w:asciiTheme="majorBidi" w:hAnsiTheme="majorBidi" w:cstheme="majorBidi"/>
          <w:sz w:val="28"/>
          <w:szCs w:val="28"/>
          <w:lang w:val="en-GB"/>
        </w:rPr>
      </w:pPr>
      <w:r w:rsidRPr="00CC34CC">
        <w:rPr>
          <w:rFonts w:asciiTheme="majorBidi" w:hAnsiTheme="majorBidi" w:cstheme="majorBidi"/>
          <w:sz w:val="28"/>
          <w:szCs w:val="28"/>
          <w:lang w:val="en-GB"/>
        </w:rPr>
        <w:t>The consolidated and separate statements of profit or loss and other comprehensive income, changes in shareholders’ equity and cash flows for the three-month period ended 31 March 2023,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15 May 2023.</w:t>
      </w:r>
    </w:p>
    <w:p w14:paraId="07CD9B2A" w14:textId="77777777" w:rsidR="008D48D3" w:rsidRPr="00CC34CC" w:rsidRDefault="008D48D3" w:rsidP="00191460">
      <w:pPr>
        <w:tabs>
          <w:tab w:val="center" w:pos="6480"/>
        </w:tabs>
        <w:spacing w:line="360" w:lineRule="exact"/>
        <w:ind w:right="-43"/>
        <w:jc w:val="both"/>
        <w:rPr>
          <w:rFonts w:asciiTheme="majorBidi" w:hAnsiTheme="majorBidi" w:cstheme="majorBidi"/>
          <w:sz w:val="28"/>
          <w:szCs w:val="28"/>
          <w:lang w:val="en-GB"/>
        </w:rPr>
      </w:pPr>
    </w:p>
    <w:p w14:paraId="54E382E5" w14:textId="77777777" w:rsidR="002F2B92" w:rsidRPr="00CC34CC" w:rsidRDefault="002F2B92" w:rsidP="000836B3">
      <w:pPr>
        <w:spacing w:before="240" w:line="380" w:lineRule="exact"/>
        <w:rPr>
          <w:rFonts w:asciiTheme="majorBidi" w:eastAsia="Arial Unicode MS" w:hAnsiTheme="majorBidi" w:cstheme="majorBidi"/>
          <w:b/>
          <w:bCs/>
          <w:sz w:val="28"/>
          <w:szCs w:val="28"/>
        </w:rPr>
      </w:pPr>
    </w:p>
    <w:p w14:paraId="37264E18" w14:textId="77777777" w:rsidR="00CC1EDE" w:rsidRPr="00CC34CC" w:rsidRDefault="00CC1EDE" w:rsidP="000836B3">
      <w:pPr>
        <w:spacing w:before="240" w:line="380" w:lineRule="exact"/>
        <w:rPr>
          <w:rFonts w:asciiTheme="majorBidi" w:eastAsia="Arial Unicode MS" w:hAnsiTheme="majorBidi" w:cstheme="majorBidi"/>
          <w:b/>
          <w:bCs/>
          <w:sz w:val="28"/>
          <w:szCs w:val="28"/>
        </w:rPr>
      </w:pPr>
    </w:p>
    <w:p w14:paraId="4742D338" w14:textId="0D356800"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0144019A" w14:textId="4E7A968A" w:rsidR="00191460" w:rsidRPr="00CC34CC" w:rsidRDefault="00191460" w:rsidP="000836B3">
      <w:pPr>
        <w:spacing w:before="240" w:line="380" w:lineRule="exact"/>
        <w:rPr>
          <w:rFonts w:asciiTheme="majorBidi" w:hAnsiTheme="majorBidi" w:cstheme="majorBidi"/>
          <w:sz w:val="28"/>
          <w:szCs w:val="28"/>
        </w:rPr>
      </w:pPr>
      <w:r w:rsidRPr="00CC34CC">
        <w:rPr>
          <w:rFonts w:asciiTheme="majorBidi" w:hAnsiTheme="majorBidi" w:cstheme="majorBidi"/>
          <w:sz w:val="28"/>
          <w:szCs w:val="28"/>
        </w:rPr>
        <w:t>Mazars L</w:t>
      </w:r>
      <w:r w:rsidR="004A23E7" w:rsidRPr="00CC34CC">
        <w:rPr>
          <w:rFonts w:asciiTheme="majorBidi" w:hAnsiTheme="majorBidi" w:cstheme="majorBidi"/>
          <w:sz w:val="28"/>
          <w:szCs w:val="28"/>
        </w:rPr>
        <w:t>td.</w:t>
      </w:r>
    </w:p>
    <w:p w14:paraId="28FE2E3D" w14:textId="623BE4C0"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7D92CBF5" w:rsidR="0081769D" w:rsidRPr="00CC34CC" w:rsidRDefault="00E404C7"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1</w:t>
      </w:r>
      <w:r w:rsidR="00BA2DA3" w:rsidRPr="00CC34CC">
        <w:rPr>
          <w:rFonts w:asciiTheme="majorBidi" w:hAnsiTheme="majorBidi" w:cstheme="majorBidi"/>
          <w:sz w:val="28"/>
          <w:szCs w:val="28"/>
        </w:rPr>
        <w:t>4</w:t>
      </w:r>
      <w:r w:rsidR="004D0EA2" w:rsidRPr="00CC34CC">
        <w:rPr>
          <w:rFonts w:asciiTheme="majorBidi" w:hAnsiTheme="majorBidi" w:cstheme="majorBidi"/>
          <w:sz w:val="28"/>
          <w:szCs w:val="28"/>
        </w:rPr>
        <w:t xml:space="preserve"> </w:t>
      </w:r>
      <w:r w:rsidR="00A4230A" w:rsidRPr="00CC34CC">
        <w:rPr>
          <w:rFonts w:asciiTheme="majorBidi" w:hAnsiTheme="majorBidi" w:cstheme="majorBidi"/>
          <w:sz w:val="28"/>
          <w:szCs w:val="28"/>
        </w:rPr>
        <w:t>May 202</w:t>
      </w:r>
      <w:r w:rsidR="008D48D3" w:rsidRPr="00CC34CC">
        <w:rPr>
          <w:rFonts w:asciiTheme="majorBidi" w:hAnsiTheme="majorBidi" w:cstheme="majorBidi"/>
          <w:sz w:val="28"/>
          <w:szCs w:val="28"/>
        </w:rPr>
        <w:t>4</w:t>
      </w:r>
    </w:p>
    <w:sectPr w:rsidR="0081769D" w:rsidRPr="00CC34CC" w:rsidSect="00C855A9">
      <w:footerReference w:type="default" r:id="rId11"/>
      <w:footerReference w:type="first" r:id="rId12"/>
      <w:pgSz w:w="11909" w:h="16834" w:code="9"/>
      <w:pgMar w:top="2700" w:right="1199"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85834" w14:textId="77777777" w:rsidR="00A259CA" w:rsidRDefault="00A259CA" w:rsidP="008A2929">
      <w:r>
        <w:separator/>
      </w:r>
    </w:p>
  </w:endnote>
  <w:endnote w:type="continuationSeparator" w:id="0">
    <w:p w14:paraId="2A34744B" w14:textId="77777777" w:rsidR="00A259CA" w:rsidRDefault="00A259CA"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23639" w14:textId="77777777" w:rsidR="00A259CA" w:rsidRDefault="00A259CA" w:rsidP="008A2929">
      <w:r>
        <w:separator/>
      </w:r>
    </w:p>
  </w:footnote>
  <w:footnote w:type="continuationSeparator" w:id="0">
    <w:p w14:paraId="1702FDCC" w14:textId="77777777" w:rsidR="00A259CA" w:rsidRDefault="00A259CA"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2641"/>
    <w:rsid w:val="002E4246"/>
    <w:rsid w:val="002E5653"/>
    <w:rsid w:val="002F2B92"/>
    <w:rsid w:val="00300438"/>
    <w:rsid w:val="00306E9C"/>
    <w:rsid w:val="003228F5"/>
    <w:rsid w:val="003363A6"/>
    <w:rsid w:val="00340211"/>
    <w:rsid w:val="00340A0F"/>
    <w:rsid w:val="00342379"/>
    <w:rsid w:val="0034412D"/>
    <w:rsid w:val="00346E4C"/>
    <w:rsid w:val="0035007A"/>
    <w:rsid w:val="00354C64"/>
    <w:rsid w:val="00372F2C"/>
    <w:rsid w:val="00393ADC"/>
    <w:rsid w:val="0039490B"/>
    <w:rsid w:val="00396A4C"/>
    <w:rsid w:val="003979DD"/>
    <w:rsid w:val="003C274F"/>
    <w:rsid w:val="003D1849"/>
    <w:rsid w:val="003D5C7C"/>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64EEC"/>
    <w:rsid w:val="00574BA1"/>
    <w:rsid w:val="00575411"/>
    <w:rsid w:val="005769EF"/>
    <w:rsid w:val="00580008"/>
    <w:rsid w:val="00587E2D"/>
    <w:rsid w:val="0059005B"/>
    <w:rsid w:val="005A63BB"/>
    <w:rsid w:val="005A793D"/>
    <w:rsid w:val="005B13E4"/>
    <w:rsid w:val="005C0205"/>
    <w:rsid w:val="005C7315"/>
    <w:rsid w:val="005C76A6"/>
    <w:rsid w:val="005D373B"/>
    <w:rsid w:val="006002A9"/>
    <w:rsid w:val="00605401"/>
    <w:rsid w:val="0060606A"/>
    <w:rsid w:val="0060775B"/>
    <w:rsid w:val="00612594"/>
    <w:rsid w:val="00615EE5"/>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71414"/>
    <w:rsid w:val="00671F9D"/>
    <w:rsid w:val="00677535"/>
    <w:rsid w:val="00682653"/>
    <w:rsid w:val="006924CA"/>
    <w:rsid w:val="00695590"/>
    <w:rsid w:val="006A35F3"/>
    <w:rsid w:val="006B0799"/>
    <w:rsid w:val="006B1CC4"/>
    <w:rsid w:val="006B3276"/>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66F9B"/>
    <w:rsid w:val="00784A65"/>
    <w:rsid w:val="00785DD6"/>
    <w:rsid w:val="007A4C4F"/>
    <w:rsid w:val="007A548C"/>
    <w:rsid w:val="007B2C46"/>
    <w:rsid w:val="007B3CA6"/>
    <w:rsid w:val="007B5F34"/>
    <w:rsid w:val="007C3289"/>
    <w:rsid w:val="007F5860"/>
    <w:rsid w:val="00806F74"/>
    <w:rsid w:val="0081575B"/>
    <w:rsid w:val="0081769D"/>
    <w:rsid w:val="00820D98"/>
    <w:rsid w:val="008255FD"/>
    <w:rsid w:val="00825D90"/>
    <w:rsid w:val="00834ED5"/>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C5557"/>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66F3"/>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A2DA3"/>
    <w:rsid w:val="00BB41A4"/>
    <w:rsid w:val="00BC31BC"/>
    <w:rsid w:val="00BC40BE"/>
    <w:rsid w:val="00BE78E3"/>
    <w:rsid w:val="00BF4910"/>
    <w:rsid w:val="00C00831"/>
    <w:rsid w:val="00C01425"/>
    <w:rsid w:val="00C277E6"/>
    <w:rsid w:val="00C30630"/>
    <w:rsid w:val="00C33FE5"/>
    <w:rsid w:val="00C36352"/>
    <w:rsid w:val="00C426F4"/>
    <w:rsid w:val="00C469B9"/>
    <w:rsid w:val="00C5740A"/>
    <w:rsid w:val="00C5758E"/>
    <w:rsid w:val="00C6410F"/>
    <w:rsid w:val="00C75AF9"/>
    <w:rsid w:val="00C84811"/>
    <w:rsid w:val="00C855A9"/>
    <w:rsid w:val="00C85D5D"/>
    <w:rsid w:val="00C95F35"/>
    <w:rsid w:val="00C95FE7"/>
    <w:rsid w:val="00C96417"/>
    <w:rsid w:val="00CA042C"/>
    <w:rsid w:val="00CB5F76"/>
    <w:rsid w:val="00CB7AA1"/>
    <w:rsid w:val="00CC1192"/>
    <w:rsid w:val="00CC1EDE"/>
    <w:rsid w:val="00CC34CC"/>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7EFE"/>
    <w:rsid w:val="00D45389"/>
    <w:rsid w:val="00D57917"/>
    <w:rsid w:val="00D6203D"/>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295F"/>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2F05"/>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C244E"/>
    <w:rsid w:val="00FC3407"/>
    <w:rsid w:val="00FD2CE5"/>
    <w:rsid w:val="00FD59DA"/>
    <w:rsid w:val="00FD6219"/>
    <w:rsid w:val="00FD659D"/>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A62136A8-F8B6-4EB1-9B61-BF4662865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724</Words>
  <Characters>4067</Characters>
  <Application>Microsoft Office Word</Application>
  <DocSecurity>0</DocSecurity>
  <Lines>60</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Tharinee Saksrisathaporn</cp:lastModifiedBy>
  <cp:revision>15</cp:revision>
  <cp:lastPrinted>2024-05-13T12:58:00Z</cp:lastPrinted>
  <dcterms:created xsi:type="dcterms:W3CDTF">2022-05-19T10:30:00Z</dcterms:created>
  <dcterms:modified xsi:type="dcterms:W3CDTF">2024-05-14T02:48:00Z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ies>
</file>