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A7723A" w14:paraId="7B93427D" w14:textId="77777777" w:rsidTr="00746E0C">
        <w:trPr>
          <w:trHeight w:val="2865"/>
        </w:trPr>
        <w:tc>
          <w:tcPr>
            <w:tcW w:w="2268" w:type="dxa"/>
            <w:shd w:val="clear" w:color="auto" w:fill="auto"/>
          </w:tcPr>
          <w:p w14:paraId="4226AC2C" w14:textId="77777777" w:rsidR="00A7723A" w:rsidRPr="00923D1D" w:rsidRDefault="00A7723A" w:rsidP="00746E0C">
            <w:pPr>
              <w:rPr>
                <w:rFonts w:ascii="Angsana New" w:hAnsi="Angsana New"/>
                <w:sz w:val="36"/>
                <w:szCs w:val="36"/>
              </w:rPr>
            </w:pPr>
          </w:p>
        </w:tc>
        <w:tc>
          <w:tcPr>
            <w:tcW w:w="7320" w:type="dxa"/>
            <w:shd w:val="clear" w:color="auto" w:fill="auto"/>
            <w:vAlign w:val="center"/>
          </w:tcPr>
          <w:p w14:paraId="274968C1" w14:textId="77777777" w:rsidR="00A7723A" w:rsidRPr="00FE74D1" w:rsidRDefault="00A7723A" w:rsidP="00A7723A">
            <w:pPr>
              <w:spacing w:line="380" w:lineRule="exact"/>
              <w:ind w:left="14"/>
              <w:rPr>
                <w:rFonts w:cs="Times New Roman"/>
                <w:color w:val="7E7F82"/>
                <w:sz w:val="28"/>
              </w:rPr>
            </w:pPr>
            <w:r w:rsidRPr="00FE74D1">
              <w:rPr>
                <w:rFonts w:cs="Times New Roman"/>
                <w:color w:val="7E7F82"/>
                <w:sz w:val="28"/>
              </w:rPr>
              <w:t>Power Solution Technologies Public Company Limited             and its subsidiaries</w:t>
            </w:r>
          </w:p>
          <w:p w14:paraId="7A975800" w14:textId="77777777" w:rsidR="00F9399D" w:rsidRDefault="00A7723A" w:rsidP="00A7723A">
            <w:pPr>
              <w:spacing w:line="380" w:lineRule="exact"/>
              <w:ind w:left="14"/>
              <w:rPr>
                <w:color w:val="7E7F82"/>
                <w:sz w:val="28"/>
              </w:rPr>
            </w:pPr>
            <w:r w:rsidRPr="00FE74D1">
              <w:rPr>
                <w:color w:val="7E7F82"/>
                <w:sz w:val="28"/>
              </w:rPr>
              <w:t xml:space="preserve">Review report and </w:t>
            </w:r>
            <w:r>
              <w:rPr>
                <w:color w:val="7E7F82"/>
                <w:sz w:val="28"/>
              </w:rPr>
              <w:t xml:space="preserve">consolidated and </w:t>
            </w:r>
          </w:p>
          <w:p w14:paraId="46446B43" w14:textId="5C1DB436" w:rsidR="00A7723A" w:rsidRPr="00FE74D1" w:rsidRDefault="00A7723A" w:rsidP="00A7723A">
            <w:pPr>
              <w:spacing w:line="380" w:lineRule="exact"/>
              <w:ind w:left="14"/>
              <w:rPr>
                <w:color w:val="7E7F82"/>
                <w:sz w:val="28"/>
              </w:rPr>
            </w:pPr>
            <w:r>
              <w:rPr>
                <w:color w:val="7E7F82"/>
                <w:sz w:val="28"/>
              </w:rPr>
              <w:t>separate</w:t>
            </w:r>
            <w:r w:rsidRPr="00FE74D1">
              <w:rPr>
                <w:color w:val="7E7F82"/>
                <w:sz w:val="28"/>
              </w:rPr>
              <w:t xml:space="preserve"> financial </w:t>
            </w:r>
            <w:r>
              <w:rPr>
                <w:color w:val="7E7F82"/>
                <w:sz w:val="28"/>
              </w:rPr>
              <w:t>information</w:t>
            </w:r>
          </w:p>
          <w:p w14:paraId="01631706" w14:textId="77777777" w:rsidR="00F9399D" w:rsidRDefault="00A7723A" w:rsidP="00A7723A">
            <w:pPr>
              <w:spacing w:line="380" w:lineRule="exact"/>
              <w:ind w:left="14"/>
              <w:rPr>
                <w:color w:val="7E7F82"/>
                <w:sz w:val="28"/>
              </w:rPr>
            </w:pPr>
            <w:r w:rsidRPr="00FE74D1">
              <w:rPr>
                <w:color w:val="7E7F82"/>
                <w:sz w:val="28"/>
              </w:rPr>
              <w:t xml:space="preserve">For the </w:t>
            </w:r>
            <w:r>
              <w:rPr>
                <w:color w:val="7E7F82"/>
                <w:sz w:val="28"/>
              </w:rPr>
              <w:t xml:space="preserve">three-month and six-month </w:t>
            </w:r>
            <w:r w:rsidRPr="00FE74D1">
              <w:rPr>
                <w:color w:val="7E7F82"/>
                <w:sz w:val="28"/>
              </w:rPr>
              <w:t>period</w:t>
            </w:r>
            <w:r>
              <w:rPr>
                <w:color w:val="7E7F82"/>
                <w:sz w:val="28"/>
              </w:rPr>
              <w:t>s</w:t>
            </w:r>
            <w:r w:rsidRPr="00FE74D1">
              <w:rPr>
                <w:color w:val="7E7F82"/>
                <w:sz w:val="28"/>
              </w:rPr>
              <w:t xml:space="preserve"> ended</w:t>
            </w:r>
            <w:r>
              <w:rPr>
                <w:rFonts w:hint="cs"/>
                <w:color w:val="7E7F82"/>
                <w:sz w:val="28"/>
                <w:cs/>
              </w:rPr>
              <w:t xml:space="preserve"> </w:t>
            </w:r>
          </w:p>
          <w:p w14:paraId="00594406" w14:textId="1B17F6C8" w:rsidR="00A7723A" w:rsidRPr="00923D1D" w:rsidRDefault="00A7723A" w:rsidP="00A7723A">
            <w:pPr>
              <w:spacing w:line="380" w:lineRule="exact"/>
              <w:ind w:left="14"/>
              <w:rPr>
                <w:rFonts w:cs="Times New Roman"/>
                <w:color w:val="7F7E82"/>
                <w:sz w:val="28"/>
              </w:rPr>
            </w:pPr>
            <w:r>
              <w:rPr>
                <w:color w:val="7E7F82"/>
                <w:sz w:val="28"/>
              </w:rPr>
              <w:t>30 June</w:t>
            </w:r>
            <w:r w:rsidRPr="00FE74D1">
              <w:rPr>
                <w:color w:val="7E7F82"/>
                <w:sz w:val="28"/>
              </w:rPr>
              <w:t xml:space="preserve"> </w:t>
            </w:r>
            <w:r>
              <w:rPr>
                <w:color w:val="7E7F82"/>
                <w:sz w:val="28"/>
              </w:rPr>
              <w:t>2024</w:t>
            </w:r>
          </w:p>
        </w:tc>
      </w:tr>
    </w:tbl>
    <w:p w14:paraId="5B6AAAF9" w14:textId="77777777" w:rsidR="00A7723A" w:rsidRDefault="00A7723A" w:rsidP="00A7723A">
      <w:pPr>
        <w:sectPr w:rsidR="00A7723A" w:rsidSect="00A7723A">
          <w:headerReference w:type="first" r:id="rId6"/>
          <w:pgSz w:w="11907" w:h="16840" w:code="9"/>
          <w:pgMar w:top="2160" w:right="1080" w:bottom="11520" w:left="360" w:header="720" w:footer="720" w:gutter="0"/>
          <w:cols w:space="720"/>
          <w:docGrid w:linePitch="360"/>
        </w:sectPr>
      </w:pPr>
    </w:p>
    <w:p w14:paraId="486EA161" w14:textId="77777777" w:rsidR="008B1568" w:rsidRPr="00512973" w:rsidRDefault="008B1568" w:rsidP="008B1568">
      <w:pPr>
        <w:pStyle w:val="ps-000-normal"/>
        <w:spacing w:before="360" w:after="0" w:line="340" w:lineRule="exact"/>
        <w:rPr>
          <w:rFonts w:ascii="Arial" w:hAnsi="Arial" w:cs="Arial"/>
          <w:b/>
          <w:bCs/>
          <w:sz w:val="22"/>
          <w:szCs w:val="22"/>
        </w:rPr>
      </w:pPr>
      <w:r w:rsidRPr="00512973">
        <w:rPr>
          <w:rFonts w:ascii="Arial" w:hAnsi="Arial" w:cs="Arial"/>
          <w:b/>
          <w:bCs/>
          <w:sz w:val="22"/>
          <w:szCs w:val="22"/>
        </w:rPr>
        <w:lastRenderedPageBreak/>
        <w:t>Independent Auditor’s Report on Review of Interim Financial Information</w:t>
      </w:r>
    </w:p>
    <w:p w14:paraId="5731F0EF" w14:textId="77777777" w:rsidR="008B1568" w:rsidRPr="00512973" w:rsidRDefault="008B1568" w:rsidP="008B1568">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Pr>
          <w:rFonts w:ascii="Arial" w:hAnsi="Arial" w:cs="Arial"/>
          <w:sz w:val="22"/>
          <w:szCs w:val="22"/>
        </w:rPr>
        <w:t xml:space="preserve">Public </w:t>
      </w:r>
      <w:r w:rsidRPr="00512973">
        <w:rPr>
          <w:rFonts w:ascii="Arial" w:hAnsi="Arial" w:cs="Arial"/>
          <w:sz w:val="22"/>
          <w:szCs w:val="22"/>
        </w:rPr>
        <w:t>Company Limited</w:t>
      </w:r>
    </w:p>
    <w:p w14:paraId="31F4F3D7" w14:textId="77777777" w:rsidR="008B1568" w:rsidRPr="00512973" w:rsidRDefault="008B1568" w:rsidP="008B1568">
      <w:pPr>
        <w:pStyle w:val="ps-000-normal"/>
        <w:spacing w:before="240" w:after="80" w:line="340" w:lineRule="exact"/>
        <w:rPr>
          <w:rFonts w:ascii="Arial" w:hAnsi="Arial" w:cs="Arial"/>
          <w:sz w:val="22"/>
          <w:szCs w:val="22"/>
        </w:rPr>
      </w:pPr>
      <w:r w:rsidRPr="00512973">
        <w:rPr>
          <w:rFonts w:ascii="Arial" w:hAnsi="Arial" w:cs="Arial"/>
          <w:sz w:val="22"/>
          <w:szCs w:val="22"/>
        </w:rPr>
        <w:t xml:space="preserve">I have reviewed the accompanying consolidated </w:t>
      </w:r>
      <w:r>
        <w:rPr>
          <w:rFonts w:ascii="Arial" w:hAnsi="Arial" w:cs="Arial"/>
          <w:sz w:val="22"/>
          <w:szCs w:val="22"/>
        </w:rPr>
        <w:t>financial information</w:t>
      </w:r>
      <w:r w:rsidRPr="00512973">
        <w:rPr>
          <w:rFonts w:ascii="Arial" w:hAnsi="Arial" w:cs="Arial"/>
          <w:sz w:val="22"/>
          <w:szCs w:val="22"/>
        </w:rPr>
        <w:t xml:space="preserve"> of Power Solution Technologies</w:t>
      </w:r>
      <w:r w:rsidRPr="00857080">
        <w:rPr>
          <w:rFonts w:ascii="Arial" w:hAnsi="Arial" w:cs="Arial"/>
          <w:sz w:val="22"/>
          <w:szCs w:val="22"/>
        </w:rPr>
        <w:t xml:space="preserve"> </w:t>
      </w:r>
      <w:r>
        <w:rPr>
          <w:rFonts w:ascii="Arial" w:hAnsi="Arial" w:cs="Arial"/>
          <w:sz w:val="22"/>
          <w:szCs w:val="22"/>
        </w:rPr>
        <w:t>Public</w:t>
      </w:r>
      <w:r w:rsidRPr="00512973">
        <w:rPr>
          <w:rFonts w:ascii="Arial" w:hAnsi="Arial" w:cs="Arial"/>
          <w:sz w:val="22"/>
          <w:szCs w:val="22"/>
        </w:rPr>
        <w:t xml:space="preserve"> Company Limited and its subsidiaries </w:t>
      </w:r>
      <w:r>
        <w:rPr>
          <w:rFonts w:ascii="Arial" w:hAnsi="Arial" w:cs="Arial"/>
          <w:sz w:val="22"/>
          <w:szCs w:val="22"/>
        </w:rPr>
        <w:t xml:space="preserve">(the Group), which comprises the consolidated statement of financial position </w:t>
      </w:r>
      <w:r w:rsidRPr="00512973">
        <w:rPr>
          <w:rFonts w:ascii="Arial" w:hAnsi="Arial" w:cs="Arial"/>
          <w:sz w:val="22"/>
          <w:szCs w:val="22"/>
        </w:rPr>
        <w:t xml:space="preserve">as at </w:t>
      </w:r>
      <w:r>
        <w:rPr>
          <w:rFonts w:ascii="Arial" w:hAnsi="Arial" w:cs="Arial"/>
          <w:sz w:val="22"/>
          <w:szCs w:val="22"/>
        </w:rPr>
        <w:t>30 June 2024</w:t>
      </w:r>
      <w:r w:rsidRPr="00512973">
        <w:rPr>
          <w:rFonts w:ascii="Arial" w:hAnsi="Arial" w:cs="Arial"/>
          <w:sz w:val="22"/>
          <w:szCs w:val="22"/>
        </w:rPr>
        <w:t>, the</w:t>
      </w:r>
      <w:r>
        <w:rPr>
          <w:rFonts w:ascii="Arial" w:hAnsi="Arial" w:cs="Arial"/>
          <w:sz w:val="22"/>
          <w:szCs w:val="22"/>
        </w:rPr>
        <w:t xml:space="preserve"> related consolidated statement</w:t>
      </w:r>
      <w:r>
        <w:rPr>
          <w:rFonts w:ascii="Arial" w:hAnsi="Arial" w:cs="Browallia New"/>
          <w:sz w:val="22"/>
          <w:szCs w:val="28"/>
        </w:rPr>
        <w:t>s</w:t>
      </w:r>
      <w:r w:rsidRPr="00512973">
        <w:rPr>
          <w:rFonts w:ascii="Arial" w:hAnsi="Arial" w:cs="Arial"/>
          <w:sz w:val="22"/>
          <w:szCs w:val="22"/>
        </w:rPr>
        <w:t xml:space="preserve"> of comprehensive incom</w:t>
      </w:r>
      <w:r>
        <w:rPr>
          <w:rFonts w:ascii="Arial" w:hAnsi="Arial" w:cs="Browallia New"/>
          <w:sz w:val="22"/>
          <w:szCs w:val="28"/>
        </w:rPr>
        <w:t xml:space="preserve">e for the three-month and six-month periods then ended,    and the related consolidated statements of </w:t>
      </w:r>
      <w:r w:rsidRPr="00E42450">
        <w:rPr>
          <w:rFonts w:ascii="Arial" w:hAnsi="Arial" w:cs="Arial"/>
          <w:sz w:val="22"/>
          <w:szCs w:val="22"/>
        </w:rPr>
        <w:t>changes in shareholders’ equity and</w:t>
      </w:r>
      <w:r>
        <w:rPr>
          <w:rFonts w:ascii="Arial" w:hAnsi="Arial" w:cs="Arial"/>
          <w:sz w:val="22"/>
          <w:szCs w:val="22"/>
        </w:rPr>
        <w:t xml:space="preserve"> </w:t>
      </w:r>
      <w:r w:rsidRPr="00E42450">
        <w:rPr>
          <w:rFonts w:ascii="Arial" w:hAnsi="Arial" w:cs="Arial"/>
          <w:sz w:val="22"/>
          <w:szCs w:val="22"/>
        </w:rPr>
        <w:t xml:space="preserve">cash flows </w:t>
      </w:r>
      <w:r>
        <w:rPr>
          <w:rFonts w:ascii="Arial" w:hAnsi="Arial" w:cs="Arial"/>
          <w:sz w:val="22"/>
          <w:szCs w:val="22"/>
        </w:rPr>
        <w:t xml:space="preserve">           </w:t>
      </w:r>
      <w:r w:rsidRPr="00E42450">
        <w:rPr>
          <w:rFonts w:ascii="Arial" w:hAnsi="Arial" w:cs="Arial"/>
          <w:sz w:val="22"/>
          <w:szCs w:val="22"/>
        </w:rPr>
        <w:t xml:space="preserve">for the </w:t>
      </w:r>
      <w:r>
        <w:rPr>
          <w:rFonts w:ascii="Arial" w:hAnsi="Arial" w:cs="Arial"/>
          <w:sz w:val="22"/>
          <w:szCs w:val="22"/>
        </w:rPr>
        <w:t>six</w:t>
      </w:r>
      <w:r w:rsidRPr="00E42450">
        <w:rPr>
          <w:rFonts w:ascii="Arial" w:hAnsi="Arial" w:cs="Arial"/>
          <w:sz w:val="22"/>
          <w:szCs w:val="22"/>
        </w:rPr>
        <w:t xml:space="preserve">-month period </w:t>
      </w:r>
      <w:r>
        <w:rPr>
          <w:rFonts w:ascii="Arial" w:hAnsi="Arial" w:cs="Arial"/>
          <w:sz w:val="22"/>
          <w:szCs w:val="22"/>
        </w:rPr>
        <w:t>then ended</w:t>
      </w:r>
      <w:r w:rsidRPr="00E42450">
        <w:rPr>
          <w:rFonts w:ascii="Arial" w:hAnsi="Arial" w:cs="Arial"/>
          <w:sz w:val="22"/>
          <w:szCs w:val="22"/>
        </w:rPr>
        <w:t>,</w:t>
      </w:r>
      <w:r w:rsidRPr="00512973">
        <w:rPr>
          <w:rFonts w:ascii="Arial" w:hAnsi="Arial" w:cs="Arial"/>
          <w:sz w:val="22"/>
          <w:szCs w:val="22"/>
        </w:rPr>
        <w:t xml:space="preserve"> as well as the condensed notes to the </w:t>
      </w:r>
      <w:r>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Pr>
          <w:rFonts w:ascii="Arial" w:hAnsi="Arial" w:cs="Arial"/>
          <w:sz w:val="22"/>
          <w:szCs w:val="22"/>
        </w:rPr>
        <w:t xml:space="preserve">Public </w:t>
      </w:r>
      <w:r w:rsidRPr="00512973">
        <w:rPr>
          <w:rFonts w:ascii="Arial" w:hAnsi="Arial" w:cs="Arial"/>
          <w:sz w:val="22"/>
          <w:szCs w:val="22"/>
        </w:rPr>
        <w:t>Company Limited for the same period</w:t>
      </w:r>
      <w:r>
        <w:rPr>
          <w:rFonts w:ascii="Arial" w:hAnsi="Arial" w:cs="Arial"/>
          <w:sz w:val="22"/>
          <w:szCs w:val="22"/>
        </w:rPr>
        <w:t>s (collectively “the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Pr>
          <w:rFonts w:ascii="Arial" w:hAnsi="Arial" w:cs="Arial"/>
          <w:sz w:val="22"/>
          <w:szCs w:val="22"/>
        </w:rPr>
        <w:t xml:space="preserve"> </w:t>
      </w:r>
      <w:r w:rsidRPr="007747FC">
        <w:rPr>
          <w:rFonts w:ascii="Arial" w:hAnsi="Arial" w:cs="Arial"/>
          <w:i/>
          <w:iCs/>
          <w:sz w:val="22"/>
          <w:szCs w:val="22"/>
        </w:rPr>
        <w:t>Interim Financial Reporting</w:t>
      </w:r>
      <w:r w:rsidRPr="00512973">
        <w:rPr>
          <w:rFonts w:ascii="Arial" w:hAnsi="Arial" w:cs="Arial"/>
          <w:sz w:val="22"/>
          <w:szCs w:val="22"/>
        </w:rPr>
        <w:t>.</w:t>
      </w:r>
      <w:r>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1D3B51FB" w14:textId="77777777" w:rsidR="008B1568" w:rsidRPr="00512973" w:rsidRDefault="008B1568" w:rsidP="008B1568">
      <w:pPr>
        <w:spacing w:before="80" w:after="80" w:line="340" w:lineRule="exact"/>
        <w:rPr>
          <w:rFonts w:ascii="Arial" w:hAnsi="Arial" w:cs="Arial"/>
          <w:b/>
          <w:bCs/>
          <w:sz w:val="22"/>
          <w:szCs w:val="22"/>
        </w:rPr>
      </w:pPr>
      <w:r w:rsidRPr="00512973">
        <w:rPr>
          <w:rFonts w:ascii="Arial" w:hAnsi="Arial" w:cs="Arial"/>
          <w:b/>
          <w:bCs/>
          <w:sz w:val="22"/>
          <w:szCs w:val="22"/>
        </w:rPr>
        <w:t>Scope of Review</w:t>
      </w:r>
    </w:p>
    <w:p w14:paraId="07C4B99E" w14:textId="77777777" w:rsidR="008B1568" w:rsidRPr="00512973" w:rsidRDefault="008B1568" w:rsidP="008B1568">
      <w:pPr>
        <w:pStyle w:val="ps-000-normal"/>
        <w:spacing w:before="80" w:after="80" w:line="34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7747FC">
        <w:rPr>
          <w:rFonts w:ascii="Arial" w:hAnsi="Arial" w:cs="Arial"/>
          <w:i/>
          <w:iCs/>
          <w:sz w:val="22"/>
          <w:szCs w:val="22"/>
        </w:rPr>
        <w:t>Review of Interim Financial Information Performed by the Independent Auditor of the Entity</w:t>
      </w:r>
      <w:r>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11950D" w14:textId="77777777" w:rsidR="008B1568" w:rsidRPr="00512973" w:rsidRDefault="008B1568" w:rsidP="008B1568">
      <w:pPr>
        <w:spacing w:before="80" w:after="80" w:line="340" w:lineRule="exact"/>
        <w:rPr>
          <w:rFonts w:ascii="Arial" w:hAnsi="Arial" w:cs="Arial"/>
          <w:b/>
          <w:bCs/>
          <w:sz w:val="22"/>
          <w:szCs w:val="22"/>
        </w:rPr>
      </w:pPr>
      <w:r w:rsidRPr="00512973">
        <w:rPr>
          <w:rFonts w:ascii="Arial" w:hAnsi="Arial" w:cs="Arial"/>
          <w:b/>
          <w:bCs/>
          <w:sz w:val="22"/>
          <w:szCs w:val="22"/>
        </w:rPr>
        <w:t>Conclusion</w:t>
      </w:r>
    </w:p>
    <w:p w14:paraId="3A8FE578" w14:textId="77777777" w:rsidR="008B1568" w:rsidRDefault="008B1568" w:rsidP="008B1568">
      <w:pPr>
        <w:pStyle w:val="ps-000-normal"/>
        <w:spacing w:before="80" w:after="80" w:line="340" w:lineRule="exact"/>
        <w:rPr>
          <w:rFonts w:ascii="Arial" w:hAnsi="Arial" w:cstheme="minorBidi"/>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Pr>
          <w:rFonts w:ascii="Arial" w:hAnsi="Arial" w:cs="Arial"/>
          <w:sz w:val="22"/>
          <w:szCs w:val="22"/>
        </w:rPr>
        <w:t xml:space="preserve"> </w:t>
      </w:r>
      <w:r w:rsidRPr="007747FC">
        <w:rPr>
          <w:rFonts w:ascii="Arial" w:hAnsi="Arial" w:cs="Arial"/>
          <w:i/>
          <w:iCs/>
          <w:sz w:val="22"/>
          <w:szCs w:val="22"/>
        </w:rPr>
        <w:t>Interim Financial Reporting</w:t>
      </w:r>
      <w:r w:rsidRPr="004D68DE">
        <w:rPr>
          <w:rFonts w:ascii="Arial" w:hAnsi="Arial" w:cs="Arial"/>
          <w:sz w:val="22"/>
          <w:szCs w:val="22"/>
        </w:rPr>
        <w:t>.</w:t>
      </w:r>
    </w:p>
    <w:p w14:paraId="2C71B1A7" w14:textId="77777777" w:rsidR="008B1568" w:rsidRDefault="008B1568" w:rsidP="008B1568">
      <w:pPr>
        <w:pStyle w:val="ps-000-normal"/>
        <w:spacing w:before="80" w:after="80" w:line="340" w:lineRule="exact"/>
        <w:rPr>
          <w:rFonts w:ascii="Arial" w:hAnsi="Arial" w:cstheme="minorBidi"/>
          <w:sz w:val="22"/>
          <w:szCs w:val="22"/>
        </w:rPr>
      </w:pPr>
    </w:p>
    <w:p w14:paraId="2C9221A1" w14:textId="77777777" w:rsidR="00A7723A" w:rsidRDefault="00A7723A" w:rsidP="008B1568">
      <w:pPr>
        <w:pStyle w:val="ps-000-normal"/>
        <w:spacing w:before="120" w:line="380" w:lineRule="exact"/>
        <w:rPr>
          <w:rFonts w:ascii="Arial" w:hAnsi="Arial" w:cstheme="minorBidi"/>
          <w:b/>
          <w:bCs/>
          <w:sz w:val="22"/>
          <w:szCs w:val="22"/>
        </w:rPr>
        <w:sectPr w:rsidR="00A7723A" w:rsidSect="00A7723A">
          <w:footerReference w:type="first" r:id="rId7"/>
          <w:pgSz w:w="11909" w:h="16834" w:code="9"/>
          <w:pgMar w:top="2880" w:right="1080" w:bottom="1080" w:left="1296" w:header="706" w:footer="706" w:gutter="0"/>
          <w:pgNumType w:start="2"/>
          <w:cols w:space="720"/>
          <w:titlePg/>
          <w:docGrid w:linePitch="326"/>
        </w:sectPr>
      </w:pPr>
      <w:bookmarkStart w:id="0" w:name="_Hlk174033992"/>
      <w:bookmarkStart w:id="1" w:name="_Hlk160124439"/>
    </w:p>
    <w:p w14:paraId="1B9F8C66" w14:textId="77777777" w:rsidR="008B1568" w:rsidRDefault="008B1568" w:rsidP="008B1568">
      <w:pPr>
        <w:pStyle w:val="ps-000-normal"/>
        <w:spacing w:before="120" w:line="380" w:lineRule="exact"/>
        <w:rPr>
          <w:rFonts w:ascii="Arial" w:hAnsi="Arial" w:cstheme="minorBidi"/>
          <w:b/>
          <w:bCs/>
          <w:sz w:val="22"/>
          <w:szCs w:val="22"/>
        </w:rPr>
      </w:pPr>
      <w:r>
        <w:rPr>
          <w:rFonts w:ascii="Arial" w:hAnsi="Arial" w:cstheme="minorBidi"/>
          <w:b/>
          <w:bCs/>
          <w:sz w:val="22"/>
          <w:szCs w:val="22"/>
        </w:rPr>
        <w:lastRenderedPageBreak/>
        <w:t>Emphasis of Matter</w:t>
      </w:r>
    </w:p>
    <w:p w14:paraId="62A91332" w14:textId="26629178" w:rsidR="008B1568" w:rsidRDefault="008B1568" w:rsidP="008B1568">
      <w:pPr>
        <w:pStyle w:val="ps-000-normal"/>
        <w:spacing w:before="120" w:line="380" w:lineRule="exact"/>
        <w:rPr>
          <w:rFonts w:ascii="Arial" w:hAnsi="Arial" w:cstheme="minorBidi"/>
          <w:sz w:val="22"/>
          <w:szCs w:val="22"/>
        </w:rPr>
      </w:pPr>
      <w:r w:rsidRPr="00EC1BFE">
        <w:rPr>
          <w:rFonts w:ascii="Arial" w:hAnsi="Arial" w:cstheme="minorBidi"/>
          <w:sz w:val="22"/>
          <w:szCs w:val="22"/>
        </w:rPr>
        <w:t xml:space="preserve">As </w:t>
      </w:r>
      <w:r>
        <w:rPr>
          <w:rFonts w:ascii="Arial" w:hAnsi="Arial" w:cstheme="minorBidi"/>
          <w:sz w:val="22"/>
          <w:szCs w:val="22"/>
        </w:rPr>
        <w:t xml:space="preserve">described in </w:t>
      </w:r>
      <w:r w:rsidRPr="00EC7D03">
        <w:rPr>
          <w:rFonts w:ascii="Arial" w:hAnsi="Arial" w:cstheme="minorBidi"/>
          <w:sz w:val="22"/>
          <w:szCs w:val="22"/>
        </w:rPr>
        <w:t xml:space="preserve">note </w:t>
      </w:r>
      <w:r>
        <w:rPr>
          <w:rFonts w:ascii="Arial" w:hAnsi="Arial" w:cstheme="minorBidi"/>
          <w:sz w:val="22"/>
          <w:szCs w:val="22"/>
        </w:rPr>
        <w:t xml:space="preserve">9 </w:t>
      </w:r>
      <w:r w:rsidRPr="00EC7D03">
        <w:rPr>
          <w:rFonts w:ascii="Arial" w:hAnsi="Arial" w:cstheme="minorBidi"/>
          <w:sz w:val="22"/>
          <w:szCs w:val="22"/>
        </w:rPr>
        <w:t>to</w:t>
      </w:r>
      <w:r>
        <w:rPr>
          <w:rFonts w:ascii="Arial" w:hAnsi="Arial" w:cstheme="minorBidi"/>
          <w:sz w:val="22"/>
          <w:szCs w:val="22"/>
        </w:rPr>
        <w:t xml:space="preserve"> the</w:t>
      </w:r>
      <w:r w:rsidRPr="00EC7D03">
        <w:rPr>
          <w:rFonts w:ascii="Arial" w:hAnsi="Arial" w:cstheme="minorBidi"/>
          <w:sz w:val="22"/>
          <w:szCs w:val="22"/>
        </w:rPr>
        <w:t xml:space="preserve"> condensed interim financial statements</w:t>
      </w:r>
      <w:r>
        <w:rPr>
          <w:rFonts w:ascii="Arial" w:hAnsi="Arial" w:cstheme="minorBidi"/>
          <w:sz w:val="22"/>
          <w:szCs w:val="22"/>
        </w:rPr>
        <w:t xml:space="preserve">, the Group has debentures to be matured in July 2024, totaling Baht 788.2 million. To address this, the Group has </w:t>
      </w:r>
      <w:r w:rsidRPr="00031E23">
        <w:rPr>
          <w:rFonts w:ascii="Arial" w:hAnsi="Arial" w:cstheme="minorBidi"/>
          <w:sz w:val="22"/>
          <w:szCs w:val="22"/>
        </w:rPr>
        <w:t>undertaken actions</w:t>
      </w:r>
      <w:r>
        <w:rPr>
          <w:rFonts w:ascii="Arial" w:hAnsi="Arial" w:cstheme="minorBidi"/>
          <w:sz w:val="22"/>
          <w:szCs w:val="22"/>
        </w:rPr>
        <w:t xml:space="preserve"> to seek additional funds to repay</w:t>
      </w:r>
      <w:r w:rsidRPr="00590B6E">
        <w:rPr>
          <w:rFonts w:ascii="Arial" w:hAnsi="Arial" w:cstheme="minorBidi"/>
          <w:sz w:val="22"/>
          <w:szCs w:val="22"/>
        </w:rPr>
        <w:t xml:space="preserve"> these matured debentures </w:t>
      </w:r>
      <w:r w:rsidRPr="00FB3630">
        <w:rPr>
          <w:rFonts w:ascii="Arial" w:hAnsi="Arial" w:cstheme="minorBidi"/>
          <w:sz w:val="22"/>
          <w:szCs w:val="22"/>
        </w:rPr>
        <w:t>and maintain necessary operating cash flows</w:t>
      </w:r>
      <w:r>
        <w:rPr>
          <w:rFonts w:ascii="Arial" w:hAnsi="Arial" w:cstheme="minorBidi"/>
          <w:sz w:val="22"/>
          <w:szCs w:val="22"/>
        </w:rPr>
        <w:t xml:space="preserve"> through the issuance of new debentures. On 29 February 2024, the Company successfully completed the issuance and offering of these debentures, raising a total of Baht 332.0 million. </w:t>
      </w:r>
      <w:bookmarkEnd w:id="0"/>
      <w:r>
        <w:rPr>
          <w:rFonts w:ascii="Arial" w:hAnsi="Arial" w:cstheme="minorBidi"/>
          <w:sz w:val="22"/>
          <w:szCs w:val="22"/>
        </w:rPr>
        <w:t>Furthermore, o</w:t>
      </w:r>
      <w:r w:rsidRPr="002A1704">
        <w:rPr>
          <w:rFonts w:ascii="Arial" w:hAnsi="Arial" w:cstheme="minorBidi"/>
          <w:sz w:val="22"/>
          <w:szCs w:val="22"/>
        </w:rPr>
        <w:t>n 1</w:t>
      </w:r>
      <w:r>
        <w:rPr>
          <w:rFonts w:ascii="Arial" w:hAnsi="Arial" w:cstheme="minorBidi"/>
          <w:sz w:val="22"/>
          <w:szCs w:val="22"/>
        </w:rPr>
        <w:t>0</w:t>
      </w:r>
      <w:r w:rsidRPr="002A1704">
        <w:rPr>
          <w:rFonts w:ascii="Arial" w:hAnsi="Arial" w:cstheme="minorBidi"/>
          <w:sz w:val="22"/>
          <w:szCs w:val="22"/>
        </w:rPr>
        <w:t xml:space="preserve"> April 2024,</w:t>
      </w:r>
      <w:r>
        <w:rPr>
          <w:rFonts w:ascii="Arial" w:hAnsi="Arial" w:cstheme="minorBidi"/>
          <w:sz w:val="22"/>
          <w:szCs w:val="22"/>
        </w:rPr>
        <w:t xml:space="preserve"> </w:t>
      </w:r>
      <w:r w:rsidRPr="00DA3522">
        <w:rPr>
          <w:rFonts w:ascii="Arial" w:hAnsi="Arial" w:cstheme="minorBidi"/>
          <w:sz w:val="22"/>
          <w:szCs w:val="22"/>
        </w:rPr>
        <w:t xml:space="preserve">the Annual General Meeting of the Company’s shareholders approved the issuance and offering of new ordinary shares of Baht 1,185.97 million to existing shareholders in proportion to their shareholding, excluding </w:t>
      </w:r>
      <w:r>
        <w:rPr>
          <w:rFonts w:ascii="Arial" w:hAnsi="Arial" w:cstheme="minorBidi"/>
          <w:sz w:val="22"/>
          <w:szCs w:val="22"/>
        </w:rPr>
        <w:t>those</w:t>
      </w:r>
      <w:r w:rsidRPr="000423F0">
        <w:t xml:space="preserve"> </w:t>
      </w:r>
      <w:r w:rsidRPr="000423F0">
        <w:rPr>
          <w:rFonts w:ascii="Arial" w:hAnsi="Arial" w:cstheme="minorBidi"/>
          <w:sz w:val="22"/>
          <w:szCs w:val="22"/>
        </w:rPr>
        <w:t xml:space="preserve">whose participation </w:t>
      </w:r>
      <w:r>
        <w:rPr>
          <w:rFonts w:ascii="Arial" w:hAnsi="Arial" w:cstheme="minorBidi"/>
          <w:sz w:val="22"/>
          <w:szCs w:val="22"/>
        </w:rPr>
        <w:t>will</w:t>
      </w:r>
      <w:r w:rsidRPr="000423F0">
        <w:rPr>
          <w:rFonts w:ascii="Arial" w:hAnsi="Arial" w:cstheme="minorBidi"/>
          <w:sz w:val="22"/>
          <w:szCs w:val="22"/>
        </w:rPr>
        <w:t xml:space="preserve"> impose </w:t>
      </w:r>
      <w:r>
        <w:rPr>
          <w:rFonts w:ascii="Arial" w:hAnsi="Arial" w:cstheme="minorBidi"/>
          <w:sz w:val="22"/>
          <w:szCs w:val="22"/>
        </w:rPr>
        <w:t xml:space="preserve">legal </w:t>
      </w:r>
      <w:r w:rsidRPr="000423F0">
        <w:rPr>
          <w:rFonts w:ascii="Arial" w:hAnsi="Arial" w:cstheme="minorBidi"/>
          <w:sz w:val="22"/>
          <w:szCs w:val="22"/>
        </w:rPr>
        <w:t xml:space="preserve">obligations </w:t>
      </w:r>
      <w:r>
        <w:rPr>
          <w:rFonts w:ascii="Arial" w:hAnsi="Arial" w:cstheme="minorBidi"/>
          <w:sz w:val="22"/>
          <w:szCs w:val="22"/>
        </w:rPr>
        <w:t>on the Company</w:t>
      </w:r>
      <w:r w:rsidR="00A7723A">
        <w:rPr>
          <w:rFonts w:ascii="Arial" w:hAnsi="Arial" w:cstheme="minorBidi"/>
          <w:sz w:val="22"/>
          <w:szCs w:val="22"/>
        </w:rPr>
        <w:t xml:space="preserve"> </w:t>
      </w:r>
      <w:r w:rsidRPr="00DA3522">
        <w:rPr>
          <w:rFonts w:ascii="Arial" w:hAnsi="Arial" w:cstheme="minorBidi"/>
          <w:sz w:val="22"/>
          <w:szCs w:val="22"/>
        </w:rPr>
        <w:t>under foreign law (Preferential Public Offering)</w:t>
      </w:r>
      <w:r>
        <w:rPr>
          <w:rFonts w:ascii="Arial" w:hAnsi="Arial" w:cstheme="minorBidi"/>
          <w:sz w:val="22"/>
          <w:szCs w:val="22"/>
        </w:rPr>
        <w:t xml:space="preserve">. </w:t>
      </w:r>
      <w:r w:rsidRPr="0099107B">
        <w:rPr>
          <w:rFonts w:ascii="Arial" w:hAnsi="Arial" w:cstheme="minorBidi"/>
          <w:sz w:val="22"/>
          <w:szCs w:val="22"/>
        </w:rPr>
        <w:t xml:space="preserve">The offering </w:t>
      </w:r>
      <w:r w:rsidR="00FB7ED4">
        <w:rPr>
          <w:rFonts w:ascii="Arial" w:hAnsi="Arial" w:cstheme="minorBidi"/>
          <w:sz w:val="22"/>
          <w:szCs w:val="22"/>
        </w:rPr>
        <w:t>was</w:t>
      </w:r>
      <w:r w:rsidRPr="0099107B">
        <w:rPr>
          <w:rFonts w:ascii="Arial" w:hAnsi="Arial" w:cstheme="minorBidi"/>
          <w:sz w:val="22"/>
          <w:szCs w:val="22"/>
        </w:rPr>
        <w:t xml:space="preserve"> scheduled </w:t>
      </w:r>
      <w:r>
        <w:rPr>
          <w:rFonts w:ascii="Arial" w:hAnsi="Arial" w:cstheme="minorBidi"/>
          <w:sz w:val="22"/>
          <w:szCs w:val="22"/>
        </w:rPr>
        <w:t>for</w:t>
      </w:r>
      <w:r w:rsidRPr="00DA3522">
        <w:rPr>
          <w:rFonts w:ascii="Arial" w:hAnsi="Arial" w:cstheme="minorBidi"/>
          <w:sz w:val="22"/>
          <w:szCs w:val="22"/>
        </w:rPr>
        <w:t xml:space="preserve"> May 2024.</w:t>
      </w:r>
      <w:r>
        <w:rPr>
          <w:rFonts w:ascii="Arial" w:hAnsi="Arial" w:cstheme="minorBidi"/>
          <w:sz w:val="22"/>
          <w:szCs w:val="22"/>
        </w:rPr>
        <w:t xml:space="preserve"> </w:t>
      </w:r>
      <w:r w:rsidRPr="00B9100E">
        <w:rPr>
          <w:rFonts w:ascii="Arial" w:hAnsi="Arial" w:cstheme="minorBidi"/>
          <w:sz w:val="22"/>
          <w:szCs w:val="22"/>
        </w:rPr>
        <w:t>The</w:t>
      </w:r>
      <w:r>
        <w:rPr>
          <w:rFonts w:ascii="Arial" w:hAnsi="Arial" w:cstheme="minorBidi"/>
          <w:sz w:val="22"/>
          <w:szCs w:val="22"/>
        </w:rPr>
        <w:t xml:space="preserve"> Company received payment for newly issued ordinary shares on 10 and 13 - 16 May 2024, totaling Baht 546.4 million. On</w:t>
      </w:r>
      <w:r w:rsidRPr="002A1704">
        <w:rPr>
          <w:rFonts w:ascii="Arial" w:hAnsi="Arial" w:cstheme="minorBidi"/>
          <w:sz w:val="22"/>
          <w:szCs w:val="22"/>
        </w:rPr>
        <w:t xml:space="preserve"> 17 April 2024, the </w:t>
      </w:r>
      <w:r>
        <w:rPr>
          <w:rFonts w:ascii="Arial" w:hAnsi="Arial" w:cstheme="minorBidi"/>
          <w:sz w:val="22"/>
          <w:szCs w:val="22"/>
        </w:rPr>
        <w:t>Group</w:t>
      </w:r>
      <w:r w:rsidRPr="002A1704">
        <w:rPr>
          <w:rFonts w:ascii="Arial" w:hAnsi="Arial" w:cstheme="minorBidi"/>
          <w:sz w:val="22"/>
          <w:szCs w:val="22"/>
        </w:rPr>
        <w:t xml:space="preserve"> partially redeemed issued and secured debentures </w:t>
      </w:r>
      <w:r w:rsidRPr="00514436">
        <w:rPr>
          <w:rFonts w:ascii="Arial" w:hAnsi="Arial" w:cstheme="minorBidi"/>
          <w:sz w:val="22"/>
          <w:szCs w:val="22"/>
        </w:rPr>
        <w:t>totaling Baht 327.0 million</w:t>
      </w:r>
      <w:r>
        <w:rPr>
          <w:rFonts w:ascii="Arial" w:hAnsi="Arial" w:cstheme="minorBidi"/>
          <w:sz w:val="22"/>
          <w:szCs w:val="22"/>
        </w:rPr>
        <w:t xml:space="preserve"> </w:t>
      </w:r>
      <w:r w:rsidRPr="002A1704">
        <w:rPr>
          <w:rFonts w:ascii="Arial" w:hAnsi="Arial" w:cstheme="minorBidi"/>
          <w:sz w:val="22"/>
          <w:szCs w:val="22"/>
        </w:rPr>
        <w:t xml:space="preserve">before </w:t>
      </w:r>
      <w:r>
        <w:rPr>
          <w:rFonts w:ascii="Arial" w:hAnsi="Arial" w:cstheme="minorBidi"/>
          <w:sz w:val="22"/>
          <w:szCs w:val="22"/>
        </w:rPr>
        <w:t xml:space="preserve">their </w:t>
      </w:r>
      <w:r w:rsidRPr="002A1704">
        <w:rPr>
          <w:rFonts w:ascii="Arial" w:hAnsi="Arial" w:cstheme="minorBidi"/>
          <w:sz w:val="22"/>
          <w:szCs w:val="22"/>
        </w:rPr>
        <w:t>maturity date</w:t>
      </w:r>
      <w:r>
        <w:rPr>
          <w:rFonts w:ascii="Arial" w:hAnsi="Arial" w:cstheme="minorBidi"/>
          <w:sz w:val="22"/>
          <w:szCs w:val="22"/>
        </w:rPr>
        <w:t xml:space="preserve"> in July 2024, in order to alleviate interest payments and reduce the Group’s expenses. As a result, as at 30 June 2024, the Group had the outstanding debentures of Baht 461.2 million, which were due within one year. On 5 July 2024, the Group </w:t>
      </w:r>
      <w:r w:rsidRPr="002A1704">
        <w:rPr>
          <w:rFonts w:ascii="Arial" w:hAnsi="Arial" w:cstheme="minorBidi"/>
          <w:sz w:val="22"/>
          <w:szCs w:val="22"/>
        </w:rPr>
        <w:t xml:space="preserve">redeemed </w:t>
      </w:r>
      <w:r>
        <w:rPr>
          <w:rFonts w:ascii="Arial" w:hAnsi="Arial" w:cstheme="minorBidi"/>
          <w:sz w:val="22"/>
          <w:szCs w:val="22"/>
        </w:rPr>
        <w:t xml:space="preserve">such remaining </w:t>
      </w:r>
      <w:r w:rsidRPr="002A1704">
        <w:rPr>
          <w:rFonts w:ascii="Arial" w:hAnsi="Arial" w:cstheme="minorBidi"/>
          <w:sz w:val="22"/>
          <w:szCs w:val="22"/>
        </w:rPr>
        <w:t>issued and secured debentures</w:t>
      </w:r>
      <w:r>
        <w:rPr>
          <w:rFonts w:ascii="Arial" w:hAnsi="Arial" w:cstheme="minorBidi"/>
          <w:sz w:val="22"/>
          <w:szCs w:val="22"/>
        </w:rPr>
        <w:t xml:space="preserve"> in full.</w:t>
      </w:r>
    </w:p>
    <w:p w14:paraId="0B523F75" w14:textId="2E7382CF" w:rsidR="008B1568" w:rsidRDefault="008B1568" w:rsidP="008B1568">
      <w:pPr>
        <w:pStyle w:val="ps-000-normal"/>
        <w:spacing w:before="120" w:line="380" w:lineRule="exact"/>
        <w:rPr>
          <w:rFonts w:ascii="Arial" w:hAnsi="Arial" w:cstheme="minorBidi"/>
          <w:sz w:val="22"/>
          <w:szCs w:val="22"/>
        </w:rPr>
      </w:pPr>
      <w:r w:rsidRPr="002B0632">
        <w:rPr>
          <w:rFonts w:ascii="Arial" w:hAnsi="Arial" w:cstheme="minorBidi"/>
          <w:sz w:val="22"/>
          <w:szCs w:val="22"/>
        </w:rPr>
        <w:t>Subsequently, on 27 June 2024, the Board of Directors</w:t>
      </w:r>
      <w:r>
        <w:rPr>
          <w:rFonts w:ascii="Arial" w:hAnsi="Arial" w:cstheme="minorBidi"/>
          <w:sz w:val="22"/>
          <w:szCs w:val="22"/>
        </w:rPr>
        <w:t>’</w:t>
      </w:r>
      <w:r w:rsidRPr="002B0632">
        <w:rPr>
          <w:rFonts w:ascii="Arial" w:hAnsi="Arial" w:cstheme="minorBidi"/>
          <w:sz w:val="22"/>
          <w:szCs w:val="22"/>
        </w:rPr>
        <w:t xml:space="preserve"> Meeting of the Company approved the issuance and offering of new debentures, utilising the remaining portion of the previously approved amount limit, with a maximum offering value of Baht 300 million</w:t>
      </w:r>
      <w:r>
        <w:rPr>
          <w:rFonts w:ascii="Arial" w:hAnsi="Arial" w:cstheme="minorBidi"/>
          <w:sz w:val="22"/>
          <w:szCs w:val="22"/>
        </w:rPr>
        <w:t>.</w:t>
      </w:r>
      <w:r w:rsidRPr="002B0632">
        <w:rPr>
          <w:rFonts w:ascii="Arial" w:hAnsi="Arial" w:cstheme="minorBidi"/>
          <w:sz w:val="22"/>
          <w:szCs w:val="22"/>
        </w:rPr>
        <w:t xml:space="preserve"> </w:t>
      </w:r>
      <w:r>
        <w:rPr>
          <w:rFonts w:ascii="Arial" w:hAnsi="Arial" w:cstheme="minorBidi"/>
          <w:sz w:val="22"/>
          <w:szCs w:val="22"/>
        </w:rPr>
        <w:t xml:space="preserve">These funds will be used </w:t>
      </w:r>
      <w:r w:rsidRPr="002B0632">
        <w:rPr>
          <w:rFonts w:ascii="Arial" w:hAnsi="Arial" w:cstheme="minorBidi"/>
          <w:sz w:val="22"/>
          <w:szCs w:val="22"/>
        </w:rPr>
        <w:t>to settle debts due within 1 years and as working capital, as well as for investment in the Group's busines</w:t>
      </w:r>
      <w:r>
        <w:rPr>
          <w:rFonts w:ascii="Arial" w:hAnsi="Arial" w:cstheme="minorBidi"/>
          <w:sz w:val="22"/>
          <w:szCs w:val="22"/>
        </w:rPr>
        <w:t>s</w:t>
      </w:r>
      <w:r w:rsidRPr="002B0632">
        <w:rPr>
          <w:rFonts w:ascii="Arial" w:hAnsi="Arial" w:cstheme="minorBidi"/>
          <w:sz w:val="22"/>
          <w:szCs w:val="22"/>
        </w:rPr>
        <w:t xml:space="preserve">es. Subscriptions </w:t>
      </w:r>
      <w:r>
        <w:rPr>
          <w:rFonts w:ascii="Arial" w:hAnsi="Arial" w:cstheme="minorBidi"/>
          <w:sz w:val="22"/>
          <w:szCs w:val="22"/>
        </w:rPr>
        <w:t>are</w:t>
      </w:r>
      <w:r w:rsidRPr="002B0632">
        <w:rPr>
          <w:rFonts w:ascii="Arial" w:hAnsi="Arial" w:cstheme="minorBidi"/>
          <w:sz w:val="22"/>
          <w:szCs w:val="22"/>
        </w:rPr>
        <w:t xml:space="preserve"> available from 13 </w:t>
      </w:r>
      <w:r>
        <w:rPr>
          <w:rFonts w:ascii="Arial" w:hAnsi="Arial" w:cstheme="minorBidi"/>
          <w:sz w:val="22"/>
          <w:szCs w:val="22"/>
        </w:rPr>
        <w:t>-</w:t>
      </w:r>
      <w:r w:rsidRPr="002B0632">
        <w:rPr>
          <w:rFonts w:ascii="Arial" w:hAnsi="Arial" w:cstheme="minorBidi"/>
          <w:sz w:val="22"/>
          <w:szCs w:val="22"/>
        </w:rPr>
        <w:t xml:space="preserve"> 15 August 2024.</w:t>
      </w:r>
      <w:r>
        <w:rPr>
          <w:rFonts w:ascii="Arial" w:hAnsi="Arial" w:cstheme="minorBidi"/>
          <w:sz w:val="22"/>
          <w:szCs w:val="22"/>
        </w:rPr>
        <w:t xml:space="preserve"> </w:t>
      </w:r>
      <w:r w:rsidRPr="00C52034">
        <w:rPr>
          <w:rFonts w:ascii="Arial" w:hAnsi="Arial" w:cstheme="minorBidi"/>
          <w:sz w:val="22"/>
          <w:szCs w:val="22"/>
        </w:rPr>
        <w:t xml:space="preserve">The Group's </w:t>
      </w:r>
      <w:r>
        <w:rPr>
          <w:rFonts w:ascii="Arial" w:hAnsi="Arial" w:cstheme="minorBidi"/>
          <w:sz w:val="22"/>
          <w:szCs w:val="22"/>
        </w:rPr>
        <w:t>management</w:t>
      </w:r>
      <w:r w:rsidRPr="00C52034">
        <w:rPr>
          <w:rFonts w:ascii="Arial" w:hAnsi="Arial" w:cstheme="minorBidi"/>
          <w:sz w:val="22"/>
          <w:szCs w:val="22"/>
        </w:rPr>
        <w:t xml:space="preserve"> </w:t>
      </w:r>
      <w:r>
        <w:rPr>
          <w:rFonts w:ascii="Arial" w:hAnsi="Arial" w:cstheme="minorBidi"/>
          <w:sz w:val="22"/>
          <w:szCs w:val="22"/>
        </w:rPr>
        <w:t>is</w:t>
      </w:r>
      <w:r w:rsidRPr="00C52034">
        <w:rPr>
          <w:rFonts w:ascii="Arial" w:hAnsi="Arial" w:cstheme="minorBidi"/>
          <w:sz w:val="22"/>
          <w:szCs w:val="22"/>
        </w:rPr>
        <w:t xml:space="preserve"> confident that the funds secured through the issuance of new </w:t>
      </w:r>
      <w:r>
        <w:rPr>
          <w:rFonts w:ascii="Arial" w:hAnsi="Arial" w:cstheme="minorBidi"/>
          <w:sz w:val="22"/>
          <w:szCs w:val="22"/>
        </w:rPr>
        <w:t xml:space="preserve">debentures </w:t>
      </w:r>
      <w:r w:rsidRPr="00C52034">
        <w:rPr>
          <w:rFonts w:ascii="Arial" w:hAnsi="Arial" w:cstheme="minorBidi"/>
          <w:sz w:val="22"/>
          <w:szCs w:val="22"/>
        </w:rPr>
        <w:t xml:space="preserve">will be sufficient </w:t>
      </w:r>
      <w:r>
        <w:rPr>
          <w:rFonts w:ascii="Arial" w:hAnsi="Arial" w:cstheme="minorBidi"/>
          <w:sz w:val="22"/>
          <w:szCs w:val="22"/>
        </w:rPr>
        <w:t>to fulfil the Group’s objectives.</w:t>
      </w:r>
    </w:p>
    <w:bookmarkEnd w:id="1"/>
    <w:p w14:paraId="6D591A42" w14:textId="77777777" w:rsidR="008B1568" w:rsidRPr="00A05D0A" w:rsidRDefault="008B1568" w:rsidP="008B1568">
      <w:pPr>
        <w:pStyle w:val="ps-000-normal"/>
        <w:spacing w:before="120" w:line="380" w:lineRule="exact"/>
        <w:rPr>
          <w:rFonts w:ascii="Arial" w:eastAsia="Arial Unicode MS" w:hAnsi="Arial" w:cs="Arial"/>
          <w:sz w:val="22"/>
          <w:szCs w:val="22"/>
        </w:rPr>
      </w:pPr>
      <w:r w:rsidRPr="00A05D0A">
        <w:rPr>
          <w:rFonts w:ascii="Arial" w:eastAsia="Arial Unicode MS" w:hAnsi="Arial" w:cs="Arial"/>
          <w:sz w:val="22"/>
          <w:szCs w:val="22"/>
        </w:rPr>
        <w:t xml:space="preserve">My </w:t>
      </w:r>
      <w:r>
        <w:rPr>
          <w:rFonts w:ascii="Arial" w:eastAsia="Arial Unicode MS" w:hAnsi="Arial" w:cs="Arial"/>
          <w:sz w:val="22"/>
          <w:szCs w:val="22"/>
        </w:rPr>
        <w:t>conclusion</w:t>
      </w:r>
      <w:r w:rsidRPr="00A05D0A">
        <w:rPr>
          <w:rFonts w:ascii="Arial" w:eastAsia="Arial Unicode MS" w:hAnsi="Arial" w:cs="Arial"/>
          <w:sz w:val="22"/>
          <w:szCs w:val="22"/>
        </w:rPr>
        <w:t xml:space="preserve"> is not </w:t>
      </w:r>
      <w:r>
        <w:rPr>
          <w:rFonts w:ascii="Arial" w:eastAsia="Arial Unicode MS" w:hAnsi="Arial" w:cs="Arial"/>
          <w:sz w:val="22"/>
          <w:szCs w:val="22"/>
        </w:rPr>
        <w:t>modified</w:t>
      </w:r>
      <w:r w:rsidRPr="00A05D0A">
        <w:rPr>
          <w:rFonts w:ascii="Arial" w:eastAsia="Arial Unicode MS" w:hAnsi="Arial" w:cs="Arial"/>
          <w:sz w:val="22"/>
          <w:szCs w:val="22"/>
        </w:rPr>
        <w:t xml:space="preserve"> in respect of this matter.</w:t>
      </w:r>
    </w:p>
    <w:p w14:paraId="78AEBD82" w14:textId="77777777" w:rsidR="008B1568" w:rsidRPr="008B1568" w:rsidRDefault="008B1568" w:rsidP="008B1568">
      <w:pPr>
        <w:pStyle w:val="ps-000-normal"/>
        <w:spacing w:before="80" w:after="80" w:line="340" w:lineRule="exact"/>
        <w:rPr>
          <w:rFonts w:ascii="Arial" w:hAnsi="Arial" w:cstheme="minorBidi"/>
          <w:sz w:val="22"/>
          <w:szCs w:val="22"/>
        </w:rPr>
      </w:pPr>
    </w:p>
    <w:p w14:paraId="3D630CF4" w14:textId="77777777" w:rsidR="008B1568" w:rsidRPr="004D68DE" w:rsidRDefault="008B1568" w:rsidP="008B1568">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BF4B6BF" w14:textId="77777777" w:rsidR="008B1568" w:rsidRPr="006353B2" w:rsidRDefault="008B1568" w:rsidP="008B1568">
      <w:pPr>
        <w:tabs>
          <w:tab w:val="left" w:pos="720"/>
          <w:tab w:val="center" w:pos="6480"/>
        </w:tabs>
        <w:spacing w:line="360" w:lineRule="exact"/>
        <w:ind w:right="-43"/>
        <w:jc w:val="thaiDistribute"/>
        <w:rPr>
          <w:rFonts w:ascii="Arial" w:hAnsi="Arial" w:cs="Arial"/>
          <w:sz w:val="22"/>
          <w:szCs w:val="22"/>
        </w:rPr>
      </w:pPr>
      <w:r w:rsidRPr="006353B2">
        <w:rPr>
          <w:rFonts w:ascii="Arial" w:hAnsi="Arial" w:cs="Arial"/>
          <w:sz w:val="22"/>
          <w:szCs w:val="22"/>
        </w:rPr>
        <w:t>Certified Public Accountant (Thailand) No.</w:t>
      </w:r>
      <w:r w:rsidRPr="00834F3D">
        <w:t xml:space="preserve"> </w:t>
      </w:r>
      <w:r>
        <w:rPr>
          <w:rFonts w:ascii="Arial" w:hAnsi="Arial" w:cs="Arial"/>
          <w:sz w:val="22"/>
          <w:szCs w:val="22"/>
        </w:rPr>
        <w:t>4807</w:t>
      </w:r>
    </w:p>
    <w:p w14:paraId="16138984" w14:textId="77777777" w:rsidR="008B1568" w:rsidRDefault="008B1568" w:rsidP="008B1568">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068F556A" w14:textId="77777777" w:rsidR="008B1568" w:rsidRPr="00134425" w:rsidRDefault="008B1568" w:rsidP="008B1568">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Pr>
          <w:rFonts w:ascii="Arial" w:hAnsi="Arial" w:cs="Browallia New"/>
          <w:sz w:val="22"/>
        </w:rPr>
        <w:t>14 August 2024</w:t>
      </w:r>
    </w:p>
    <w:p w14:paraId="468B85E0" w14:textId="77777777" w:rsidR="008B1568" w:rsidRPr="008B1568" w:rsidRDefault="008B1568"/>
    <w:sectPr w:rsidR="008B1568" w:rsidRPr="008B1568"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633C0" w14:textId="77777777" w:rsidR="00A7723A" w:rsidRDefault="00A7723A">
      <w:r>
        <w:separator/>
      </w:r>
    </w:p>
  </w:endnote>
  <w:endnote w:type="continuationSeparator" w:id="0">
    <w:p w14:paraId="139CDE99" w14:textId="77777777" w:rsidR="00A7723A" w:rsidRDefault="00A7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9C2E1" w14:textId="13295A40" w:rsidR="00A7723A" w:rsidRPr="00A7723A" w:rsidRDefault="00A7723A">
    <w:pPr>
      <w:pStyle w:val="Footer"/>
      <w:jc w:val="right"/>
      <w:rPr>
        <w:rFonts w:ascii="Arial" w:hAnsi="Arial" w:cs="Arial"/>
        <w:sz w:val="22"/>
        <w:szCs w:val="22"/>
      </w:rPr>
    </w:pPr>
  </w:p>
  <w:p w14:paraId="5B363948" w14:textId="77777777" w:rsidR="00A7723A" w:rsidRPr="00CF7257" w:rsidRDefault="00A7723A" w:rsidP="00CF72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2486601"/>
      <w:docPartObj>
        <w:docPartGallery w:val="Page Numbers (Bottom of Page)"/>
        <w:docPartUnique/>
      </w:docPartObj>
    </w:sdtPr>
    <w:sdtEndPr>
      <w:rPr>
        <w:rFonts w:ascii="Arial" w:hAnsi="Arial" w:cs="Arial"/>
        <w:noProof/>
        <w:sz w:val="22"/>
        <w:szCs w:val="22"/>
      </w:rPr>
    </w:sdtEndPr>
    <w:sdtContent>
      <w:p w14:paraId="69792BCC" w14:textId="77777777" w:rsidR="00A7723A" w:rsidRPr="00A7723A" w:rsidRDefault="00A7723A">
        <w:pPr>
          <w:pStyle w:val="Footer"/>
          <w:jc w:val="right"/>
          <w:rPr>
            <w:rFonts w:ascii="Arial" w:hAnsi="Arial" w:cs="Arial"/>
            <w:sz w:val="22"/>
            <w:szCs w:val="22"/>
          </w:rPr>
        </w:pPr>
        <w:r w:rsidRPr="00A7723A">
          <w:rPr>
            <w:rFonts w:ascii="Arial" w:hAnsi="Arial" w:cs="Arial"/>
            <w:sz w:val="22"/>
            <w:szCs w:val="22"/>
          </w:rPr>
          <w:fldChar w:fldCharType="begin"/>
        </w:r>
        <w:r w:rsidRPr="00A7723A">
          <w:rPr>
            <w:rFonts w:ascii="Arial" w:hAnsi="Arial" w:cs="Arial"/>
            <w:sz w:val="22"/>
            <w:szCs w:val="22"/>
          </w:rPr>
          <w:instrText xml:space="preserve"> PAGE   \* MERGEFORMAT </w:instrText>
        </w:r>
        <w:r w:rsidRPr="00A7723A">
          <w:rPr>
            <w:rFonts w:ascii="Arial" w:hAnsi="Arial" w:cs="Arial"/>
            <w:sz w:val="22"/>
            <w:szCs w:val="22"/>
          </w:rPr>
          <w:fldChar w:fldCharType="separate"/>
        </w:r>
        <w:r w:rsidRPr="00A7723A">
          <w:rPr>
            <w:rFonts w:ascii="Arial" w:hAnsi="Arial" w:cs="Arial"/>
            <w:noProof/>
            <w:sz w:val="22"/>
            <w:szCs w:val="22"/>
          </w:rPr>
          <w:t>2</w:t>
        </w:r>
        <w:r w:rsidRPr="00A7723A">
          <w:rPr>
            <w:rFonts w:ascii="Arial" w:hAnsi="Arial" w:cs="Arial"/>
            <w:noProof/>
            <w:sz w:val="22"/>
            <w:szCs w:val="22"/>
          </w:rPr>
          <w:fldChar w:fldCharType="end"/>
        </w:r>
      </w:p>
    </w:sdtContent>
  </w:sdt>
  <w:p w14:paraId="6892118A" w14:textId="77777777" w:rsidR="00A7723A" w:rsidRPr="00CF7257" w:rsidRDefault="00A7723A"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91C85" w14:textId="77777777" w:rsidR="00A7723A" w:rsidRDefault="00A7723A">
      <w:r>
        <w:separator/>
      </w:r>
    </w:p>
  </w:footnote>
  <w:footnote w:type="continuationSeparator" w:id="0">
    <w:p w14:paraId="101BEB1E" w14:textId="77777777" w:rsidR="00A7723A" w:rsidRDefault="00A77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DFA89" w14:textId="77777777" w:rsidR="00A7723A" w:rsidRDefault="00A7723A" w:rsidP="0077481E">
    <w:pPr>
      <w:pStyle w:val="Header"/>
      <w:spacing w:before="240"/>
    </w:pPr>
  </w:p>
  <w:p w14:paraId="4CF118B5" w14:textId="77777777" w:rsidR="00A7723A" w:rsidRDefault="00A772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568"/>
    <w:rsid w:val="005E09DB"/>
    <w:rsid w:val="007C655B"/>
    <w:rsid w:val="008B1568"/>
    <w:rsid w:val="00A7723A"/>
    <w:rsid w:val="00F9399D"/>
    <w:rsid w:val="00FA6851"/>
    <w:rsid w:val="00FB7E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0F923"/>
  <w15:chartTrackingRefBased/>
  <w15:docId w15:val="{EAF2DF49-1735-49EE-B26B-C1776BCC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568"/>
    <w:pPr>
      <w:overflowPunct w:val="0"/>
      <w:autoSpaceDE w:val="0"/>
      <w:autoSpaceDN w:val="0"/>
      <w:adjustRightInd w:val="0"/>
      <w:spacing w:after="0" w:line="240" w:lineRule="auto"/>
      <w:textAlignment w:val="baseline"/>
    </w:pPr>
    <w:rPr>
      <w:rFonts w:ascii="Times New Roman" w:eastAsia="Times New Roman" w:hAnsi="Times New Roman" w:cs="Angsana New"/>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B1568"/>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8B1568"/>
    <w:rPr>
      <w:rFonts w:ascii="Times New Roman" w:eastAsia="Times New Roman" w:hAnsi="Tms Rmn" w:cs="Angsana New"/>
      <w:kern w:val="0"/>
      <w:sz w:val="24"/>
      <w:szCs w:val="24"/>
      <w14:ligatures w14:val="none"/>
    </w:rPr>
  </w:style>
  <w:style w:type="paragraph" w:customStyle="1" w:styleId="ps-000-normal">
    <w:name w:val="ps-000-normal"/>
    <w:basedOn w:val="Normal"/>
    <w:rsid w:val="008B1568"/>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rsid w:val="00A7723A"/>
    <w:pPr>
      <w:tabs>
        <w:tab w:val="center" w:pos="4320"/>
        <w:tab w:val="right" w:pos="8640"/>
      </w:tabs>
    </w:pPr>
    <w:rPr>
      <w:rFonts w:hAnsi="Tms Rmn"/>
      <w:szCs w:val="24"/>
    </w:rPr>
  </w:style>
  <w:style w:type="character" w:customStyle="1" w:styleId="HeaderChar">
    <w:name w:val="Header Char"/>
    <w:basedOn w:val="DefaultParagraphFont"/>
    <w:link w:val="Header"/>
    <w:rsid w:val="00A7723A"/>
    <w:rPr>
      <w:rFonts w:ascii="Times New Roman" w:eastAsia="Times New Roman" w:hAnsi="Tms Rmn" w:cs="Angsana New"/>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Thaniya Khamplub</dc:creator>
  <cp:keywords/>
  <dc:description/>
  <cp:lastModifiedBy>Kamolwan Theeravetch</cp:lastModifiedBy>
  <cp:revision>4</cp:revision>
  <cp:lastPrinted>2024-08-09T03:39:00Z</cp:lastPrinted>
  <dcterms:created xsi:type="dcterms:W3CDTF">2024-08-09T03:20:00Z</dcterms:created>
  <dcterms:modified xsi:type="dcterms:W3CDTF">2024-08-09T04:15:00Z</dcterms:modified>
</cp:coreProperties>
</file>