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417E9E30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three-month and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195CF3">
        <w:rPr>
          <w:rFonts w:ascii="Times New Roman" w:hAnsi="Times New Roman"/>
          <w:spacing w:val="-3"/>
          <w:sz w:val="36"/>
          <w:szCs w:val="36"/>
          <w:lang w:val="en-GB" w:bidi="ar-SA"/>
        </w:rPr>
        <w:t>six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F348CC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4C24DEF2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195CF3">
        <w:rPr>
          <w:rFonts w:ascii="Times New Roman" w:hAnsi="Times New Roman"/>
          <w:spacing w:val="-3"/>
          <w:sz w:val="36"/>
          <w:szCs w:val="36"/>
          <w:lang w:val="en-GB" w:bidi="ar-SA"/>
        </w:rPr>
        <w:t>0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195CF3">
        <w:rPr>
          <w:rFonts w:ascii="Times New Roman" w:hAnsi="Times New Roman"/>
          <w:spacing w:val="-3"/>
          <w:sz w:val="36"/>
          <w:szCs w:val="36"/>
          <w:lang w:val="en-GB" w:bidi="ar-SA"/>
        </w:rPr>
        <w:t>June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6725FF">
        <w:rPr>
          <w:rFonts w:ascii="Times New Roman" w:hAnsi="Times New Roman"/>
          <w:spacing w:val="-3"/>
          <w:sz w:val="36"/>
          <w:szCs w:val="36"/>
          <w:lang w:val="en-GB" w:bidi="ar-SA"/>
        </w:rPr>
        <w:t>4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>To the Board of Directors of Autocorp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75EC49D0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Autocorp Holding Public Company Limited, respectively, as at </w:t>
      </w:r>
      <w:r w:rsidR="00195CF3">
        <w:rPr>
          <w:rFonts w:ascii="Times New Roman" w:hAnsi="Times New Roman"/>
          <w:sz w:val="22"/>
          <w:szCs w:val="22"/>
        </w:rPr>
        <w:t>30 June</w:t>
      </w:r>
      <w:r w:rsidR="00162F9E"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  <w:r w:rsidRPr="00BE1F8A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BE1F8A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BE1F8A">
        <w:rPr>
          <w:rFonts w:ascii="Times New Roman" w:hAnsi="Times New Roman"/>
          <w:sz w:val="22"/>
          <w:szCs w:val="22"/>
        </w:rPr>
        <w:t>statements of income</w:t>
      </w:r>
      <w:r w:rsidR="00195CF3">
        <w:rPr>
          <w:rFonts w:ascii="Times New Roman" w:hAnsi="Times New Roman"/>
          <w:sz w:val="22"/>
          <w:szCs w:val="22"/>
        </w:rPr>
        <w:t xml:space="preserve"> and</w:t>
      </w:r>
      <w:r w:rsidRPr="00BE1F8A">
        <w:rPr>
          <w:rFonts w:ascii="Times New Roman" w:hAnsi="Times New Roman"/>
          <w:sz w:val="22"/>
          <w:szCs w:val="22"/>
        </w:rPr>
        <w:t xml:space="preserve"> comprehensive income</w:t>
      </w:r>
      <w:r w:rsidR="00195CF3">
        <w:rPr>
          <w:rFonts w:ascii="Times New Roman" w:hAnsi="Times New Roman"/>
          <w:sz w:val="22"/>
          <w:szCs w:val="22"/>
        </w:rPr>
        <w:t xml:space="preserve"> </w:t>
      </w:r>
      <w:r w:rsidR="00195CF3" w:rsidRPr="00195CF3">
        <w:rPr>
          <w:rFonts w:ascii="Times New Roman" w:hAnsi="Times New Roman"/>
          <w:sz w:val="22"/>
          <w:szCs w:val="22"/>
        </w:rPr>
        <w:t>for the three-month and six-month period</w:t>
      </w:r>
      <w:r w:rsidR="00F348CC">
        <w:rPr>
          <w:rFonts w:ascii="Times New Roman" w:hAnsi="Times New Roman"/>
          <w:sz w:val="22"/>
          <w:szCs w:val="22"/>
        </w:rPr>
        <w:t>s</w:t>
      </w:r>
      <w:r w:rsidR="00195CF3">
        <w:rPr>
          <w:rFonts w:ascii="Times New Roman" w:hAnsi="Times New Roman"/>
          <w:sz w:val="22"/>
          <w:szCs w:val="22"/>
        </w:rPr>
        <w:t xml:space="preserve"> </w:t>
      </w:r>
      <w:r w:rsidR="00195CF3" w:rsidRPr="00195CF3">
        <w:rPr>
          <w:rFonts w:ascii="Times New Roman" w:hAnsi="Times New Roman"/>
          <w:sz w:val="22"/>
          <w:szCs w:val="22"/>
        </w:rPr>
        <w:t>ended 30 June 2024</w:t>
      </w:r>
      <w:r w:rsidR="00195CF3">
        <w:rPr>
          <w:rFonts w:ascii="Times New Roman" w:hAnsi="Times New Roman"/>
          <w:sz w:val="22"/>
          <w:szCs w:val="22"/>
        </w:rPr>
        <w:t xml:space="preserve">; and </w:t>
      </w:r>
      <w:r w:rsidR="00195CF3" w:rsidRPr="00195CF3">
        <w:rPr>
          <w:rFonts w:ascii="Times New Roman" w:hAnsi="Times New Roman"/>
          <w:sz w:val="22"/>
          <w:szCs w:val="22"/>
        </w:rPr>
        <w:t>the consolidated and separate</w:t>
      </w:r>
      <w:r w:rsidR="00195CF3">
        <w:rPr>
          <w:rFonts w:ascii="Times New Roman" w:hAnsi="Times New Roman"/>
          <w:sz w:val="22"/>
          <w:szCs w:val="22"/>
        </w:rPr>
        <w:t xml:space="preserve"> financial statement</w:t>
      </w:r>
      <w:r w:rsidR="00F348CC">
        <w:rPr>
          <w:rFonts w:ascii="Times New Roman" w:hAnsi="Times New Roman"/>
          <w:sz w:val="22"/>
          <w:szCs w:val="22"/>
        </w:rPr>
        <w:t>s</w:t>
      </w:r>
      <w:r w:rsidR="00195CF3">
        <w:rPr>
          <w:rFonts w:ascii="Times New Roman" w:hAnsi="Times New Roman"/>
          <w:sz w:val="22"/>
          <w:szCs w:val="22"/>
        </w:rPr>
        <w:t xml:space="preserve"> of</w:t>
      </w:r>
      <w:r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changes in equity and cash flows for</w:t>
      </w:r>
      <w:r w:rsidR="00F348CC">
        <w:rPr>
          <w:rFonts w:ascii="Times New Roman" w:hAnsi="Times New Roman"/>
          <w:sz w:val="22"/>
          <w:szCs w:val="22"/>
        </w:rPr>
        <w:t xml:space="preserve"> the</w:t>
      </w:r>
      <w:r w:rsidRPr="00BE1F8A">
        <w:rPr>
          <w:rFonts w:ascii="Times New Roman" w:hAnsi="Times New Roman"/>
          <w:sz w:val="22"/>
          <w:szCs w:val="22"/>
        </w:rPr>
        <w:t xml:space="preserve"> </w:t>
      </w:r>
      <w:r w:rsidR="00195CF3">
        <w:rPr>
          <w:rFonts w:ascii="Times New Roman" w:hAnsi="Times New Roman"/>
          <w:sz w:val="22"/>
          <w:szCs w:val="22"/>
        </w:rPr>
        <w:t>six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 xml:space="preserve">month period ended </w:t>
      </w:r>
      <w:r w:rsidR="00195CF3" w:rsidRPr="00195CF3">
        <w:rPr>
          <w:rFonts w:ascii="Times New Roman" w:hAnsi="Times New Roman"/>
          <w:sz w:val="22"/>
          <w:szCs w:val="22"/>
        </w:rPr>
        <w:t xml:space="preserve">30 June </w:t>
      </w:r>
      <w:r w:rsidRPr="00BE1F8A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KPMG Phoomchai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2E8812FA" w:rsidR="0032351A" w:rsidRPr="005B7B2A" w:rsidRDefault="00195CF3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13 August</w:t>
      </w:r>
      <w:r w:rsidR="007D55AD" w:rsidRPr="00147F26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147F26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</w:p>
    <w:sectPr w:rsidR="0032351A" w:rsidRPr="005B7B2A" w:rsidSect="00D71AAD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DF21" w14:textId="77777777" w:rsidR="006C6C87" w:rsidRDefault="006C6C87">
      <w:r>
        <w:separator/>
      </w:r>
    </w:p>
  </w:endnote>
  <w:endnote w:type="continuationSeparator" w:id="0">
    <w:p w14:paraId="46CFC3A7" w14:textId="77777777" w:rsidR="006C6C87" w:rsidRDefault="006C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3A930" w14:textId="77777777" w:rsidR="006C6C87" w:rsidRDefault="006C6C87">
      <w:r>
        <w:separator/>
      </w:r>
    </w:p>
  </w:footnote>
  <w:footnote w:type="continuationSeparator" w:id="0">
    <w:p w14:paraId="7655A915" w14:textId="77777777" w:rsidR="006C6C87" w:rsidRDefault="006C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 xml:space="preserve">Autocorp Holding Public Company Limited and its </w:t>
    </w:r>
    <w:proofErr w:type="gramStart"/>
    <w:r w:rsidRPr="0056672D">
      <w:rPr>
        <w:rFonts w:ascii="Times New Roman" w:hAnsi="Times New Roman"/>
        <w:b/>
        <w:bCs/>
        <w:sz w:val="28"/>
        <w:szCs w:val="28"/>
      </w:rPr>
      <w:t>Subsidiar</w:t>
    </w:r>
    <w:r>
      <w:rPr>
        <w:rFonts w:ascii="Times New Roman" w:hAnsi="Times New Roman"/>
        <w:b/>
        <w:bCs/>
        <w:sz w:val="28"/>
        <w:szCs w:val="28"/>
      </w:rPr>
      <w:t>ies</w:t>
    </w:r>
    <w:proofErr w:type="gramEnd"/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1FE62-E494-4695-907D-6BC90250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Kantaree, Mantawong</cp:lastModifiedBy>
  <cp:revision>7</cp:revision>
  <cp:lastPrinted>2022-10-27T12:02:00Z</cp:lastPrinted>
  <dcterms:created xsi:type="dcterms:W3CDTF">2024-05-02T04:50:00Z</dcterms:created>
  <dcterms:modified xsi:type="dcterms:W3CDTF">2024-07-31T04:05:00Z</dcterms:modified>
</cp:coreProperties>
</file>