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5E4F0F" w:rsidRPr="00862017" w14:paraId="2C4EB18C" w14:textId="77777777" w:rsidTr="00497D17">
        <w:trPr>
          <w:trHeight w:val="2865"/>
        </w:trPr>
        <w:tc>
          <w:tcPr>
            <w:tcW w:w="2358" w:type="dxa"/>
          </w:tcPr>
          <w:p w14:paraId="33BADFB5" w14:textId="77777777" w:rsidR="005E4F0F" w:rsidRPr="00B74A8C" w:rsidRDefault="005E4F0F" w:rsidP="00AF6568">
            <w:pPr>
              <w:rPr>
                <w:rFonts w:ascii="Angsana New" w:hAnsi="Angsana New"/>
                <w:sz w:val="36"/>
                <w:szCs w:val="36"/>
                <w:cs/>
              </w:rPr>
            </w:pPr>
          </w:p>
        </w:tc>
        <w:tc>
          <w:tcPr>
            <w:tcW w:w="7110" w:type="dxa"/>
            <w:vAlign w:val="center"/>
          </w:tcPr>
          <w:p w14:paraId="2324E392"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Trinity Watthana Public Company Limited</w:t>
            </w:r>
          </w:p>
          <w:p w14:paraId="593B1016"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14:paraId="49E4F0BC" w14:textId="12F6D3AC"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Report and </w:t>
            </w:r>
            <w:r w:rsidR="008775E5" w:rsidRPr="008775E5">
              <w:rPr>
                <w:rFonts w:cs="Times New Roman"/>
                <w:color w:val="7E7F82"/>
                <w:sz w:val="28"/>
              </w:rPr>
              <w:t>consolidated and separate financial statements</w:t>
            </w:r>
          </w:p>
          <w:p w14:paraId="6EF446D8" w14:textId="1DB7957E" w:rsidR="005E4F0F" w:rsidRPr="00B9617F" w:rsidRDefault="005E4F0F" w:rsidP="009D5B24">
            <w:pPr>
              <w:spacing w:line="380" w:lineRule="exact"/>
              <w:ind w:left="14"/>
              <w:rPr>
                <w:rFonts w:ascii="Angsana New" w:hAnsi="Angsana New" w:cstheme="minorBidi"/>
                <w:b/>
                <w:bCs/>
                <w:color w:val="7E7F82"/>
                <w:sz w:val="28"/>
                <w:szCs w:val="36"/>
              </w:rPr>
            </w:pPr>
            <w:r w:rsidRPr="00B74A8C">
              <w:rPr>
                <w:rFonts w:cs="Times New Roman"/>
                <w:color w:val="7E7F82"/>
                <w:sz w:val="28"/>
              </w:rPr>
              <w:t xml:space="preserve">31 December </w:t>
            </w:r>
            <w:r w:rsidR="00A878A3">
              <w:rPr>
                <w:rFonts w:cs="Times New Roman"/>
                <w:color w:val="7E7F82"/>
                <w:sz w:val="28"/>
              </w:rPr>
              <w:t>20</w:t>
            </w:r>
            <w:r w:rsidR="00446096">
              <w:rPr>
                <w:rFonts w:cs="Times New Roman"/>
                <w:color w:val="7E7F82"/>
                <w:sz w:val="28"/>
              </w:rPr>
              <w:t>2</w:t>
            </w:r>
            <w:r w:rsidR="007D34E0">
              <w:rPr>
                <w:rFonts w:cs="Times New Roman"/>
                <w:color w:val="7E7F82"/>
                <w:sz w:val="28"/>
              </w:rPr>
              <w:t>4</w:t>
            </w:r>
          </w:p>
        </w:tc>
      </w:tr>
    </w:tbl>
    <w:p w14:paraId="1DC7A2F7" w14:textId="77777777" w:rsidR="00A51B6D" w:rsidRDefault="00A51B6D" w:rsidP="00A9638A">
      <w:pPr>
        <w:widowControl/>
        <w:spacing w:line="380" w:lineRule="exact"/>
        <w:outlineLvl w:val="0"/>
        <w:rPr>
          <w:rFonts w:ascii="Arial" w:hAnsi="Arial" w:cs="Arial"/>
          <w:b/>
          <w:bCs/>
          <w:sz w:val="22"/>
          <w:szCs w:val="22"/>
        </w:rPr>
        <w:sectPr w:rsidR="00A51B6D" w:rsidSect="00A51B6D">
          <w:footerReference w:type="default" r:id="rId7"/>
          <w:footerReference w:type="first" r:id="rId8"/>
          <w:pgSz w:w="11909" w:h="16834" w:code="9"/>
          <w:pgMar w:top="2592" w:right="1080" w:bottom="1080" w:left="360" w:header="720" w:footer="720" w:gutter="0"/>
          <w:pgNumType w:start="2"/>
          <w:cols w:space="720"/>
          <w:titlePg/>
          <w:docGrid w:linePitch="360"/>
        </w:sectPr>
      </w:pPr>
    </w:p>
    <w:p w14:paraId="6D935F5E" w14:textId="77777777"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14:paraId="49BE9B73" w14:textId="77777777"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Watthana Public Company Limited</w:t>
      </w:r>
    </w:p>
    <w:p w14:paraId="305E5FD2" w14:textId="44B8AFEC" w:rsidR="00A9638A" w:rsidRPr="00A9638A" w:rsidRDefault="008775E5" w:rsidP="00A9638A">
      <w:pPr>
        <w:pStyle w:val="ps-000-normal"/>
        <w:spacing w:before="360" w:line="380" w:lineRule="exact"/>
        <w:rPr>
          <w:rFonts w:ascii="Arial" w:hAnsi="Arial" w:cs="Arial"/>
          <w:b/>
          <w:bCs/>
          <w:sz w:val="22"/>
          <w:szCs w:val="22"/>
        </w:rPr>
      </w:pPr>
      <w:bookmarkStart w:id="0" w:name="36765555"/>
      <w:bookmarkEnd w:id="0"/>
      <w:r w:rsidRPr="008775E5">
        <w:rPr>
          <w:rFonts w:ascii="Arial" w:hAnsi="Arial" w:cs="Arial"/>
          <w:b/>
          <w:bCs/>
          <w:sz w:val="22"/>
          <w:szCs w:val="22"/>
        </w:rPr>
        <w:t>Qualified Opinion</w:t>
      </w:r>
    </w:p>
    <w:p w14:paraId="26F8161D" w14:textId="581CEAE1" w:rsidR="008775E5" w:rsidRPr="008775E5" w:rsidRDefault="008775E5" w:rsidP="008775E5">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2E60F2">
        <w:rPr>
          <w:rFonts w:ascii="Arial" w:hAnsi="Arial" w:cs="Arial"/>
          <w:sz w:val="22"/>
          <w:szCs w:val="22"/>
        </w:rPr>
        <w:t xml:space="preserve">Trinity Watthana Public Company Limited </w:t>
      </w:r>
      <w:r w:rsidRPr="00DA4313">
        <w:rPr>
          <w:rFonts w:ascii="Arial" w:hAnsi="Arial" w:cs="Arial"/>
          <w:sz w:val="22"/>
          <w:szCs w:val="22"/>
        </w:rPr>
        <w:t>and its</w:t>
      </w:r>
      <w:r w:rsidRPr="002E60F2">
        <w:rPr>
          <w:rFonts w:ascii="Arial" w:hAnsi="Arial" w:cs="Arial"/>
          <w:sz w:val="22"/>
          <w:szCs w:val="22"/>
        </w:rPr>
        <w:t xml:space="preserve"> subsidiaries (the</w:t>
      </w:r>
      <w:r>
        <w:rPr>
          <w:rFonts w:ascii="Arial" w:hAnsi="Arial" w:cs="Arial"/>
          <w:spacing w:val="-3"/>
          <w:sz w:val="22"/>
          <w:szCs w:val="22"/>
        </w:rPr>
        <w:t xml:space="preserve"> Group)</w:t>
      </w:r>
      <w:r w:rsidRPr="00DA4313">
        <w:rPr>
          <w:rFonts w:ascii="Arial" w:hAnsi="Arial" w:cs="Arial"/>
          <w:sz w:val="22"/>
          <w:szCs w:val="22"/>
        </w:rPr>
        <w:t xml:space="preserve">, which </w:t>
      </w:r>
      <w:r w:rsidRPr="00BF1050">
        <w:rPr>
          <w:rFonts w:ascii="Arial" w:hAnsi="Arial" w:cs="Arial"/>
          <w:sz w:val="22"/>
          <w:szCs w:val="22"/>
        </w:rPr>
        <w:t xml:space="preserve">comprise the </w:t>
      </w:r>
      <w:r w:rsidRPr="00BF1050">
        <w:rPr>
          <w:rFonts w:ascii="Arial" w:hAnsi="Arial" w:cs="Arial"/>
          <w:spacing w:val="-3"/>
          <w:sz w:val="22"/>
          <w:szCs w:val="22"/>
        </w:rPr>
        <w:t>consolidated statement of financial position</w:t>
      </w:r>
      <w:r w:rsidRPr="00BF1050">
        <w:rPr>
          <w:rFonts w:ascii="Arial" w:hAnsi="Arial" w:cs="Arial"/>
          <w:sz w:val="22"/>
          <w:szCs w:val="22"/>
        </w:rPr>
        <w:t xml:space="preserve"> as at 31 December 20</w:t>
      </w:r>
      <w:r>
        <w:rPr>
          <w:rFonts w:ascii="Arial" w:hAnsi="Arial" w:cs="Arial"/>
          <w:sz w:val="22"/>
          <w:szCs w:val="22"/>
        </w:rPr>
        <w:t>24</w:t>
      </w:r>
      <w:r w:rsidRPr="00BF1050">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material accounting policy information, and </w:t>
      </w:r>
      <w:r w:rsidRPr="008775E5">
        <w:rPr>
          <w:rFonts w:ascii="Arial" w:hAnsi="Arial" w:cs="Arial"/>
          <w:sz w:val="22"/>
          <w:szCs w:val="22"/>
        </w:rPr>
        <w:t>have also audited the separate financial statements of Trinity Watthana Public Company Limited for the same period</w:t>
      </w:r>
      <w:r w:rsidRPr="008775E5">
        <w:rPr>
          <w:rFonts w:ascii="Arial" w:hAnsi="Arial" w:cstheme="minorBidi" w:hint="cs"/>
          <w:sz w:val="22"/>
          <w:szCs w:val="22"/>
          <w:cs/>
        </w:rPr>
        <w:t xml:space="preserve"> </w:t>
      </w:r>
      <w:r w:rsidRPr="008775E5">
        <w:rPr>
          <w:rFonts w:ascii="Arial" w:hAnsi="Arial" w:cs="Arial"/>
          <w:sz w:val="22"/>
          <w:szCs w:val="22"/>
        </w:rPr>
        <w:t>(collectively “the financial statements”).</w:t>
      </w:r>
    </w:p>
    <w:p w14:paraId="16752224" w14:textId="29E21834" w:rsidR="008775E5" w:rsidRPr="0017132E" w:rsidRDefault="008775E5" w:rsidP="008775E5">
      <w:pPr>
        <w:pStyle w:val="ps-000-normal"/>
        <w:spacing w:line="380" w:lineRule="exact"/>
        <w:rPr>
          <w:rFonts w:ascii="Arial" w:hAnsi="Arial" w:cs="Arial"/>
          <w:color w:val="auto"/>
          <w:sz w:val="22"/>
          <w:szCs w:val="22"/>
        </w:rPr>
      </w:pPr>
      <w:r w:rsidRPr="008775E5">
        <w:rPr>
          <w:rFonts w:ascii="Arial" w:hAnsi="Arial" w:cs="Arial"/>
          <w:color w:val="auto"/>
          <w:sz w:val="22"/>
          <w:szCs w:val="22"/>
        </w:rPr>
        <w:t xml:space="preserve">In my opinion, except for the possible effects on the matter described in the </w:t>
      </w:r>
      <w:r w:rsidRPr="008775E5">
        <w:rPr>
          <w:rFonts w:ascii="Arial" w:hAnsi="Arial" w:cs="Arial"/>
          <w:i/>
          <w:iCs/>
          <w:color w:val="auto"/>
          <w:sz w:val="22"/>
          <w:szCs w:val="22"/>
        </w:rPr>
        <w:t xml:space="preserve">Basis for Qualified Opinion </w:t>
      </w:r>
      <w:r w:rsidRPr="008775E5">
        <w:rPr>
          <w:rFonts w:ascii="Arial" w:hAnsi="Arial" w:cs="Arial"/>
          <w:color w:val="auto"/>
          <w:sz w:val="22"/>
          <w:szCs w:val="22"/>
        </w:rPr>
        <w:t xml:space="preserve">section of my report, the financial statements referred to above present fairly, in all material respects, the financial position of </w:t>
      </w:r>
      <w:r w:rsidRPr="008775E5">
        <w:rPr>
          <w:rFonts w:ascii="Arial" w:hAnsi="Arial" w:cs="Arial"/>
          <w:sz w:val="22"/>
          <w:szCs w:val="22"/>
        </w:rPr>
        <w:t>Trinity Watthana Public Company Limited</w:t>
      </w:r>
      <w:r w:rsidRPr="008775E5">
        <w:rPr>
          <w:rFonts w:ascii="Arial" w:hAnsi="Arial" w:cs="Arial"/>
          <w:color w:val="auto"/>
          <w:sz w:val="22"/>
          <w:szCs w:val="22"/>
        </w:rPr>
        <w:t xml:space="preserve"> and its</w:t>
      </w:r>
      <w:r w:rsidRPr="008775E5">
        <w:rPr>
          <w:rFonts w:ascii="Arial" w:hAnsi="Arial" w:cs="Arial"/>
          <w:i/>
          <w:iCs/>
          <w:color w:val="548DD4" w:themeColor="text2" w:themeTint="99"/>
          <w:spacing w:val="-3"/>
          <w:sz w:val="22"/>
          <w:szCs w:val="22"/>
        </w:rPr>
        <w:t xml:space="preserve"> </w:t>
      </w:r>
      <w:r w:rsidRPr="008775E5">
        <w:rPr>
          <w:rFonts w:ascii="Arial" w:hAnsi="Arial" w:cs="Arial"/>
          <w:color w:val="auto"/>
          <w:sz w:val="22"/>
          <w:szCs w:val="22"/>
        </w:rPr>
        <w:t>subsidiaries and of Trinity</w:t>
      </w:r>
      <w:r w:rsidRPr="008775E5">
        <w:rPr>
          <w:rFonts w:ascii="Arial" w:hAnsi="Arial" w:cs="Arial"/>
          <w:sz w:val="22"/>
          <w:szCs w:val="22"/>
        </w:rPr>
        <w:t xml:space="preserve"> Watthana Public Company Limited</w:t>
      </w:r>
      <w:r w:rsidRPr="008775E5">
        <w:rPr>
          <w:rFonts w:ascii="Arial" w:hAnsi="Arial" w:cs="Arial"/>
          <w:color w:val="auto"/>
          <w:sz w:val="22"/>
          <w:szCs w:val="22"/>
        </w:rPr>
        <w:t xml:space="preserve"> as at 31 December 20</w:t>
      </w:r>
      <w:r w:rsidRPr="008775E5">
        <w:rPr>
          <w:rFonts w:ascii="Arial" w:hAnsi="Arial" w:cstheme="minorBidi"/>
          <w:color w:val="auto"/>
          <w:sz w:val="22"/>
          <w:szCs w:val="22"/>
        </w:rPr>
        <w:t>24</w:t>
      </w:r>
      <w:r w:rsidRPr="008775E5">
        <w:rPr>
          <w:rFonts w:ascii="Arial" w:hAnsi="Arial" w:cs="Arial"/>
          <w:color w:val="auto"/>
          <w:sz w:val="22"/>
          <w:szCs w:val="22"/>
        </w:rPr>
        <w:t>, their financial performance and</w:t>
      </w:r>
      <w:r w:rsidRPr="00F6524C">
        <w:rPr>
          <w:rFonts w:ascii="Arial" w:hAnsi="Arial" w:cs="Arial"/>
          <w:color w:val="auto"/>
          <w:sz w:val="22"/>
          <w:szCs w:val="22"/>
        </w:rPr>
        <w:t xml:space="preserve"> cash flows for the year then ended in accordance with Thai Financial Reporting Standards.</w:t>
      </w:r>
    </w:p>
    <w:p w14:paraId="09C695B6" w14:textId="358B62A5" w:rsidR="00A9638A" w:rsidRPr="00EE5251" w:rsidRDefault="008775E5" w:rsidP="00EE5251">
      <w:pPr>
        <w:pStyle w:val="ps-000-normal"/>
        <w:spacing w:before="120" w:line="380" w:lineRule="exact"/>
        <w:rPr>
          <w:rFonts w:ascii="Arial" w:hAnsi="Arial" w:cs="Arial"/>
          <w:b/>
          <w:bCs/>
          <w:sz w:val="22"/>
          <w:szCs w:val="22"/>
        </w:rPr>
      </w:pPr>
      <w:r w:rsidRPr="008775E5">
        <w:rPr>
          <w:rFonts w:ascii="Arial" w:hAnsi="Arial" w:cs="Arial"/>
          <w:b/>
          <w:bCs/>
          <w:sz w:val="22"/>
          <w:szCs w:val="22"/>
        </w:rPr>
        <w:t>Basis for Qualified Opinion</w:t>
      </w:r>
    </w:p>
    <w:p w14:paraId="3E499121" w14:textId="77777777" w:rsidR="008775E5" w:rsidRPr="00FA3E30" w:rsidRDefault="008775E5" w:rsidP="008775E5">
      <w:pPr>
        <w:overflowPunct/>
        <w:autoSpaceDE/>
        <w:adjustRightInd/>
        <w:spacing w:before="120" w:after="120" w:line="380" w:lineRule="exact"/>
        <w:rPr>
          <w:rFonts w:ascii="Arial" w:hAnsi="Arial" w:cs="Arial"/>
          <w:sz w:val="22"/>
          <w:szCs w:val="22"/>
        </w:rPr>
      </w:pPr>
      <w:r w:rsidRPr="0089485A">
        <w:rPr>
          <w:rFonts w:ascii="Arial" w:hAnsi="Arial" w:cs="Arial"/>
          <w:sz w:val="22"/>
          <w:szCs w:val="22"/>
        </w:rPr>
        <w:t xml:space="preserve">Securities and derivative business receivables of Baht </w:t>
      </w:r>
      <w:r>
        <w:rPr>
          <w:rFonts w:ascii="Arial" w:hAnsi="Arial" w:cs="Arial"/>
          <w:sz w:val="22"/>
          <w:szCs w:val="22"/>
        </w:rPr>
        <w:t>2,229</w:t>
      </w:r>
      <w:r w:rsidRPr="0089485A">
        <w:rPr>
          <w:rFonts w:ascii="Arial" w:hAnsi="Arial" w:cs="Arial"/>
          <w:sz w:val="22"/>
          <w:szCs w:val="22"/>
        </w:rPr>
        <w:t xml:space="preserve"> million of Trinity Securities Company Limited, which is a subsidiary of the Company, as presented in the consolidated statement</w:t>
      </w:r>
      <w:r>
        <w:rPr>
          <w:rFonts w:ascii="Arial" w:hAnsi="Arial" w:cs="Arial"/>
          <w:sz w:val="22"/>
          <w:szCs w:val="22"/>
        </w:rPr>
        <w:t xml:space="preserve"> of </w:t>
      </w:r>
      <w:r w:rsidRPr="0089485A">
        <w:rPr>
          <w:rFonts w:ascii="Arial" w:hAnsi="Arial" w:cs="Arial"/>
          <w:sz w:val="22"/>
          <w:szCs w:val="22"/>
        </w:rPr>
        <w:t>financial</w:t>
      </w:r>
      <w:r>
        <w:rPr>
          <w:rFonts w:ascii="Arial" w:hAnsi="Arial" w:cs="Arial"/>
          <w:sz w:val="22"/>
          <w:szCs w:val="22"/>
        </w:rPr>
        <w:t xml:space="preserve"> position</w:t>
      </w:r>
      <w:r w:rsidRPr="0089485A">
        <w:rPr>
          <w:rFonts w:ascii="Arial" w:hAnsi="Arial" w:cs="Arial"/>
          <w:sz w:val="22"/>
          <w:szCs w:val="22"/>
        </w:rPr>
        <w:t xml:space="preserve"> as at 31 December 202</w:t>
      </w:r>
      <w:r>
        <w:rPr>
          <w:rFonts w:ascii="Arial" w:hAnsi="Arial" w:cs="Arial"/>
          <w:sz w:val="22"/>
          <w:szCs w:val="22"/>
        </w:rPr>
        <w:t>4</w:t>
      </w:r>
      <w:r>
        <w:rPr>
          <w:rFonts w:ascii="Arial" w:hAnsi="Arial" w:cstheme="minorBidi" w:hint="cs"/>
          <w:sz w:val="22"/>
          <w:szCs w:val="22"/>
          <w:cs/>
        </w:rPr>
        <w:t xml:space="preserve"> </w:t>
      </w:r>
      <w:r>
        <w:rPr>
          <w:rFonts w:ascii="Arial" w:hAnsi="Arial" w:cs="Arial"/>
          <w:sz w:val="22"/>
          <w:szCs w:val="22"/>
        </w:rPr>
        <w:t>(2023: Baht 3,044 million)</w:t>
      </w:r>
      <w:r w:rsidRPr="0089485A">
        <w:rPr>
          <w:rFonts w:ascii="Arial" w:hAnsi="Arial" w:cs="Arial"/>
          <w:sz w:val="22"/>
          <w:szCs w:val="22"/>
        </w:rPr>
        <w:t xml:space="preserve">, </w:t>
      </w:r>
      <w:r w:rsidRPr="00BF69AA">
        <w:rPr>
          <w:rFonts w:ascii="Arial" w:hAnsi="Arial" w:cs="Arial"/>
          <w:sz w:val="22"/>
          <w:szCs w:val="22"/>
        </w:rPr>
        <w:t xml:space="preserve">included securities business receivables of Baht </w:t>
      </w:r>
      <w:r>
        <w:rPr>
          <w:rFonts w:ascii="Arial" w:hAnsi="Arial" w:cs="Arial"/>
          <w:sz w:val="22"/>
          <w:szCs w:val="22"/>
        </w:rPr>
        <w:t>479</w:t>
      </w:r>
      <w:r w:rsidRPr="00BF69AA">
        <w:rPr>
          <w:rFonts w:ascii="Arial" w:hAnsi="Arial" w:cs="Arial"/>
          <w:sz w:val="22"/>
          <w:szCs w:val="22"/>
        </w:rPr>
        <w:t xml:space="preserve">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w:t>
      </w:r>
      <w:r>
        <w:rPr>
          <w:rFonts w:ascii="Arial" w:hAnsi="Arial" w:cs="Arial"/>
          <w:sz w:val="22"/>
          <w:szCs w:val="22"/>
        </w:rPr>
        <w:t>2</w:t>
      </w:r>
      <w:r w:rsidRPr="00BF69AA">
        <w:rPr>
          <w:rFonts w:ascii="Arial" w:hAnsi="Arial" w:cs="Arial"/>
          <w:sz w:val="22"/>
          <w:szCs w:val="22"/>
        </w:rPr>
        <w:t xml:space="preserve">,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w:t>
      </w:r>
    </w:p>
    <w:p w14:paraId="24F8241C" w14:textId="77777777" w:rsidR="00B24AC3" w:rsidRDefault="00B24AC3" w:rsidP="008775E5">
      <w:pPr>
        <w:overflowPunct/>
        <w:autoSpaceDE/>
        <w:adjustRightInd/>
        <w:spacing w:before="120" w:after="120" w:line="380" w:lineRule="exact"/>
        <w:rPr>
          <w:rFonts w:ascii="Arial" w:hAnsi="Arial" w:cs="Arial"/>
          <w:sz w:val="22"/>
          <w:szCs w:val="22"/>
        </w:rPr>
        <w:sectPr w:rsidR="00B24AC3" w:rsidSect="00B24AC3">
          <w:footerReference w:type="first" r:id="rId9"/>
          <w:pgSz w:w="11909" w:h="16834" w:code="9"/>
          <w:pgMar w:top="2880" w:right="1080" w:bottom="1080" w:left="1296" w:header="720" w:footer="720" w:gutter="0"/>
          <w:pgNumType w:start="2"/>
          <w:cols w:space="720"/>
          <w:titlePg/>
          <w:docGrid w:linePitch="360"/>
        </w:sectPr>
      </w:pPr>
    </w:p>
    <w:p w14:paraId="27516D24" w14:textId="70A45ED9" w:rsidR="008775E5" w:rsidRDefault="008775E5" w:rsidP="008775E5">
      <w:pPr>
        <w:overflowPunct/>
        <w:autoSpaceDE/>
        <w:adjustRightInd/>
        <w:spacing w:before="120" w:after="120" w:line="380" w:lineRule="exact"/>
        <w:rPr>
          <w:rFonts w:ascii="Arial" w:hAnsi="Arial" w:cstheme="minorBidi"/>
          <w:sz w:val="22"/>
          <w:szCs w:val="22"/>
        </w:rPr>
      </w:pPr>
      <w:r w:rsidRPr="00FD7F7F">
        <w:rPr>
          <w:rFonts w:ascii="Arial" w:hAnsi="Arial" w:cs="Arial"/>
          <w:sz w:val="22"/>
          <w:szCs w:val="22"/>
        </w:rPr>
        <w:lastRenderedPageBreak/>
        <w:t xml:space="preserve">In preparation for the consolidated and separate financial statements for the year ended </w:t>
      </w:r>
      <w:r w:rsidR="00B24AC3">
        <w:rPr>
          <w:rFonts w:ascii="Arial" w:hAnsi="Arial" w:cstheme="minorBidi" w:hint="cs"/>
          <w:sz w:val="22"/>
          <w:szCs w:val="22"/>
          <w:cs/>
        </w:rPr>
        <w:t xml:space="preserve">                       </w:t>
      </w:r>
      <w:r w:rsidRPr="00FD7F7F">
        <w:rPr>
          <w:rFonts w:ascii="Arial" w:hAnsi="Arial" w:cs="Arial"/>
          <w:sz w:val="22"/>
          <w:szCs w:val="22"/>
        </w:rPr>
        <w:t>31 December 2023, the management of the Company and its subsidiary believe</w:t>
      </w:r>
      <w:r>
        <w:rPr>
          <w:rFonts w:ascii="Arial" w:hAnsi="Arial" w:cs="Arial"/>
          <w:sz w:val="22"/>
          <w:szCs w:val="22"/>
        </w:rPr>
        <w:t xml:space="preserve"> that</w:t>
      </w:r>
      <w:r w:rsidRPr="00FD7F7F">
        <w:rPr>
          <w:rFonts w:ascii="Arial" w:hAnsi="Arial" w:cs="Arial"/>
          <w:sz w:val="22"/>
          <w:szCs w:val="22"/>
        </w:rPr>
        <w:t xml:space="preserve"> there is a high probability that</w:t>
      </w:r>
      <w:r w:rsidRPr="00CB5E7D">
        <w:rPr>
          <w:rFonts w:ascii="Arial" w:hAnsi="Arial" w:cs="Arial"/>
          <w:sz w:val="22"/>
          <w:szCs w:val="22"/>
        </w:rPr>
        <w:t xml:space="preserve"> this transaction will be cancelled and treated as if it had never occurred. </w:t>
      </w:r>
      <w:r w:rsidR="00B24AC3">
        <w:rPr>
          <w:rFonts w:ascii="Arial" w:hAnsi="Arial" w:cstheme="minorBidi" w:hint="cs"/>
          <w:sz w:val="22"/>
          <w:szCs w:val="22"/>
          <w:cs/>
        </w:rPr>
        <w:t xml:space="preserve">             </w:t>
      </w:r>
      <w:r w:rsidRPr="00FD7F7F">
        <w:rPr>
          <w:rFonts w:ascii="Arial" w:hAnsi="Arial" w:cs="Arial"/>
          <w:sz w:val="22"/>
          <w:szCs w:val="22"/>
        </w:rPr>
        <w:t xml:space="preserve">The overdue amount is expected to be fully reimbursed from assets that have been seized in accordance with a court order. Recording an allowance for expected credit losses for this transaction may </w:t>
      </w:r>
      <w:r w:rsidRPr="00BF69AA">
        <w:rPr>
          <w:rFonts w:ascii="Arial" w:hAnsi="Arial" w:cs="Arial"/>
          <w:sz w:val="22"/>
          <w:szCs w:val="22"/>
        </w:rPr>
        <w:t>may have an adverse effect on the case</w:t>
      </w:r>
      <w:r w:rsidRPr="00FA3E30">
        <w:rPr>
          <w:rFonts w:ascii="Arial" w:hAnsi="Arial" w:cs="Arial"/>
          <w:sz w:val="22"/>
          <w:szCs w:val="22"/>
        </w:rPr>
        <w:t>,</w:t>
      </w:r>
      <w:r w:rsidRPr="00285A01">
        <w:rPr>
          <w:rFonts w:ascii="Arial" w:hAnsi="Arial" w:cs="Arial"/>
          <w:sz w:val="22"/>
          <w:szCs w:val="22"/>
        </w:rPr>
        <w:t xml:space="preserve"> </w:t>
      </w:r>
      <w:r>
        <w:rPr>
          <w:rFonts w:ascii="Arial" w:hAnsi="Arial" w:cs="Arial"/>
          <w:sz w:val="22"/>
          <w:szCs w:val="22"/>
        </w:rPr>
        <w:t xml:space="preserve">therefore, the subsidiary did not record any allowance for expected credit losses related to this transaction. </w:t>
      </w:r>
      <w:r w:rsidRPr="00BF69AA">
        <w:rPr>
          <w:rFonts w:ascii="Arial" w:hAnsi="Arial" w:cs="Arial"/>
          <w:sz w:val="22"/>
          <w:szCs w:val="22"/>
        </w:rPr>
        <w:t xml:space="preserve">As this event is considered an abnormal transaction, the management of the Company and the subsidiary </w:t>
      </w:r>
      <w:r>
        <w:rPr>
          <w:rFonts w:ascii="Arial" w:hAnsi="Arial" w:cs="Arial"/>
          <w:sz w:val="22"/>
          <w:szCs w:val="22"/>
        </w:rPr>
        <w:t>was</w:t>
      </w:r>
      <w:r w:rsidRPr="00BF69AA">
        <w:rPr>
          <w:rFonts w:ascii="Arial" w:hAnsi="Arial" w:cs="Arial"/>
          <w:sz w:val="22"/>
          <w:szCs w:val="22"/>
        </w:rPr>
        <w:t xml:space="preserve"> unable to find past comparable cases or any supporting evidence to validate their belief. Therefore, it is beyond my ability to obtain sufficient appropriate audit evidence for the allowance for expected credit losses for such overdue receivable to conclude whether the allowance should be set up and, if so, what the appropriate balance of the allowance should be. </w:t>
      </w:r>
      <w:r w:rsidRPr="00FD7F7F">
        <w:rPr>
          <w:rFonts w:ascii="Arial" w:hAnsi="Arial" w:cs="Arial"/>
          <w:sz w:val="22"/>
          <w:szCs w:val="22"/>
        </w:rPr>
        <w:t xml:space="preserve">Consequently, I am unable to conclude whether an adjustment for the allowance for expected credit losses is necessary, nor can I determine the appropriate amount, if any. </w:t>
      </w:r>
      <w:r w:rsidRPr="00FA3E30">
        <w:rPr>
          <w:rFonts w:ascii="Arial" w:hAnsi="Arial" w:cs="Arial"/>
          <w:sz w:val="22"/>
          <w:szCs w:val="22"/>
        </w:rPr>
        <w:t xml:space="preserve">My opinion on the consolidated and separate financial statements for the year ended 31 December 2023 was therefore </w:t>
      </w:r>
      <w:r w:rsidRPr="00BF69AA">
        <w:rPr>
          <w:rFonts w:ascii="Arial" w:hAnsi="Arial" w:cs="Arial"/>
          <w:sz w:val="22"/>
          <w:szCs w:val="22"/>
        </w:rPr>
        <w:t xml:space="preserve">qualified on </w:t>
      </w:r>
      <w:r>
        <w:rPr>
          <w:rFonts w:ascii="Arial" w:hAnsi="Arial" w:cs="Arial"/>
          <w:sz w:val="22"/>
          <w:szCs w:val="22"/>
        </w:rPr>
        <w:t>such</w:t>
      </w:r>
      <w:r w:rsidRPr="00BF69AA">
        <w:rPr>
          <w:rFonts w:ascii="Arial" w:hAnsi="Arial" w:cs="Arial"/>
          <w:sz w:val="22"/>
          <w:szCs w:val="22"/>
        </w:rPr>
        <w:t xml:space="preserve"> matter.</w:t>
      </w:r>
    </w:p>
    <w:p w14:paraId="79D4C2DC" w14:textId="77777777" w:rsidR="008775E5" w:rsidRDefault="008775E5" w:rsidP="008775E5">
      <w:pPr>
        <w:overflowPunct/>
        <w:autoSpaceDE/>
        <w:adjustRightInd/>
        <w:spacing w:before="120" w:after="120" w:line="380" w:lineRule="exact"/>
        <w:rPr>
          <w:rFonts w:ascii="Arial" w:hAnsi="Arial" w:cstheme="minorBidi"/>
          <w:sz w:val="22"/>
          <w:szCs w:val="22"/>
        </w:rPr>
      </w:pPr>
      <w:r w:rsidRPr="00595E06">
        <w:rPr>
          <w:rFonts w:ascii="Arial" w:hAnsi="Arial" w:cstheme="minorBidi"/>
          <w:sz w:val="22"/>
          <w:szCs w:val="22"/>
        </w:rPr>
        <w:t>Subsequently, in 2024, the fair value of the seized assets, which include ordinary shares, decreased. Meanwhile, the court of the first instance made significant progress, with the schedule for the examination of witnesses expected to be completed by mid-March 2025. Based on consultation with</w:t>
      </w:r>
      <w:r>
        <w:rPr>
          <w:rFonts w:ascii="Arial" w:hAnsi="Arial" w:cstheme="minorBidi"/>
          <w:sz w:val="22"/>
          <w:szCs w:val="22"/>
        </w:rPr>
        <w:t xml:space="preserve"> the</w:t>
      </w:r>
      <w:r w:rsidRPr="00595E06">
        <w:rPr>
          <w:rFonts w:ascii="Arial" w:hAnsi="Arial" w:cstheme="minorBidi"/>
          <w:sz w:val="22"/>
          <w:szCs w:val="22"/>
        </w:rPr>
        <w:t xml:space="preserve"> legal advisor, the subsidiary anticipates that the distribution of the seized assets to the victims may occur in 2027. Consequently, as of 31 December 2024, the subsidiary estimated the allowance for expected credit losses to be approximately Baht 25 million. This estimate reflects the present value of the assets that the subsidiary expects to recover, proportionate to the damages incurred. The calculation used various assumptions, including the expected outcome of the court's judgment, the distribution of the seized assets to the victims, the timeline for each stage of the case, and the expectation that the transaction will be canceled and treated as if it had never occurred. It is also based on the assumption that the overdue amount will be fully reimbursed from the seized assets in accordance with the court order within the expected timeline. Furthermore, the outcome of the asset seizure in the civil case is not anticipated to be directly affected by any ongoing criminal proceedings.</w:t>
      </w:r>
    </w:p>
    <w:p w14:paraId="7D0FDB83" w14:textId="77777777" w:rsidR="00B24AC3" w:rsidRDefault="00B24AC3">
      <w:pPr>
        <w:widowControl/>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rPr>
        <w:br w:type="page"/>
      </w:r>
    </w:p>
    <w:p w14:paraId="72446861" w14:textId="08FD6B73" w:rsidR="008775E5" w:rsidRPr="00195F45" w:rsidRDefault="008775E5" w:rsidP="008775E5">
      <w:pPr>
        <w:overflowPunct/>
        <w:autoSpaceDE/>
        <w:adjustRightInd/>
        <w:spacing w:before="120" w:after="120" w:line="380" w:lineRule="exact"/>
        <w:rPr>
          <w:rFonts w:ascii="Arial" w:hAnsi="Arial" w:cstheme="minorBidi"/>
          <w:sz w:val="22"/>
          <w:szCs w:val="22"/>
        </w:rPr>
      </w:pPr>
      <w:r w:rsidRPr="00401AEA">
        <w:rPr>
          <w:rFonts w:ascii="Arial" w:hAnsi="Arial" w:cstheme="minorBidi"/>
          <w:sz w:val="22"/>
          <w:szCs w:val="22"/>
        </w:rPr>
        <w:lastRenderedPageBreak/>
        <w:t>As this event is considered an abnormal transaction, the management of the Company and the subsidiary have been unable to find past comparable cases or any supporting evidence to validate their assumptions. Additionally, I have not received information about the criminal case that is currently with the prosecutor, which concerns the indictment of the accused and may affect the seized assets. Furthermore, I have not been informed about the cases that the relevant authorities have submitted to the prosecutor, including the Attorney General's considerations.</w:t>
      </w:r>
      <w:r>
        <w:rPr>
          <w:rFonts w:ascii="Arial" w:hAnsi="Arial" w:cstheme="minorBidi"/>
          <w:sz w:val="22"/>
          <w:szCs w:val="22"/>
        </w:rPr>
        <w:t xml:space="preserve"> T</w:t>
      </w:r>
      <w:r w:rsidRPr="004F6B13">
        <w:rPr>
          <w:rFonts w:ascii="Arial" w:hAnsi="Arial" w:cstheme="minorBidi"/>
          <w:sz w:val="22"/>
          <w:szCs w:val="22"/>
        </w:rPr>
        <w:t xml:space="preserve">herefore, it is beyond my ability to obtain sufficient appropriate audit evidence to determine whether the allowance for expected credit losses for the subsidiary's overdue receivable, as presented in the financial statements, is adequate. Consequently, I am unable to conclude whether an adjustment to the allowance for expected credit losses is necessary or to determine the appropriate amount, if any. My opinion on the consolidated and separate financial statements for the year ended 31 December 2024 was </w:t>
      </w:r>
      <w:r>
        <w:rPr>
          <w:rFonts w:ascii="Arial" w:hAnsi="Arial" w:cs="Arial"/>
          <w:sz w:val="22"/>
          <w:szCs w:val="22"/>
        </w:rPr>
        <w:t>also</w:t>
      </w:r>
      <w:r w:rsidRPr="00FA3E30">
        <w:rPr>
          <w:rFonts w:ascii="Arial" w:hAnsi="Arial" w:cs="Arial"/>
          <w:sz w:val="22"/>
          <w:szCs w:val="22"/>
        </w:rPr>
        <w:t xml:space="preserve"> qualified </w:t>
      </w:r>
      <w:r w:rsidRPr="00BF69AA">
        <w:rPr>
          <w:rFonts w:ascii="Arial" w:hAnsi="Arial" w:cs="Arial"/>
          <w:sz w:val="22"/>
          <w:szCs w:val="22"/>
        </w:rPr>
        <w:t xml:space="preserve">on </w:t>
      </w:r>
      <w:r>
        <w:rPr>
          <w:rFonts w:ascii="Arial" w:hAnsi="Arial" w:cs="Arial"/>
          <w:sz w:val="22"/>
          <w:szCs w:val="22"/>
        </w:rPr>
        <w:t>such</w:t>
      </w:r>
      <w:r w:rsidRPr="00BF69AA">
        <w:rPr>
          <w:rFonts w:ascii="Arial" w:hAnsi="Arial" w:cs="Arial"/>
          <w:sz w:val="22"/>
          <w:szCs w:val="22"/>
        </w:rPr>
        <w:t xml:space="preserve"> matter</w:t>
      </w:r>
    </w:p>
    <w:p w14:paraId="4565582F" w14:textId="77777777" w:rsidR="008775E5" w:rsidRPr="00EE5251" w:rsidRDefault="008775E5" w:rsidP="008775E5">
      <w:pPr>
        <w:pStyle w:val="ps-000-normal"/>
        <w:spacing w:before="120" w:line="380" w:lineRule="exact"/>
        <w:rPr>
          <w:rFonts w:ascii="Arial" w:hAnsi="Arial" w:cstheme="minorBidi"/>
          <w:sz w:val="22"/>
          <w:szCs w:val="22"/>
        </w:rPr>
      </w:pPr>
      <w:r w:rsidRPr="00BF69AA">
        <w:rPr>
          <w:rFonts w:ascii="Arial" w:hAnsi="Arial" w:cs="Arial"/>
          <w:sz w:val="22"/>
          <w:szCs w:val="22"/>
        </w:rPr>
        <w:t xml:space="preserve">If adjustments are necessary for the aforementioned transaction, the total assets and </w:t>
      </w:r>
      <w:r>
        <w:rPr>
          <w:rFonts w:ascii="Arial" w:hAnsi="Arial" w:cs="Arial"/>
          <w:sz w:val="22"/>
          <w:szCs w:val="22"/>
        </w:rPr>
        <w:t xml:space="preserve">deficit </w:t>
      </w:r>
      <w:r w:rsidRPr="00BF69AA">
        <w:rPr>
          <w:rFonts w:ascii="Arial" w:hAnsi="Arial" w:cs="Arial"/>
          <w:sz w:val="22"/>
          <w:szCs w:val="22"/>
        </w:rPr>
        <w:t>in the consolidated</w:t>
      </w:r>
      <w:r>
        <w:rPr>
          <w:rFonts w:ascii="Arial" w:hAnsi="Arial" w:cs="Arial"/>
          <w:sz w:val="22"/>
          <w:szCs w:val="22"/>
        </w:rPr>
        <w:t xml:space="preserve"> and separate</w:t>
      </w:r>
      <w:r w:rsidRPr="00BF69AA">
        <w:rPr>
          <w:rFonts w:ascii="Arial" w:hAnsi="Arial" w:cs="Arial"/>
          <w:sz w:val="22"/>
          <w:szCs w:val="22"/>
        </w:rPr>
        <w:t xml:space="preserve"> statement</w:t>
      </w:r>
      <w:r>
        <w:rPr>
          <w:rFonts w:ascii="Arial" w:hAnsi="Arial" w:cs="Arial"/>
          <w:sz w:val="22"/>
          <w:szCs w:val="22"/>
        </w:rPr>
        <w:t>s</w:t>
      </w:r>
      <w:r w:rsidRPr="00BF69AA">
        <w:rPr>
          <w:rFonts w:ascii="Arial" w:hAnsi="Arial" w:cs="Arial"/>
          <w:sz w:val="22"/>
          <w:szCs w:val="22"/>
        </w:rPr>
        <w:t xml:space="preserve"> of financial position (which presented investments</w:t>
      </w:r>
      <w:r>
        <w:rPr>
          <w:rFonts w:ascii="Arial" w:hAnsi="Arial" w:cs="Arial"/>
          <w:sz w:val="22"/>
          <w:szCs w:val="22"/>
        </w:rPr>
        <w:t xml:space="preserve"> </w:t>
      </w:r>
      <w:r w:rsidRPr="00BF69AA">
        <w:rPr>
          <w:rFonts w:ascii="Arial" w:hAnsi="Arial" w:cs="Arial"/>
          <w:sz w:val="22"/>
          <w:szCs w:val="22"/>
        </w:rPr>
        <w:t>in subsidiaries under the equity method) as at</w:t>
      </w:r>
      <w:r>
        <w:rPr>
          <w:rFonts w:ascii="Arial" w:hAnsi="Arial" w:cs="Arial"/>
          <w:sz w:val="22"/>
          <w:szCs w:val="22"/>
        </w:rPr>
        <w:t xml:space="preserve"> 31 December 2024 and </w:t>
      </w:r>
      <w:r w:rsidRPr="00BF69AA">
        <w:rPr>
          <w:rFonts w:ascii="Arial" w:hAnsi="Arial" w:cs="Arial"/>
          <w:sz w:val="22"/>
          <w:szCs w:val="22"/>
        </w:rPr>
        <w:t>2023 will decrease</w:t>
      </w:r>
      <w:r>
        <w:rPr>
          <w:rFonts w:ascii="Arial" w:hAnsi="Arial" w:cs="Arial"/>
          <w:sz w:val="22"/>
          <w:szCs w:val="22"/>
        </w:rPr>
        <w:t xml:space="preserve"> and increase, respectively</w:t>
      </w:r>
      <w:r w:rsidRPr="00BF69AA">
        <w:rPr>
          <w:rFonts w:ascii="Arial" w:hAnsi="Arial" w:cs="Arial"/>
          <w:sz w:val="22"/>
          <w:szCs w:val="22"/>
        </w:rPr>
        <w:t xml:space="preserve">, and </w:t>
      </w:r>
      <w:r>
        <w:rPr>
          <w:rFonts w:ascii="Arial" w:hAnsi="Arial" w:cs="Arial"/>
          <w:sz w:val="22"/>
          <w:szCs w:val="22"/>
        </w:rPr>
        <w:t xml:space="preserve"> </w:t>
      </w:r>
      <w:r w:rsidRPr="00BF69AA">
        <w:rPr>
          <w:rFonts w:ascii="Arial" w:hAnsi="Arial" w:cs="Arial"/>
          <w:sz w:val="22"/>
          <w:szCs w:val="22"/>
        </w:rPr>
        <w:t>this will have an impact on the</w:t>
      </w:r>
      <w:r>
        <w:rPr>
          <w:rFonts w:ascii="Arial" w:hAnsi="Arial" w:cs="Arial"/>
          <w:sz w:val="22"/>
          <w:szCs w:val="22"/>
        </w:rPr>
        <w:t xml:space="preserve"> profit or</w:t>
      </w:r>
      <w:r w:rsidRPr="00BF69AA">
        <w:rPr>
          <w:rFonts w:ascii="Arial" w:hAnsi="Arial" w:cs="Arial"/>
          <w:sz w:val="22"/>
          <w:szCs w:val="22"/>
        </w:rPr>
        <w:t xml:space="preserve"> loss for the </w:t>
      </w:r>
      <w:r>
        <w:rPr>
          <w:rFonts w:ascii="Arial" w:hAnsi="Arial" w:cs="Arial"/>
          <w:sz w:val="22"/>
          <w:szCs w:val="22"/>
        </w:rPr>
        <w:t>year</w:t>
      </w:r>
      <w:r w:rsidRPr="00BF69AA">
        <w:rPr>
          <w:rFonts w:ascii="Arial" w:hAnsi="Arial" w:cs="Arial"/>
          <w:sz w:val="22"/>
          <w:szCs w:val="22"/>
        </w:rPr>
        <w:t xml:space="preserve"> and total comprehensive income in the consolidated and separate statements </w:t>
      </w:r>
      <w:r>
        <w:rPr>
          <w:rFonts w:ascii="Arial" w:hAnsi="Arial" w:cs="Arial"/>
          <w:sz w:val="22"/>
          <w:szCs w:val="22"/>
        </w:rPr>
        <w:t xml:space="preserve">of comprehensive income </w:t>
      </w:r>
      <w:r w:rsidRPr="00BF69AA">
        <w:rPr>
          <w:rFonts w:ascii="Arial" w:hAnsi="Arial" w:cs="Arial"/>
          <w:sz w:val="22"/>
          <w:szCs w:val="22"/>
        </w:rPr>
        <w:t xml:space="preserve">for the </w:t>
      </w:r>
      <w:r>
        <w:rPr>
          <w:rFonts w:ascii="Arial" w:hAnsi="Arial" w:cs="Arial"/>
          <w:sz w:val="22"/>
          <w:szCs w:val="22"/>
        </w:rPr>
        <w:t>years</w:t>
      </w:r>
      <w:r w:rsidRPr="00BF69AA">
        <w:rPr>
          <w:rFonts w:ascii="Arial" w:hAnsi="Arial" w:cs="Arial"/>
          <w:sz w:val="22"/>
          <w:szCs w:val="22"/>
        </w:rPr>
        <w:t xml:space="preserve"> ended </w:t>
      </w:r>
      <w:r>
        <w:rPr>
          <w:rFonts w:ascii="Arial" w:hAnsi="Arial" w:cs="Arial"/>
          <w:sz w:val="22"/>
          <w:szCs w:val="22"/>
        </w:rPr>
        <w:t>31 December 2024 and 2023</w:t>
      </w:r>
      <w:r w:rsidRPr="00AF6854">
        <w:rPr>
          <w:rFonts w:ascii="Arial" w:hAnsi="Arial" w:cs="Arial"/>
          <w:sz w:val="22"/>
          <w:szCs w:val="22"/>
        </w:rPr>
        <w:t>.</w:t>
      </w:r>
    </w:p>
    <w:p w14:paraId="00C80AD5" w14:textId="06F4EAA7" w:rsidR="00446987" w:rsidRDefault="008775E5" w:rsidP="00F55CB5">
      <w:pPr>
        <w:pStyle w:val="ps-000-normal"/>
        <w:spacing w:before="120" w:line="380" w:lineRule="exact"/>
        <w:rPr>
          <w:rFonts w:ascii="Arial" w:hAnsi="Arial" w:cs="Arial"/>
          <w:sz w:val="22"/>
          <w:szCs w:val="22"/>
        </w:rPr>
      </w:pPr>
      <w:r w:rsidRPr="00255BB7">
        <w:rPr>
          <w:rFonts w:ascii="Arial" w:hAnsi="Arial" w:cs="Arial"/>
          <w:sz w:val="22"/>
          <w:szCs w:val="22"/>
        </w:rPr>
        <w:t xml:space="preserve">I conducted my audit in accordance with Thai Standards on Auditing. My responsibilities under those standards are further described in the </w:t>
      </w:r>
      <w:r w:rsidRPr="00255BB7">
        <w:rPr>
          <w:rFonts w:ascii="Arial" w:hAnsi="Arial" w:cs="Arial"/>
          <w:i/>
          <w:iCs/>
          <w:sz w:val="22"/>
          <w:szCs w:val="22"/>
        </w:rPr>
        <w:t>Auditor’s Responsibilities</w:t>
      </w:r>
      <w:r w:rsidRPr="00C95693">
        <w:rPr>
          <w:rFonts w:ascii="Arial" w:hAnsi="Arial" w:cs="Arial"/>
          <w:i/>
          <w:iCs/>
          <w:sz w:val="22"/>
          <w:szCs w:val="22"/>
        </w:rPr>
        <w:t xml:space="preserve"> for the Audit of </w:t>
      </w:r>
      <w:r w:rsidRPr="00FC4532">
        <w:rPr>
          <w:rFonts w:ascii="Arial" w:hAnsi="Arial" w:cs="Arial"/>
          <w:i/>
          <w:iCs/>
          <w:sz w:val="22"/>
          <w:szCs w:val="22"/>
        </w:rPr>
        <w:t>the Financial Statements</w:t>
      </w:r>
      <w:r w:rsidRPr="00FC4532">
        <w:rPr>
          <w:rFonts w:ascii="Arial" w:hAnsi="Arial" w:cs="Arial"/>
          <w:sz w:val="22"/>
          <w:szCs w:val="22"/>
        </w:rPr>
        <w:t xml:space="preserve"> section of my report. </w:t>
      </w:r>
      <w:r w:rsidRPr="00B26662">
        <w:rPr>
          <w:rFonts w:ascii="Arial" w:hAnsi="Arial" w:cs="Arial"/>
          <w:sz w:val="22"/>
          <w:szCs w:val="22"/>
        </w:rPr>
        <w:t>I am independent of the Group in accordance with the</w:t>
      </w:r>
      <w:r w:rsidRPr="00B26662">
        <w:rPr>
          <w:rFonts w:ascii="Arial" w:hAnsi="Arial" w:cs="Arial"/>
          <w:i/>
          <w:iCs/>
          <w:sz w:val="22"/>
          <w:szCs w:val="22"/>
        </w:rPr>
        <w:t xml:space="preserve"> Code of Ethics for Professional Accountants</w:t>
      </w:r>
      <w:r w:rsidRPr="00B26662">
        <w:rPr>
          <w:rFonts w:ascii="Arial" w:hAnsi="Arial" w:cstheme="minorBidi" w:hint="cs"/>
          <w:i/>
          <w:iCs/>
          <w:sz w:val="22"/>
          <w:szCs w:val="22"/>
          <w:cs/>
        </w:rPr>
        <w:t xml:space="preserve"> </w:t>
      </w:r>
      <w:r w:rsidRPr="00B26662">
        <w:rPr>
          <w:rFonts w:ascii="Arial" w:hAnsi="Arial" w:cstheme="minorBidi"/>
          <w:i/>
          <w:iCs/>
          <w:sz w:val="22"/>
          <w:szCs w:val="22"/>
        </w:rPr>
        <w:t>including Independence Standards</w:t>
      </w:r>
      <w:r w:rsidRPr="00B26662">
        <w:rPr>
          <w:rFonts w:ascii="Arial" w:hAnsi="Arial" w:cstheme="minorBidi"/>
          <w:sz w:val="22"/>
          <w:szCs w:val="22"/>
        </w:rPr>
        <w:t xml:space="preserve"> issued by</w:t>
      </w:r>
      <w:r w:rsidRPr="00B26662">
        <w:rPr>
          <w:rFonts w:ascii="Arial" w:hAnsi="Arial" w:cs="Arial"/>
          <w:sz w:val="22"/>
          <w:szCs w:val="22"/>
        </w:rPr>
        <w:t xml:space="preserve"> the Federation of Accounting Professions (Code of Ethics for Professional Accountants)</w:t>
      </w:r>
      <w:r w:rsidRPr="00B26662">
        <w:rPr>
          <w:rFonts w:ascii="Arial" w:hAnsi="Arial" w:cstheme="minorBidi" w:hint="cs"/>
          <w:sz w:val="22"/>
          <w:szCs w:val="22"/>
          <w:cs/>
        </w:rPr>
        <w:t xml:space="preserve"> </w:t>
      </w:r>
      <w:r w:rsidRPr="00B26662">
        <w:rPr>
          <w:rFonts w:ascii="Arial" w:hAnsi="Arial" w:cs="Browallia New"/>
          <w:sz w:val="22"/>
          <w:szCs w:val="28"/>
        </w:rPr>
        <w:t xml:space="preserve">that are </w:t>
      </w:r>
      <w:r w:rsidRPr="00B26662">
        <w:rPr>
          <w:rFonts w:ascii="Arial" w:hAnsi="Arial" w:cs="Arial"/>
          <w:sz w:val="22"/>
          <w:szCs w:val="22"/>
        </w:rPr>
        <w:t>relevant to my audit of the financial statements, and I have fulfilled my other ethical responsibilities in accordance with the Code of Ethics for Professional Accountants. I believe that the audit evidence I have obtained is su</w:t>
      </w:r>
      <w:r w:rsidRPr="008775E5">
        <w:rPr>
          <w:rFonts w:ascii="Arial" w:hAnsi="Arial" w:cs="Arial"/>
          <w:sz w:val="22"/>
          <w:szCs w:val="22"/>
        </w:rPr>
        <w:t>fficient and appropriate to provide a basis for my qualified opinion</w:t>
      </w:r>
      <w:r w:rsidRPr="008775E5">
        <w:rPr>
          <w:rFonts w:ascii="Arial" w:hAnsi="Arial" w:cstheme="minorBidi" w:hint="cs"/>
          <w:sz w:val="22"/>
          <w:szCs w:val="22"/>
          <w:cs/>
        </w:rPr>
        <w:t xml:space="preserve"> </w:t>
      </w:r>
      <w:r w:rsidRPr="008775E5">
        <w:rPr>
          <w:rFonts w:ascii="Arial" w:hAnsi="Arial" w:cstheme="minorBidi"/>
          <w:sz w:val="22"/>
          <w:szCs w:val="22"/>
        </w:rPr>
        <w:t>on the consolidated financial statements</w:t>
      </w:r>
      <w:r w:rsidR="007E2F8C" w:rsidRPr="008775E5">
        <w:rPr>
          <w:rFonts w:ascii="Arial" w:hAnsi="Arial" w:cs="Arial"/>
          <w:sz w:val="22"/>
          <w:szCs w:val="22"/>
        </w:rPr>
        <w:t>.</w:t>
      </w:r>
    </w:p>
    <w:p w14:paraId="13E9C56C" w14:textId="33F145FE" w:rsidR="00F55CB5" w:rsidRPr="00A9638A" w:rsidRDefault="00F55CB5"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Key Audit Matters</w:t>
      </w:r>
    </w:p>
    <w:p w14:paraId="57D7790F" w14:textId="77777777" w:rsidR="008775E5" w:rsidRDefault="008775E5" w:rsidP="008775E5">
      <w:pPr>
        <w:pStyle w:val="ps-000-normal"/>
        <w:spacing w:line="380" w:lineRule="exact"/>
        <w:rPr>
          <w:rFonts w:ascii="Arial" w:hAnsi="Arial" w:cs="Arial"/>
          <w:sz w:val="22"/>
          <w:szCs w:val="22"/>
        </w:rPr>
      </w:pPr>
      <w:r w:rsidRPr="00D76E69">
        <w:rPr>
          <w:rFonts w:ascii="Arial" w:hAnsi="Arial" w:cs="Arial"/>
          <w:sz w:val="22"/>
          <w:szCs w:val="22"/>
        </w:rPr>
        <w:t>Key audit matters are those matters that, in my professional judgement, were of most significance in my audit of</w:t>
      </w:r>
      <w:r>
        <w:rPr>
          <w:rFonts w:ascii="Arial" w:hAnsi="Arial" w:cs="Arial"/>
          <w:sz w:val="22"/>
          <w:szCs w:val="22"/>
        </w:rPr>
        <w:t xml:space="preserve">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18B1B1A2" w14:textId="77777777" w:rsidR="00B24AC3" w:rsidRDefault="00B24AC3">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04C28BE" w14:textId="64652E64" w:rsidR="008775E5" w:rsidRPr="008775E5" w:rsidRDefault="008775E5" w:rsidP="008775E5">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w:t>
      </w:r>
      <w:r w:rsidRPr="008775E5">
        <w:rPr>
          <w:rFonts w:ascii="Arial" w:hAnsi="Arial" w:cs="Arial"/>
          <w:sz w:val="22"/>
          <w:szCs w:val="22"/>
        </w:rPr>
        <w:t>financial statements as a whole.</w:t>
      </w:r>
    </w:p>
    <w:p w14:paraId="4AF9165C" w14:textId="2FF7CA8F" w:rsidR="00C77920" w:rsidRDefault="008775E5" w:rsidP="008775E5">
      <w:pPr>
        <w:pStyle w:val="ps-000-normal"/>
        <w:spacing w:before="120" w:line="380" w:lineRule="exact"/>
        <w:rPr>
          <w:rFonts w:ascii="Arial" w:hAnsi="Arial" w:cs="Arial"/>
          <w:sz w:val="22"/>
          <w:szCs w:val="22"/>
        </w:rPr>
      </w:pPr>
      <w:r w:rsidRPr="008775E5">
        <w:rPr>
          <w:rFonts w:ascii="Arial" w:hAnsi="Arial" w:cs="Arial"/>
          <w:color w:val="auto"/>
          <w:sz w:val="22"/>
          <w:szCs w:val="22"/>
        </w:rPr>
        <w:t>In addition to the matter described in</w:t>
      </w:r>
      <w:r w:rsidRPr="008775E5">
        <w:rPr>
          <w:rFonts w:ascii="Arial" w:hAnsi="Arial" w:cs="Arial"/>
          <w:i/>
          <w:iCs/>
          <w:color w:val="auto"/>
          <w:sz w:val="22"/>
          <w:szCs w:val="22"/>
        </w:rPr>
        <w:t xml:space="preserve"> the Basis for Qualified Opinion </w:t>
      </w:r>
      <w:r w:rsidRPr="008775E5">
        <w:rPr>
          <w:rFonts w:ascii="Arial" w:hAnsi="Arial" w:cs="Arial"/>
          <w:color w:val="auto"/>
          <w:sz w:val="22"/>
          <w:szCs w:val="22"/>
        </w:rPr>
        <w:t>section,</w:t>
      </w:r>
      <w:r w:rsidRPr="008775E5">
        <w:rPr>
          <w:rFonts w:ascii="Arial" w:hAnsi="Arial" w:cs="Arial"/>
          <w:sz w:val="22"/>
          <w:szCs w:val="22"/>
        </w:rPr>
        <w:t xml:space="preserve"> key audit matters and how audit procedures respond to each matter are described below</w:t>
      </w:r>
      <w:r w:rsidR="00C77920" w:rsidRPr="008775E5">
        <w:rPr>
          <w:rFonts w:ascii="Arial" w:hAnsi="Arial" w:cs="Arial"/>
          <w:sz w:val="22"/>
          <w:szCs w:val="22"/>
        </w:rPr>
        <w:t>.</w:t>
      </w:r>
    </w:p>
    <w:p w14:paraId="36584B7A" w14:textId="77777777" w:rsidR="00A9638A" w:rsidRPr="00A9638A" w:rsidRDefault="00A9638A" w:rsidP="00A51B6D">
      <w:pPr>
        <w:spacing w:before="12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14:paraId="74545C10" w14:textId="744D00E3"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646E33">
        <w:rPr>
          <w:rFonts w:ascii="Arial" w:hAnsi="Arial" w:cstheme="minorBidi"/>
          <w:color w:val="000000"/>
          <w:sz w:val="22"/>
          <w:szCs w:val="22"/>
        </w:rPr>
        <w:t>121</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646E33">
        <w:rPr>
          <w:rFonts w:ascii="Arial" w:hAnsi="Arial" w:cs="Arial"/>
          <w:color w:val="000000"/>
          <w:sz w:val="22"/>
          <w:szCs w:val="22"/>
        </w:rPr>
        <w:t>138</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w:t>
      </w:r>
      <w:r w:rsidR="001D4D9F">
        <w:rPr>
          <w:rFonts w:ascii="Arial" w:hAnsi="Arial" w:cs="Arial"/>
          <w:color w:val="000000"/>
          <w:sz w:val="22"/>
          <w:szCs w:val="22"/>
        </w:rPr>
        <w:t>2</w:t>
      </w:r>
      <w:r w:rsidR="007D34E0">
        <w:rPr>
          <w:rFonts w:ascii="Arial" w:hAnsi="Arial" w:cs="Arial"/>
          <w:color w:val="000000"/>
          <w:sz w:val="22"/>
          <w:szCs w:val="22"/>
        </w:rPr>
        <w:t>4</w:t>
      </w:r>
      <w:r w:rsidRPr="00A9638A">
        <w:rPr>
          <w:rFonts w:ascii="Arial" w:hAnsi="Arial" w:cs="Arial"/>
          <w:color w:val="000000"/>
          <w:sz w:val="22"/>
          <w:szCs w:val="22"/>
        </w:rPr>
        <w:t xml:space="preserve">, respectively, as discussed in Note </w:t>
      </w:r>
      <w:r w:rsidR="005E7C6F">
        <w:rPr>
          <w:rFonts w:ascii="Arial" w:hAnsi="Arial" w:cs="Arial"/>
          <w:color w:val="000000"/>
          <w:sz w:val="22"/>
          <w:szCs w:val="22"/>
        </w:rPr>
        <w:t>29</w:t>
      </w:r>
      <w:r w:rsidRPr="00A9638A">
        <w:rPr>
          <w:rFonts w:ascii="Arial" w:hAnsi="Arial" w:cs="Arial"/>
          <w:color w:val="000000"/>
          <w:sz w:val="22"/>
          <w:szCs w:val="22"/>
        </w:rPr>
        <w:t xml:space="preserve"> to the financial statements.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14:paraId="77B2FAA6" w14:textId="77777777"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calculation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14:paraId="1A532AF8" w14:textId="77777777" w:rsidR="00B24AC3" w:rsidRDefault="00B24AC3">
      <w:pPr>
        <w:widowControl/>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sz w:val="22"/>
          <w:szCs w:val="22"/>
        </w:rPr>
        <w:br w:type="page"/>
      </w:r>
    </w:p>
    <w:p w14:paraId="620EAD06" w14:textId="73F85EA1" w:rsidR="00A9638A" w:rsidRPr="00A9638A" w:rsidRDefault="00A9638A" w:rsidP="00A51B6D">
      <w:pPr>
        <w:pStyle w:val="ps-000-normal"/>
        <w:spacing w:before="120" w:line="380" w:lineRule="exact"/>
        <w:rPr>
          <w:rFonts w:ascii="Arial" w:hAnsi="Arial" w:cs="Arial"/>
          <w:b/>
          <w:bCs/>
          <w:i/>
          <w:iCs/>
          <w:sz w:val="22"/>
          <w:szCs w:val="22"/>
        </w:rPr>
      </w:pPr>
      <w:r w:rsidRPr="00A9638A">
        <w:rPr>
          <w:rFonts w:ascii="Arial" w:hAnsi="Arial" w:cs="Arial"/>
          <w:b/>
          <w:bCs/>
          <w:i/>
          <w:iCs/>
          <w:sz w:val="22"/>
          <w:szCs w:val="22"/>
        </w:rPr>
        <w:lastRenderedPageBreak/>
        <w:t xml:space="preserve">Goodwill </w:t>
      </w:r>
    </w:p>
    <w:p w14:paraId="6810B723" w14:textId="3B61D145" w:rsidR="00A9638A" w:rsidRPr="00A9638A" w:rsidRDefault="00E762EC" w:rsidP="00A51B6D">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 </w:t>
      </w:r>
      <w:r w:rsidR="000F47ED">
        <w:rPr>
          <w:rFonts w:ascii="Arial" w:hAnsi="Arial" w:cs="Arial"/>
          <w:sz w:val="22"/>
          <w:szCs w:val="22"/>
        </w:rPr>
        <w:t xml:space="preserve">4.12 and </w:t>
      </w:r>
      <w:r w:rsidR="008039DE">
        <w:rPr>
          <w:rFonts w:ascii="Arial" w:hAnsi="Arial" w:cs="Arial"/>
          <w:sz w:val="22"/>
          <w:szCs w:val="22"/>
        </w:rPr>
        <w:t xml:space="preserve">Note </w:t>
      </w:r>
      <w:r w:rsidR="000F47ED">
        <w:rPr>
          <w:rFonts w:ascii="Arial" w:hAnsi="Arial" w:cs="Arial"/>
          <w:sz w:val="22"/>
          <w:szCs w:val="22"/>
        </w:rPr>
        <w:t>2</w:t>
      </w:r>
      <w:r w:rsidR="00D945A2">
        <w:rPr>
          <w:rFonts w:ascii="Arial" w:hAnsi="Arial" w:cs="Arial"/>
          <w:sz w:val="22"/>
          <w:szCs w:val="22"/>
        </w:rPr>
        <w:t>1</w:t>
      </w:r>
      <w:r>
        <w:rPr>
          <w:rFonts w:ascii="Arial" w:hAnsi="Arial" w:cs="Arial"/>
          <w:sz w:val="22"/>
          <w:szCs w:val="22"/>
        </w:rPr>
        <w:t xml:space="preserve"> to the 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w:t>
      </w:r>
      <w:r w:rsidR="00B24AC3">
        <w:rPr>
          <w:rFonts w:ascii="Arial" w:hAnsi="Arial" w:cstheme="minorBidi" w:hint="cs"/>
          <w:sz w:val="22"/>
          <w:szCs w:val="22"/>
          <w:cs/>
        </w:rPr>
        <w:t xml:space="preserve">               </w:t>
      </w:r>
      <w:r w:rsidR="000844FD">
        <w:rPr>
          <w:rFonts w:ascii="Arial" w:hAnsi="Arial" w:cs="Arial"/>
          <w:sz w:val="22"/>
          <w:szCs w:val="22"/>
        </w:rPr>
        <w:t xml:space="preserve">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realisable values and in identifying the cash generating units, estimating the cash inflows that are expected to be generated from that group of assets in the future, and setting an appropriate discount rate and long-term growth rate. </w:t>
      </w:r>
    </w:p>
    <w:p w14:paraId="644EB27F" w14:textId="77777777" w:rsidR="00E762EC" w:rsidRPr="00E762EC" w:rsidRDefault="00E762EC" w:rsidP="00A51B6D">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realised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14:paraId="3A22AAD9" w14:textId="77777777"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Other Information</w:t>
      </w:r>
    </w:p>
    <w:p w14:paraId="5F011235" w14:textId="5FE7B5C3" w:rsidR="00A9638A" w:rsidRPr="00A9638A" w:rsidRDefault="00646E33" w:rsidP="00A51B6D">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w:t>
      </w:r>
      <w:r>
        <w:rPr>
          <w:rFonts w:ascii="Arial" w:hAnsi="Arial" w:cs="Browallia New"/>
          <w:sz w:val="22"/>
          <w:szCs w:val="28"/>
        </w:rPr>
        <w:t xml:space="preserve">of the Group </w:t>
      </w:r>
      <w:r>
        <w:rPr>
          <w:rFonts w:ascii="Arial" w:hAnsi="Arial" w:cs="Arial"/>
          <w:sz w:val="22"/>
          <w:szCs w:val="22"/>
        </w:rPr>
        <w:t>is expected to be made available to me after the date of this auditor’s report</w:t>
      </w:r>
      <w:r w:rsidR="00A9638A" w:rsidRPr="00A9638A">
        <w:rPr>
          <w:rFonts w:ascii="Arial" w:hAnsi="Arial" w:cs="Arial"/>
          <w:sz w:val="22"/>
          <w:szCs w:val="22"/>
        </w:rPr>
        <w:t>.</w:t>
      </w:r>
    </w:p>
    <w:p w14:paraId="1CE411CC" w14:textId="77777777" w:rsidR="00646E33" w:rsidRDefault="00A9638A" w:rsidP="00646E33">
      <w:pPr>
        <w:pStyle w:val="ps-000-normal"/>
        <w:spacing w:line="380" w:lineRule="exact"/>
        <w:rPr>
          <w:rFonts w:ascii="Arial" w:hAnsi="Arial" w:cs="Arial"/>
          <w:sz w:val="22"/>
          <w:szCs w:val="22"/>
        </w:rPr>
      </w:pPr>
      <w:r w:rsidRPr="00A9638A">
        <w:rPr>
          <w:rFonts w:ascii="Arial" w:hAnsi="Arial" w:cs="Arial"/>
          <w:sz w:val="22"/>
          <w:szCs w:val="22"/>
        </w:rPr>
        <w:t xml:space="preserve">My </w:t>
      </w:r>
      <w:r w:rsidR="00646E33">
        <w:rPr>
          <w:rFonts w:ascii="Arial" w:hAnsi="Arial" w:cs="Arial"/>
          <w:sz w:val="22"/>
          <w:szCs w:val="22"/>
        </w:rPr>
        <w:t>opinion on the financial statements does not cover the other information and I do not express any form of assurance conclusion thereon.</w:t>
      </w:r>
    </w:p>
    <w:p w14:paraId="748B7714"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13F4C7D4" w14:textId="25642E68" w:rsidR="00A9638A" w:rsidRPr="00A9638A" w:rsidRDefault="00646E33" w:rsidP="00646E33">
      <w:pPr>
        <w:pStyle w:val="ps-000-normal"/>
        <w:spacing w:before="120"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r w:rsidR="00A9638A" w:rsidRPr="00A9638A">
        <w:rPr>
          <w:rFonts w:ascii="Arial" w:hAnsi="Arial" w:cs="Arial"/>
          <w:sz w:val="22"/>
          <w:szCs w:val="22"/>
        </w:rPr>
        <w:t>.</w:t>
      </w:r>
    </w:p>
    <w:p w14:paraId="2674E5E2" w14:textId="77777777" w:rsidR="00B24AC3" w:rsidRDefault="00B24AC3">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7135134B" w14:textId="32A6075A"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lastRenderedPageBreak/>
        <w:t>Responsibilities of Management and Those Charged with Governance for the Financial Statements</w:t>
      </w:r>
    </w:p>
    <w:p w14:paraId="62006187"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 xml:space="preserve">Management is responsible for the </w:t>
      </w:r>
      <w:r w:rsidRPr="00D76E69">
        <w:rPr>
          <w:rFonts w:ascii="Arial" w:hAnsi="Arial" w:cs="Arial"/>
          <w:sz w:val="22"/>
          <w:szCs w:val="22"/>
        </w:rPr>
        <w:t>preparation and fair presentation</w:t>
      </w:r>
      <w:r>
        <w:rPr>
          <w:rFonts w:ascii="Arial" w:hAnsi="Arial" w:cs="Arial"/>
          <w:sz w:val="22"/>
          <w:szCs w:val="22"/>
        </w:rPr>
        <w:t xml:space="preserve">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3AA75FF"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314319D" w14:textId="7D7D9E6F" w:rsidR="00A9638A" w:rsidRPr="00A9638A" w:rsidRDefault="00646E33" w:rsidP="00646E33">
      <w:pPr>
        <w:pStyle w:val="ps-000-normal"/>
        <w:spacing w:before="120" w:line="380" w:lineRule="exact"/>
        <w:rPr>
          <w:rFonts w:ascii="Arial" w:hAnsi="Arial" w:cs="Arial"/>
          <w:sz w:val="22"/>
          <w:szCs w:val="22"/>
        </w:rPr>
      </w:pPr>
      <w:r>
        <w:rPr>
          <w:rFonts w:ascii="Arial" w:hAnsi="Arial" w:cs="Arial"/>
          <w:sz w:val="22"/>
          <w:szCs w:val="22"/>
        </w:rPr>
        <w:t>Those charged with governance are responsible for overseeing the Group’s financial reporting process</w:t>
      </w:r>
      <w:r w:rsidR="00A9638A" w:rsidRPr="00A9638A">
        <w:rPr>
          <w:rFonts w:ascii="Arial" w:hAnsi="Arial" w:cs="Arial"/>
          <w:sz w:val="22"/>
          <w:szCs w:val="22"/>
        </w:rPr>
        <w:t xml:space="preserve">. </w:t>
      </w:r>
    </w:p>
    <w:p w14:paraId="68C040E7" w14:textId="77777777"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Auditor’s Responsibilities for the Audit of the Financial Statements</w:t>
      </w:r>
    </w:p>
    <w:p w14:paraId="3286DB46" w14:textId="0781B2D1" w:rsidR="00A9638A" w:rsidRPr="00A9638A" w:rsidRDefault="00646E33" w:rsidP="00A51B6D">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w:t>
      </w:r>
      <w:r w:rsidR="00A9638A" w:rsidRPr="00A9638A">
        <w:rPr>
          <w:rFonts w:ascii="Arial" w:hAnsi="Arial" w:cs="Arial"/>
          <w:sz w:val="22"/>
          <w:szCs w:val="22"/>
        </w:rPr>
        <w:t xml:space="preserve">. </w:t>
      </w:r>
    </w:p>
    <w:p w14:paraId="1DFD1D0F"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12508DB0" w14:textId="77777777" w:rsidR="00646E33" w:rsidRDefault="00646E33" w:rsidP="00646E33">
      <w:pPr>
        <w:pStyle w:val="ps-000-normal"/>
        <w:numPr>
          <w:ilvl w:val="0"/>
          <w:numId w:val="1"/>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58461F" w14:textId="77777777" w:rsidR="00646E33" w:rsidRDefault="00646E33" w:rsidP="00646E33">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086DB0B" w14:textId="77777777" w:rsidR="00646E33" w:rsidRDefault="00646E33" w:rsidP="00646E33">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608E0F48" w14:textId="77777777" w:rsidR="00646E33" w:rsidRDefault="00646E33" w:rsidP="00646E33">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4ED38A3" w14:textId="77777777" w:rsidR="00646E33" w:rsidRPr="00646E33" w:rsidRDefault="00646E33" w:rsidP="00646E33">
      <w:pPr>
        <w:pStyle w:val="ps-000-normal"/>
        <w:numPr>
          <w:ilvl w:val="0"/>
          <w:numId w:val="1"/>
        </w:numPr>
        <w:spacing w:line="380" w:lineRule="exact"/>
        <w:rPr>
          <w:rFonts w:ascii="Arial" w:hAnsi="Arial" w:cs="Arial"/>
          <w:sz w:val="22"/>
          <w:szCs w:val="22"/>
        </w:rPr>
      </w:pPr>
      <w:r>
        <w:rPr>
          <w:rFonts w:ascii="Arial" w:hAnsi="Arial" w:cs="Arial"/>
          <w:sz w:val="22"/>
          <w:szCs w:val="22"/>
        </w:rPr>
        <w:t xml:space="preserve">Evaluate the overall presentation, structure and content of the financial statements, including the disclosures, and whether the financial statements represent the underlying transactions </w:t>
      </w:r>
      <w:r w:rsidRPr="00646E33">
        <w:rPr>
          <w:rFonts w:ascii="Arial" w:hAnsi="Arial" w:cs="Arial"/>
          <w:sz w:val="22"/>
          <w:szCs w:val="22"/>
        </w:rPr>
        <w:t>and events in a manner that achieves fair presentation.</w:t>
      </w:r>
    </w:p>
    <w:p w14:paraId="5BA2AC3D" w14:textId="77777777" w:rsidR="00646E33" w:rsidRDefault="00646E33" w:rsidP="00646E33">
      <w:pPr>
        <w:pStyle w:val="ps-000-normal"/>
        <w:numPr>
          <w:ilvl w:val="0"/>
          <w:numId w:val="1"/>
        </w:numPr>
        <w:spacing w:line="380" w:lineRule="exact"/>
        <w:rPr>
          <w:rFonts w:ascii="Arial" w:hAnsi="Arial" w:cs="Arial"/>
          <w:sz w:val="22"/>
          <w:szCs w:val="22"/>
        </w:rPr>
      </w:pPr>
      <w:r w:rsidRPr="00646E3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w:t>
      </w:r>
      <w:r>
        <w:rPr>
          <w:rFonts w:ascii="Arial" w:hAnsi="Arial" w:cs="Arial"/>
          <w:sz w:val="22"/>
          <w:szCs w:val="22"/>
        </w:rPr>
        <w:t xml:space="preserve"> audit opinion.</w:t>
      </w:r>
    </w:p>
    <w:p w14:paraId="0AB69700"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9CB91A0" w14:textId="77777777" w:rsidR="00646E33" w:rsidRDefault="00646E33" w:rsidP="00646E33">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46C419" w14:textId="77777777" w:rsidR="00B24AC3" w:rsidRDefault="00B24AC3">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37D4CA3" w14:textId="6DA3CEF0" w:rsidR="00646E33" w:rsidRDefault="00646E33" w:rsidP="00646E33">
      <w:pPr>
        <w:pStyle w:val="ps-000-normal"/>
        <w:spacing w:before="120"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C23914" w14:textId="62BA6338" w:rsidR="00884755" w:rsidRDefault="00884755" w:rsidP="00646E33">
      <w:pPr>
        <w:pStyle w:val="ps-000-normal"/>
        <w:spacing w:before="120" w:line="380" w:lineRule="exact"/>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14:paraId="3CEB9E94" w14:textId="77777777" w:rsidR="00A51B6D" w:rsidRDefault="00A51B6D" w:rsidP="00126006">
      <w:pPr>
        <w:pStyle w:val="ps-000-normal"/>
        <w:spacing w:before="120" w:line="380" w:lineRule="exact"/>
        <w:rPr>
          <w:rFonts w:ascii="Arial" w:hAnsi="Arial" w:cs="Arial"/>
          <w:sz w:val="22"/>
          <w:szCs w:val="22"/>
        </w:rPr>
      </w:pPr>
    </w:p>
    <w:p w14:paraId="00149FCB" w14:textId="77777777" w:rsidR="00FF3394" w:rsidRPr="00A9638A" w:rsidRDefault="00DB4C87" w:rsidP="00A9638A">
      <w:pPr>
        <w:pStyle w:val="BodyText"/>
        <w:spacing w:before="1400" w:line="380" w:lineRule="exact"/>
        <w:ind w:right="43"/>
        <w:rPr>
          <w:rFonts w:ascii="Arial" w:hAnsi="Arial" w:cs="Arial"/>
          <w:sz w:val="22"/>
          <w:szCs w:val="22"/>
        </w:rPr>
      </w:pPr>
      <w:r>
        <w:rPr>
          <w:rFonts w:ascii="Arial" w:eastAsia="Arial Unicode MS" w:hAnsi="Arial" w:cs="Arial"/>
          <w:sz w:val="22"/>
          <w:szCs w:val="22"/>
        </w:rPr>
        <w:t>Kirdsiri Kanjanaprakasit</w:t>
      </w:r>
    </w:p>
    <w:p w14:paraId="3242D4F6" w14:textId="77777777"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B4C87">
        <w:rPr>
          <w:rFonts w:ascii="Arial" w:hAnsi="Arial" w:cs="Arial"/>
          <w:sz w:val="22"/>
          <w:szCs w:val="22"/>
        </w:rPr>
        <w:t>6014</w:t>
      </w:r>
    </w:p>
    <w:p w14:paraId="48F0AD45" w14:textId="77777777"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14:paraId="5434179E" w14:textId="454E833B"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646E33">
        <w:rPr>
          <w:rFonts w:ascii="Arial" w:hAnsi="Arial" w:cstheme="minorBidi"/>
          <w:color w:val="000000"/>
          <w:sz w:val="22"/>
          <w:szCs w:val="22"/>
        </w:rPr>
        <w:t>27</w:t>
      </w:r>
      <w:r w:rsidR="007B48CF">
        <w:rPr>
          <w:rFonts w:ascii="Arial" w:hAnsi="Arial" w:cstheme="minorBidi" w:hint="cs"/>
          <w:color w:val="000000"/>
          <w:sz w:val="22"/>
          <w:szCs w:val="22"/>
          <w:cs/>
        </w:rPr>
        <w:t xml:space="preserve"> </w:t>
      </w:r>
      <w:r w:rsidR="007B48CF">
        <w:rPr>
          <w:rFonts w:ascii="Arial" w:hAnsi="Arial" w:cstheme="minorBidi"/>
          <w:color w:val="000000"/>
          <w:sz w:val="22"/>
          <w:szCs w:val="22"/>
        </w:rPr>
        <w:t xml:space="preserve">February </w:t>
      </w:r>
      <w:r w:rsidR="00A670FF">
        <w:rPr>
          <w:rFonts w:ascii="Arial" w:hAnsi="Arial" w:cs="Arial"/>
          <w:color w:val="000000"/>
          <w:sz w:val="22"/>
          <w:szCs w:val="22"/>
        </w:rPr>
        <w:t>202</w:t>
      </w:r>
      <w:r w:rsidR="007D34E0">
        <w:rPr>
          <w:rFonts w:ascii="Arial" w:hAnsi="Arial" w:cs="Arial"/>
          <w:color w:val="000000"/>
          <w:sz w:val="22"/>
          <w:szCs w:val="22"/>
        </w:rPr>
        <w:t>5</w:t>
      </w:r>
    </w:p>
    <w:p w14:paraId="6D7AE349" w14:textId="77777777" w:rsidR="009B299D" w:rsidRPr="00FF3394" w:rsidRDefault="009B299D" w:rsidP="00FF3394">
      <w:pPr>
        <w:pStyle w:val="ps-000-normal"/>
        <w:spacing w:before="120" w:after="240" w:line="380" w:lineRule="exact"/>
        <w:rPr>
          <w:sz w:val="22"/>
          <w:szCs w:val="22"/>
        </w:rPr>
      </w:pPr>
    </w:p>
    <w:sectPr w:rsidR="009B299D" w:rsidRPr="00FF3394" w:rsidSect="00B24AC3">
      <w:footerReference w:type="first" r:id="rId10"/>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914B" w14:textId="77777777" w:rsidR="00BE416C" w:rsidRDefault="00BE416C" w:rsidP="005E4F0F">
      <w:r>
        <w:separator/>
      </w:r>
    </w:p>
  </w:endnote>
  <w:endnote w:type="continuationSeparator" w:id="0">
    <w:p w14:paraId="187FC06D" w14:textId="77777777" w:rsidR="00BE416C" w:rsidRDefault="00BE416C"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386918"/>
      <w:docPartObj>
        <w:docPartGallery w:val="Page Numbers (Bottom of Page)"/>
        <w:docPartUnique/>
      </w:docPartObj>
    </w:sdtPr>
    <w:sdtEndPr>
      <w:rPr>
        <w:rFonts w:ascii="Arial" w:hAnsi="Arial" w:cs="Arial"/>
        <w:noProof/>
        <w:sz w:val="22"/>
        <w:szCs w:val="22"/>
      </w:rPr>
    </w:sdtEndPr>
    <w:sdtContent>
      <w:p w14:paraId="7AA6D648" w14:textId="37EE1EFA" w:rsidR="00A51B6D" w:rsidRPr="00A51B6D" w:rsidRDefault="00A51B6D" w:rsidP="00A51B6D">
        <w:pPr>
          <w:pStyle w:val="Footer"/>
          <w:jc w:val="right"/>
          <w:rPr>
            <w:rFonts w:ascii="Arial" w:hAnsi="Arial" w:cs="Arial"/>
            <w:sz w:val="22"/>
            <w:szCs w:val="22"/>
          </w:rPr>
        </w:pPr>
        <w:r w:rsidRPr="00A51B6D">
          <w:rPr>
            <w:rFonts w:ascii="Arial" w:hAnsi="Arial" w:cs="Arial"/>
            <w:sz w:val="22"/>
            <w:szCs w:val="22"/>
          </w:rPr>
          <w:fldChar w:fldCharType="begin"/>
        </w:r>
        <w:r w:rsidRPr="00A51B6D">
          <w:rPr>
            <w:rFonts w:ascii="Arial" w:hAnsi="Arial" w:cs="Arial"/>
            <w:sz w:val="22"/>
            <w:szCs w:val="22"/>
          </w:rPr>
          <w:instrText xml:space="preserve"> PAGE   \* MERGEFORMAT </w:instrText>
        </w:r>
        <w:r w:rsidRPr="00A51B6D">
          <w:rPr>
            <w:rFonts w:ascii="Arial" w:hAnsi="Arial" w:cs="Arial"/>
            <w:sz w:val="22"/>
            <w:szCs w:val="22"/>
          </w:rPr>
          <w:fldChar w:fldCharType="separate"/>
        </w:r>
        <w:r>
          <w:rPr>
            <w:rFonts w:ascii="Arial" w:hAnsi="Arial" w:cs="Arial"/>
            <w:sz w:val="22"/>
            <w:szCs w:val="22"/>
          </w:rPr>
          <w:t>2</w:t>
        </w:r>
        <w:r w:rsidRPr="00A51B6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8C81" w14:textId="0EB36EC9" w:rsidR="00A51B6D" w:rsidRPr="00A51B6D" w:rsidRDefault="00A51B6D">
    <w:pPr>
      <w:pStyle w:val="Footer"/>
      <w:jc w:val="right"/>
      <w:rPr>
        <w:rFonts w:ascii="Arial" w:hAnsi="Arial" w:cs="Arial"/>
        <w:sz w:val="22"/>
        <w:szCs w:val="22"/>
      </w:rPr>
    </w:pPr>
  </w:p>
  <w:p w14:paraId="1387E2D6" w14:textId="1A128E5F" w:rsidR="00DE034D" w:rsidRPr="00DE034D" w:rsidRDefault="00DE034D" w:rsidP="00A9638A">
    <w:pPr>
      <w:pStyle w:val="Footer"/>
      <w:jc w:val="right"/>
      <w:rPr>
        <w:rFonts w:ascii="Arial" w:hAnsi="Arial" w:cs="Arial"/>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5DA4" w14:textId="5A09711E" w:rsidR="00A51B6D" w:rsidRPr="00B24AC3" w:rsidRDefault="00A51B6D" w:rsidP="00A9638A">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758282"/>
      <w:docPartObj>
        <w:docPartGallery w:val="Page Numbers (Bottom of Page)"/>
        <w:docPartUnique/>
      </w:docPartObj>
    </w:sdtPr>
    <w:sdtEndPr>
      <w:rPr>
        <w:rFonts w:ascii="Arial" w:hAnsi="Arial" w:cs="Arial"/>
        <w:noProof/>
        <w:sz w:val="22"/>
        <w:szCs w:val="24"/>
      </w:rPr>
    </w:sdtEndPr>
    <w:sdtContent>
      <w:p w14:paraId="2FA906B8" w14:textId="4619EA30" w:rsidR="00B24AC3" w:rsidRPr="00B24AC3" w:rsidRDefault="00B24AC3" w:rsidP="00A9638A">
        <w:pPr>
          <w:pStyle w:val="Footer"/>
          <w:jc w:val="right"/>
          <w:rPr>
            <w:rFonts w:ascii="Arial" w:hAnsi="Arial" w:cs="Arial"/>
            <w:sz w:val="22"/>
            <w:szCs w:val="24"/>
          </w:rPr>
        </w:pPr>
        <w:r w:rsidRPr="00B24AC3">
          <w:rPr>
            <w:rFonts w:ascii="Arial" w:hAnsi="Arial" w:cs="Arial"/>
            <w:sz w:val="22"/>
            <w:szCs w:val="24"/>
          </w:rPr>
          <w:fldChar w:fldCharType="begin"/>
        </w:r>
        <w:r w:rsidRPr="00B24AC3">
          <w:rPr>
            <w:rFonts w:ascii="Arial" w:hAnsi="Arial" w:cs="Arial"/>
            <w:sz w:val="22"/>
            <w:szCs w:val="24"/>
          </w:rPr>
          <w:instrText xml:space="preserve"> PAGE   \* MERGEFORMAT </w:instrText>
        </w:r>
        <w:r w:rsidRPr="00B24AC3">
          <w:rPr>
            <w:rFonts w:ascii="Arial" w:hAnsi="Arial" w:cs="Arial"/>
            <w:sz w:val="22"/>
            <w:szCs w:val="24"/>
          </w:rPr>
          <w:fldChar w:fldCharType="separate"/>
        </w:r>
        <w:r w:rsidRPr="00B24AC3">
          <w:rPr>
            <w:rFonts w:ascii="Arial" w:hAnsi="Arial" w:cs="Arial"/>
            <w:noProof/>
            <w:sz w:val="22"/>
            <w:szCs w:val="24"/>
          </w:rPr>
          <w:t>2</w:t>
        </w:r>
        <w:r w:rsidRPr="00B24AC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726EB" w14:textId="77777777" w:rsidR="00BE416C" w:rsidRDefault="00BE416C" w:rsidP="005E4F0F">
      <w:r>
        <w:separator/>
      </w:r>
    </w:p>
  </w:footnote>
  <w:footnote w:type="continuationSeparator" w:id="0">
    <w:p w14:paraId="4B3EDAE3" w14:textId="77777777" w:rsidR="00BE416C" w:rsidRDefault="00BE416C"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2077324">
    <w:abstractNumId w:val="2"/>
  </w:num>
  <w:num w:numId="2" w16cid:durableId="181937577">
    <w:abstractNumId w:val="0"/>
  </w:num>
  <w:num w:numId="3" w16cid:durableId="1403062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06"/>
    <w:rsid w:val="00011F64"/>
    <w:rsid w:val="00031718"/>
    <w:rsid w:val="000818FF"/>
    <w:rsid w:val="000844FD"/>
    <w:rsid w:val="000A3E41"/>
    <w:rsid w:val="000C63AB"/>
    <w:rsid w:val="000F47ED"/>
    <w:rsid w:val="001068B3"/>
    <w:rsid w:val="00110C5E"/>
    <w:rsid w:val="00113EBF"/>
    <w:rsid w:val="00126006"/>
    <w:rsid w:val="0013198F"/>
    <w:rsid w:val="00146B57"/>
    <w:rsid w:val="00153A63"/>
    <w:rsid w:val="0019746B"/>
    <w:rsid w:val="00197B98"/>
    <w:rsid w:val="001D4D9F"/>
    <w:rsid w:val="001E1A38"/>
    <w:rsid w:val="001F62E2"/>
    <w:rsid w:val="00200659"/>
    <w:rsid w:val="002018DA"/>
    <w:rsid w:val="002062D5"/>
    <w:rsid w:val="00234ACF"/>
    <w:rsid w:val="002364ED"/>
    <w:rsid w:val="00237006"/>
    <w:rsid w:val="002544C9"/>
    <w:rsid w:val="00256533"/>
    <w:rsid w:val="0026376A"/>
    <w:rsid w:val="0029725B"/>
    <w:rsid w:val="002A7CCD"/>
    <w:rsid w:val="002B3CBB"/>
    <w:rsid w:val="002C322A"/>
    <w:rsid w:val="002E504E"/>
    <w:rsid w:val="003057A0"/>
    <w:rsid w:val="00354F08"/>
    <w:rsid w:val="00373156"/>
    <w:rsid w:val="00380DCC"/>
    <w:rsid w:val="003A3EBE"/>
    <w:rsid w:val="003C10D2"/>
    <w:rsid w:val="003C743F"/>
    <w:rsid w:val="003D26AF"/>
    <w:rsid w:val="003D26B7"/>
    <w:rsid w:val="003E3DEC"/>
    <w:rsid w:val="003F0DBA"/>
    <w:rsid w:val="003F3798"/>
    <w:rsid w:val="00402771"/>
    <w:rsid w:val="00432287"/>
    <w:rsid w:val="00442F4F"/>
    <w:rsid w:val="00444D59"/>
    <w:rsid w:val="00446096"/>
    <w:rsid w:val="00446987"/>
    <w:rsid w:val="004536C8"/>
    <w:rsid w:val="00455D5F"/>
    <w:rsid w:val="00497D17"/>
    <w:rsid w:val="004B44FA"/>
    <w:rsid w:val="00520042"/>
    <w:rsid w:val="00535A3A"/>
    <w:rsid w:val="0056101E"/>
    <w:rsid w:val="00580AEC"/>
    <w:rsid w:val="005A4F6A"/>
    <w:rsid w:val="005B7631"/>
    <w:rsid w:val="005E34C0"/>
    <w:rsid w:val="005E3DF1"/>
    <w:rsid w:val="005E4F0F"/>
    <w:rsid w:val="005E7C6F"/>
    <w:rsid w:val="005F5D6D"/>
    <w:rsid w:val="006077EC"/>
    <w:rsid w:val="006144EA"/>
    <w:rsid w:val="00621B74"/>
    <w:rsid w:val="00626C53"/>
    <w:rsid w:val="00632F89"/>
    <w:rsid w:val="006416DD"/>
    <w:rsid w:val="00646E33"/>
    <w:rsid w:val="00695864"/>
    <w:rsid w:val="006B0B35"/>
    <w:rsid w:val="00704115"/>
    <w:rsid w:val="0071029D"/>
    <w:rsid w:val="0071290A"/>
    <w:rsid w:val="007531D6"/>
    <w:rsid w:val="00772E34"/>
    <w:rsid w:val="00787D9B"/>
    <w:rsid w:val="00795482"/>
    <w:rsid w:val="007A0E85"/>
    <w:rsid w:val="007A3AC4"/>
    <w:rsid w:val="007B48CF"/>
    <w:rsid w:val="007B695B"/>
    <w:rsid w:val="007C2C73"/>
    <w:rsid w:val="007C4D74"/>
    <w:rsid w:val="007C5E1F"/>
    <w:rsid w:val="007D014A"/>
    <w:rsid w:val="007D34E0"/>
    <w:rsid w:val="007E2F8C"/>
    <w:rsid w:val="007E6A55"/>
    <w:rsid w:val="008039DE"/>
    <w:rsid w:val="0081468A"/>
    <w:rsid w:val="00816177"/>
    <w:rsid w:val="00824607"/>
    <w:rsid w:val="008332D7"/>
    <w:rsid w:val="008425F9"/>
    <w:rsid w:val="008775E5"/>
    <w:rsid w:val="00884755"/>
    <w:rsid w:val="00887790"/>
    <w:rsid w:val="0089485A"/>
    <w:rsid w:val="008A30DF"/>
    <w:rsid w:val="008A415F"/>
    <w:rsid w:val="008C0D53"/>
    <w:rsid w:val="008C19DB"/>
    <w:rsid w:val="008D7EFD"/>
    <w:rsid w:val="008F4718"/>
    <w:rsid w:val="009513D7"/>
    <w:rsid w:val="00987DCC"/>
    <w:rsid w:val="009A7532"/>
    <w:rsid w:val="009A7D9C"/>
    <w:rsid w:val="009B299D"/>
    <w:rsid w:val="009C1CAC"/>
    <w:rsid w:val="009D4ADC"/>
    <w:rsid w:val="009D5B24"/>
    <w:rsid w:val="009F4155"/>
    <w:rsid w:val="00A27643"/>
    <w:rsid w:val="00A35511"/>
    <w:rsid w:val="00A51B6D"/>
    <w:rsid w:val="00A670FF"/>
    <w:rsid w:val="00A70279"/>
    <w:rsid w:val="00A878A3"/>
    <w:rsid w:val="00A93E02"/>
    <w:rsid w:val="00A9638A"/>
    <w:rsid w:val="00AA2104"/>
    <w:rsid w:val="00AA3A09"/>
    <w:rsid w:val="00AE61C7"/>
    <w:rsid w:val="00AF3BC5"/>
    <w:rsid w:val="00B2236C"/>
    <w:rsid w:val="00B24AC3"/>
    <w:rsid w:val="00B46215"/>
    <w:rsid w:val="00B608E4"/>
    <w:rsid w:val="00B70816"/>
    <w:rsid w:val="00B70E3E"/>
    <w:rsid w:val="00B72DAE"/>
    <w:rsid w:val="00B9617F"/>
    <w:rsid w:val="00BB2F20"/>
    <w:rsid w:val="00BE29AB"/>
    <w:rsid w:val="00BE416C"/>
    <w:rsid w:val="00BF12FF"/>
    <w:rsid w:val="00BF222A"/>
    <w:rsid w:val="00C04B92"/>
    <w:rsid w:val="00C04FED"/>
    <w:rsid w:val="00C11156"/>
    <w:rsid w:val="00C413C0"/>
    <w:rsid w:val="00C44BD7"/>
    <w:rsid w:val="00C44DA0"/>
    <w:rsid w:val="00C54EBB"/>
    <w:rsid w:val="00C77920"/>
    <w:rsid w:val="00C80D38"/>
    <w:rsid w:val="00C852B3"/>
    <w:rsid w:val="00C90926"/>
    <w:rsid w:val="00C92B0C"/>
    <w:rsid w:val="00C93983"/>
    <w:rsid w:val="00C95A55"/>
    <w:rsid w:val="00CA214C"/>
    <w:rsid w:val="00CC221C"/>
    <w:rsid w:val="00CC4CD6"/>
    <w:rsid w:val="00CE1F5A"/>
    <w:rsid w:val="00CF161E"/>
    <w:rsid w:val="00D067AB"/>
    <w:rsid w:val="00D067F8"/>
    <w:rsid w:val="00D116F8"/>
    <w:rsid w:val="00D15C58"/>
    <w:rsid w:val="00D26DB7"/>
    <w:rsid w:val="00D32972"/>
    <w:rsid w:val="00D57325"/>
    <w:rsid w:val="00D6517E"/>
    <w:rsid w:val="00D945A2"/>
    <w:rsid w:val="00DA24F6"/>
    <w:rsid w:val="00DA6959"/>
    <w:rsid w:val="00DB2A66"/>
    <w:rsid w:val="00DB4C87"/>
    <w:rsid w:val="00DE034D"/>
    <w:rsid w:val="00DE3F6D"/>
    <w:rsid w:val="00DF48B8"/>
    <w:rsid w:val="00E151CA"/>
    <w:rsid w:val="00E432E8"/>
    <w:rsid w:val="00E4493F"/>
    <w:rsid w:val="00E616A3"/>
    <w:rsid w:val="00E74EE5"/>
    <w:rsid w:val="00E762EC"/>
    <w:rsid w:val="00E77A59"/>
    <w:rsid w:val="00EA1354"/>
    <w:rsid w:val="00ED140D"/>
    <w:rsid w:val="00EE5251"/>
    <w:rsid w:val="00F253CF"/>
    <w:rsid w:val="00F331B7"/>
    <w:rsid w:val="00F34C52"/>
    <w:rsid w:val="00F4470E"/>
    <w:rsid w:val="00F55CB5"/>
    <w:rsid w:val="00F669A3"/>
    <w:rsid w:val="00F700A9"/>
    <w:rsid w:val="00F807B0"/>
    <w:rsid w:val="00F81596"/>
    <w:rsid w:val="00F81DD5"/>
    <w:rsid w:val="00F82BFA"/>
    <w:rsid w:val="00FC192F"/>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CA07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ui-provider">
    <w:name w:val="ui-provider"/>
    <w:basedOn w:val="DefaultParagraphFont"/>
    <w:rsid w:val="00894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2678</Words>
  <Characters>15269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cp:revision>
  <cp:lastPrinted>2025-02-27T21:57:00Z</cp:lastPrinted>
  <dcterms:created xsi:type="dcterms:W3CDTF">2025-02-27T19:24:00Z</dcterms:created>
  <dcterms:modified xsi:type="dcterms:W3CDTF">2025-02-27T21:57:00Z</dcterms:modified>
</cp:coreProperties>
</file>