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F7C72" w14:textId="77777777" w:rsidR="006C68DF" w:rsidRPr="0040433C" w:rsidRDefault="006C68DF" w:rsidP="00747ED7">
      <w:pPr>
        <w:pStyle w:val="BodyText2"/>
        <w:jc w:val="center"/>
        <w:rPr>
          <w:rFonts w:ascii="BrowalliaUPC" w:eastAsiaTheme="minorHAnsi" w:hAnsi="BrowalliaUPC" w:cs="BrowalliaUPC"/>
          <w:sz w:val="26"/>
          <w:szCs w:val="26"/>
          <w:lang w:val="en-US"/>
        </w:rPr>
      </w:pPr>
    </w:p>
    <w:p w14:paraId="13F924B5" w14:textId="13612545" w:rsidR="00747ED7" w:rsidRPr="00692B0A" w:rsidRDefault="00747ED7" w:rsidP="00AB526A">
      <w:pPr>
        <w:pStyle w:val="BodyText2"/>
        <w:ind w:firstLine="142"/>
        <w:jc w:val="left"/>
        <w:rPr>
          <w:rFonts w:ascii="BrowalliaUPC" w:eastAsiaTheme="minorHAnsi" w:hAnsi="BrowalliaUPC" w:cs="BrowalliaUPC"/>
          <w:b/>
          <w:bCs/>
          <w:sz w:val="26"/>
          <w:szCs w:val="26"/>
          <w:u w:val="single"/>
          <w:lang w:val="en-US"/>
        </w:rPr>
      </w:pPr>
      <w:r w:rsidRPr="00692B0A">
        <w:rPr>
          <w:rFonts w:ascii="BrowalliaUPC" w:eastAsiaTheme="minorHAnsi" w:hAnsi="BrowalliaUPC" w:cs="BrowalliaUPC"/>
          <w:b/>
          <w:bCs/>
          <w:sz w:val="26"/>
          <w:szCs w:val="26"/>
          <w:u w:val="single"/>
          <w:lang w:val="en-US"/>
        </w:rPr>
        <w:t>INDEPENDENT AUDITOR</w:t>
      </w:r>
      <w:r w:rsidRPr="00692B0A">
        <w:rPr>
          <w:rFonts w:ascii="BrowalliaUPC" w:eastAsiaTheme="minorHAnsi" w:hAnsi="BrowalliaUPC" w:cs="BrowalliaUPC"/>
          <w:b/>
          <w:bCs/>
          <w:sz w:val="26"/>
          <w:szCs w:val="26"/>
          <w:u w:val="single"/>
          <w:cs/>
          <w:lang w:val="en-US"/>
        </w:rPr>
        <w:t>’</w:t>
      </w:r>
      <w:r w:rsidRPr="00692B0A">
        <w:rPr>
          <w:rFonts w:ascii="BrowalliaUPC" w:eastAsiaTheme="minorHAnsi" w:hAnsi="BrowalliaUPC" w:cs="BrowalliaUPC"/>
          <w:b/>
          <w:bCs/>
          <w:sz w:val="26"/>
          <w:szCs w:val="26"/>
          <w:u w:val="single"/>
          <w:lang w:val="en-US"/>
        </w:rPr>
        <w:t>S REPORT</w:t>
      </w:r>
    </w:p>
    <w:p w14:paraId="5801F4A4" w14:textId="77777777" w:rsidR="00747ED7" w:rsidRPr="0040433C" w:rsidRDefault="00747ED7" w:rsidP="00747ED7">
      <w:pPr>
        <w:pStyle w:val="BodyText2"/>
        <w:jc w:val="center"/>
        <w:rPr>
          <w:rFonts w:ascii="Angsana New" w:hAnsi="Angsana New"/>
          <w:sz w:val="28"/>
          <w:szCs w:val="28"/>
          <w:u w:val="single"/>
          <w:lang w:val="en-US"/>
        </w:rPr>
      </w:pPr>
    </w:p>
    <w:p w14:paraId="5E131CF4" w14:textId="10EA4D28"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w:t>
      </w:r>
      <w:r w:rsidR="00F4265F" w:rsidRPr="00F4265F">
        <w:rPr>
          <w:rFonts w:ascii="BrowalliaUPC" w:hAnsi="BrowalliaUPC" w:cs="BrowalliaUPC"/>
          <w:sz w:val="26"/>
          <w:szCs w:val="26"/>
          <w:lang w:val="en-US"/>
        </w:rPr>
        <w:t xml:space="preserve">Shareholders and Board of Directors of </w:t>
      </w:r>
      <w:r w:rsidR="00B23187" w:rsidRPr="00B23187">
        <w:rPr>
          <w:rFonts w:ascii="BrowalliaUPC" w:hAnsi="BrowalliaUPC" w:cs="BrowalliaUPC"/>
          <w:sz w:val="26"/>
          <w:szCs w:val="26"/>
          <w:lang w:val="en-US"/>
        </w:rPr>
        <w:t>X Bioscience Public Company Limited</w:t>
      </w:r>
    </w:p>
    <w:p w14:paraId="1E4AB3A1" w14:textId="77777777" w:rsidR="00747ED7" w:rsidRPr="0040433C" w:rsidRDefault="00747ED7" w:rsidP="00A61A27">
      <w:pPr>
        <w:pStyle w:val="BodyText2"/>
        <w:ind w:left="142" w:firstLine="0"/>
        <w:jc w:val="left"/>
        <w:rPr>
          <w:rFonts w:ascii="BrowalliaUPC" w:hAnsi="BrowalliaUPC" w:cs="BrowalliaUPC"/>
          <w:sz w:val="26"/>
          <w:szCs w:val="26"/>
          <w:lang w:val="en-US"/>
        </w:rPr>
      </w:pPr>
    </w:p>
    <w:p w14:paraId="6D4169EA" w14:textId="55828F2E" w:rsidR="00747ED7" w:rsidRPr="0040433C" w:rsidRDefault="00747ED7" w:rsidP="00BC4D12">
      <w:pPr>
        <w:pStyle w:val="BodyText2"/>
        <w:spacing w:afterLines="60" w:after="144"/>
        <w:ind w:left="142" w:firstLine="0"/>
        <w:rPr>
          <w:rFonts w:ascii="BrowalliaUPC" w:hAnsi="BrowalliaUPC" w:cs="BrowalliaUPC"/>
          <w:sz w:val="26"/>
          <w:szCs w:val="26"/>
        </w:rPr>
      </w:pPr>
      <w:r w:rsidRPr="00692B0A">
        <w:rPr>
          <w:rFonts w:ascii="BrowalliaUPC" w:hAnsi="BrowalliaUPC" w:cs="BrowalliaUPC" w:hint="cs"/>
          <w:b/>
          <w:bCs/>
          <w:sz w:val="26"/>
          <w:szCs w:val="26"/>
          <w:lang w:val="en-US"/>
        </w:rPr>
        <w:t>Opinion</w:t>
      </w:r>
    </w:p>
    <w:p w14:paraId="018922E2" w14:textId="29F8DB44" w:rsidR="00747ED7" w:rsidRPr="0040433C" w:rsidRDefault="00747ED7" w:rsidP="00B603F1">
      <w:pPr>
        <w:overflowPunct w:val="0"/>
        <w:autoSpaceDE w:val="0"/>
        <w:autoSpaceDN w:val="0"/>
        <w:adjustRightInd w:val="0"/>
        <w:spacing w:afterLines="60" w:after="144" w:line="240" w:lineRule="auto"/>
        <w:ind w:left="142"/>
        <w:jc w:val="thaiDistribute"/>
        <w:textAlignment w:val="baseline"/>
        <w:rPr>
          <w:rFonts w:ascii="BrowalliaUPC" w:eastAsia="Times New Roman" w:hAnsi="BrowalliaUPC" w:cs="BrowalliaUPC"/>
          <w:sz w:val="26"/>
          <w:szCs w:val="26"/>
        </w:rPr>
      </w:pPr>
      <w:r w:rsidRPr="0040433C">
        <w:rPr>
          <w:rFonts w:ascii="BrowalliaUPC" w:hAnsi="BrowalliaUPC" w:cs="BrowalliaUPC" w:hint="cs"/>
          <w:sz w:val="26"/>
          <w:szCs w:val="26"/>
        </w:rPr>
        <w:t xml:space="preserve">I have audited the accompanying consolidated and separate financial statements of </w:t>
      </w:r>
      <w:r w:rsidR="00B23187" w:rsidRPr="00B23187">
        <w:rPr>
          <w:rFonts w:ascii="BrowalliaUPC" w:hAnsi="BrowalliaUPC" w:cs="BrowalliaUPC"/>
          <w:sz w:val="26"/>
          <w:szCs w:val="26"/>
        </w:rPr>
        <w:t>X Bioscience Public Company Limited</w:t>
      </w:r>
      <w:r w:rsidR="00F4265F">
        <w:rPr>
          <w:rFonts w:ascii="BrowalliaUPC" w:hAnsi="BrowalliaUPC" w:cs="BrowalliaUPC"/>
          <w:sz w:val="26"/>
          <w:szCs w:val="26"/>
        </w:rPr>
        <w:t xml:space="preserve">. </w:t>
      </w:r>
      <w:r w:rsidRPr="0040433C">
        <w:rPr>
          <w:rFonts w:ascii="BrowalliaUPC" w:hAnsi="BrowalliaUPC" w:cs="BrowalliaUPC" w:hint="cs"/>
          <w:sz w:val="26"/>
          <w:szCs w:val="26"/>
        </w:rPr>
        <w:t xml:space="preserve">and its subsidiaries </w:t>
      </w:r>
      <w:r w:rsidRPr="0040433C">
        <w:rPr>
          <w:rFonts w:ascii="BrowalliaUPC" w:hAnsi="BrowalliaUPC" w:cs="BrowalliaUPC" w:hint="cs"/>
          <w:sz w:val="26"/>
          <w:szCs w:val="26"/>
          <w:cs/>
        </w:rPr>
        <w:t>(</w:t>
      </w:r>
      <w:r w:rsidRPr="0040433C">
        <w:rPr>
          <w:rFonts w:ascii="BrowalliaUPC" w:hAnsi="BrowalliaUPC" w:cs="BrowalliaUPC" w:hint="cs"/>
          <w:sz w:val="26"/>
          <w:szCs w:val="26"/>
        </w:rPr>
        <w:t>the Group</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 xml:space="preserve">and of </w:t>
      </w:r>
      <w:r w:rsidR="00B23187" w:rsidRPr="00B23187">
        <w:rPr>
          <w:rFonts w:ascii="BrowalliaUPC" w:hAnsi="BrowalliaUPC" w:cs="BrowalliaUPC"/>
          <w:sz w:val="26"/>
          <w:szCs w:val="26"/>
        </w:rPr>
        <w:t>X Bioscience Public Company Limited</w:t>
      </w:r>
      <w:r w:rsidR="00F4265F" w:rsidRPr="00F4265F">
        <w:rPr>
          <w:rFonts w:ascii="BrowalliaUPC" w:hAnsi="BrowalliaUPC" w:cs="BrowalliaUPC"/>
          <w:sz w:val="26"/>
          <w:szCs w:val="26"/>
        </w:rPr>
        <w:t xml:space="preserve">. </w:t>
      </w:r>
      <w:r w:rsidRPr="0040433C">
        <w:rPr>
          <w:rFonts w:ascii="BrowalliaUPC" w:hAnsi="BrowalliaUPC" w:cs="BrowalliaUPC" w:hint="cs"/>
          <w:sz w:val="26"/>
          <w:szCs w:val="26"/>
          <w:cs/>
        </w:rPr>
        <w:t>(</w:t>
      </w:r>
      <w:r w:rsidRPr="0040433C">
        <w:rPr>
          <w:rFonts w:ascii="BrowalliaUPC" w:hAnsi="BrowalliaUPC" w:cs="BrowalliaUPC" w:hint="cs"/>
          <w:sz w:val="26"/>
          <w:szCs w:val="26"/>
        </w:rPr>
        <w:t>the Company</w:t>
      </w:r>
      <w:r w:rsidRPr="0040433C">
        <w:rPr>
          <w:rFonts w:ascii="BrowalliaUPC" w:hAnsi="BrowalliaUPC" w:cs="BrowalliaUPC" w:hint="cs"/>
          <w:sz w:val="26"/>
          <w:szCs w:val="26"/>
          <w:cs/>
        </w:rPr>
        <w:t>)</w:t>
      </w:r>
      <w:r w:rsidRPr="0040433C">
        <w:rPr>
          <w:rFonts w:ascii="BrowalliaUPC" w:hAnsi="BrowalliaUPC" w:cs="BrowalliaUPC" w:hint="cs"/>
          <w:sz w:val="26"/>
          <w:szCs w:val="26"/>
        </w:rPr>
        <w:t>, which comprise the consolidated and separate statements of financial position as at December 31, 20</w:t>
      </w:r>
      <w:r w:rsidRPr="0040433C">
        <w:rPr>
          <w:rFonts w:ascii="BrowalliaUPC" w:hAnsi="BrowalliaUPC" w:cs="BrowalliaUPC"/>
          <w:sz w:val="26"/>
          <w:szCs w:val="26"/>
        </w:rPr>
        <w:t>2</w:t>
      </w:r>
      <w:r w:rsidR="00904B2F">
        <w:rPr>
          <w:rFonts w:ascii="BrowalliaUPC" w:hAnsi="BrowalliaUPC" w:cs="BrowalliaUPC"/>
          <w:sz w:val="26"/>
          <w:szCs w:val="26"/>
        </w:rPr>
        <w:t>4</w:t>
      </w:r>
      <w:r w:rsidRPr="0040433C">
        <w:rPr>
          <w:rFonts w:ascii="BrowalliaUPC" w:hAnsi="BrowalliaUPC" w:cs="BrowalliaUPC" w:hint="cs"/>
          <w:sz w:val="26"/>
          <w:szCs w:val="26"/>
        </w:rPr>
        <w:t>, and the related consolidated and separate statements of comprehensive income, consolidated and separate statements of changes in shareholders</w:t>
      </w:r>
      <w:r w:rsidRPr="0040433C">
        <w:rPr>
          <w:rFonts w:ascii="BrowalliaUPC" w:hAnsi="BrowalliaUPC" w:cs="BrowalliaUPC" w:hint="cs"/>
          <w:sz w:val="26"/>
          <w:szCs w:val="26"/>
          <w:cs/>
        </w:rPr>
        <w:t>’</w:t>
      </w:r>
      <w:r w:rsidR="00715D97">
        <w:rPr>
          <w:rFonts w:ascii="BrowalliaUPC" w:hAnsi="BrowalliaUPC" w:cs="BrowalliaUPC"/>
          <w:sz w:val="26"/>
          <w:szCs w:val="26"/>
        </w:rPr>
        <w:t xml:space="preserve"> </w:t>
      </w:r>
      <w:r w:rsidRPr="0040433C">
        <w:rPr>
          <w:rFonts w:ascii="BrowalliaUPC" w:hAnsi="BrowalliaUPC" w:cs="BrowalliaUPC" w:hint="cs"/>
          <w:sz w:val="26"/>
          <w:szCs w:val="26"/>
        </w:rPr>
        <w:t xml:space="preserve">equity and consolidated and separate statements of cash flows for the year then ended, and notes to the financial statements, </w:t>
      </w:r>
      <w:r w:rsidRPr="0040433C">
        <w:rPr>
          <w:rFonts w:ascii="BrowalliaUPC" w:eastAsia="Times New Roman" w:hAnsi="BrowalliaUPC" w:cs="BrowalliaUPC" w:hint="cs"/>
          <w:sz w:val="26"/>
          <w:szCs w:val="26"/>
        </w:rPr>
        <w:t xml:space="preserve">including </w:t>
      </w:r>
      <w:r w:rsidR="00076F2A" w:rsidRPr="00076F2A">
        <w:rPr>
          <w:rFonts w:ascii="BrowalliaUPC" w:eastAsia="Times New Roman" w:hAnsi="BrowalliaUPC" w:cs="BrowalliaUPC"/>
          <w:sz w:val="26"/>
          <w:szCs w:val="26"/>
        </w:rPr>
        <w:t>material accounting policy information.</w:t>
      </w:r>
    </w:p>
    <w:p w14:paraId="69770D7D" w14:textId="1A677FAC" w:rsidR="00A61A27" w:rsidRPr="0040433C" w:rsidRDefault="00A61A27"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40433C">
        <w:rPr>
          <w:rFonts w:ascii="BrowalliaUPC" w:eastAsia="Times New Roman" w:hAnsi="BrowalliaUPC" w:cs="BrowalliaUPC"/>
          <w:sz w:val="26"/>
          <w:szCs w:val="26"/>
        </w:rPr>
        <w:t xml:space="preserve">In my opinion, the accompanying consolidated and separate financial statements present fairly, in all material respects, the consolidated and separate financial position of the </w:t>
      </w:r>
      <w:r w:rsidR="00B23187" w:rsidRPr="00B23187">
        <w:rPr>
          <w:rFonts w:ascii="BrowalliaUPC" w:eastAsia="Times New Roman" w:hAnsi="BrowalliaUPC" w:cs="BrowalliaUPC"/>
          <w:sz w:val="26"/>
          <w:szCs w:val="26"/>
        </w:rPr>
        <w:t>X Bioscience Public Company Limited</w:t>
      </w:r>
      <w:r w:rsidR="00F4265F" w:rsidRPr="00F4265F">
        <w:rPr>
          <w:rFonts w:ascii="BrowalliaUPC" w:eastAsia="Times New Roman" w:hAnsi="BrowalliaUPC" w:cs="BrowalliaUPC"/>
          <w:sz w:val="26"/>
          <w:szCs w:val="26"/>
        </w:rPr>
        <w:t xml:space="preserve">. </w:t>
      </w:r>
      <w:r w:rsidRPr="0040433C">
        <w:rPr>
          <w:rFonts w:ascii="BrowalliaUPC" w:eastAsia="Times New Roman" w:hAnsi="BrowalliaUPC" w:cs="BrowalliaUPC"/>
          <w:sz w:val="26"/>
          <w:szCs w:val="26"/>
        </w:rPr>
        <w:t xml:space="preserve">and its subsidiaries and of </w:t>
      </w:r>
      <w:r w:rsidR="00B23187" w:rsidRPr="00B23187">
        <w:rPr>
          <w:rFonts w:ascii="BrowalliaUPC" w:eastAsia="Times New Roman" w:hAnsi="BrowalliaUPC" w:cs="BrowalliaUPC"/>
          <w:sz w:val="26"/>
          <w:szCs w:val="26"/>
        </w:rPr>
        <w:t>X Bioscience Public Company Limited</w:t>
      </w:r>
      <w:r w:rsidR="00F4265F" w:rsidRPr="00F4265F">
        <w:rPr>
          <w:rFonts w:ascii="BrowalliaUPC" w:eastAsia="Times New Roman" w:hAnsi="BrowalliaUPC" w:cs="BrowalliaUPC"/>
          <w:sz w:val="26"/>
          <w:szCs w:val="26"/>
        </w:rPr>
        <w:t xml:space="preserve">. </w:t>
      </w:r>
      <w:r w:rsidRPr="0040433C">
        <w:rPr>
          <w:rFonts w:ascii="BrowalliaUPC" w:eastAsia="Times New Roman" w:hAnsi="BrowalliaUPC" w:cs="BrowalliaUPC"/>
          <w:sz w:val="26"/>
          <w:szCs w:val="26"/>
        </w:rPr>
        <w:t>as at December 31, 20</w:t>
      </w:r>
      <w:r w:rsidR="00904B2F">
        <w:rPr>
          <w:rFonts w:ascii="BrowalliaUPC" w:eastAsia="Times New Roman" w:hAnsi="BrowalliaUPC" w:cs="BrowalliaUPC"/>
          <w:sz w:val="26"/>
          <w:szCs w:val="26"/>
        </w:rPr>
        <w:t>24</w:t>
      </w:r>
      <w:r w:rsidRPr="0040433C">
        <w:rPr>
          <w:rFonts w:ascii="BrowalliaUPC" w:eastAsia="Times New Roman" w:hAnsi="BrowalliaUPC" w:cs="BrowalliaUPC"/>
          <w:sz w:val="26"/>
          <w:szCs w:val="26"/>
        </w:rPr>
        <w:t xml:space="preserve"> and its consolidated and separate financial performance and its consolidated and separate cash flows for the year then ended in</w:t>
      </w:r>
      <w:r w:rsidRPr="0040433C">
        <w:rPr>
          <w:rFonts w:ascii="BrowalliaUPC" w:hAnsi="BrowalliaUPC" w:cs="BrowalliaUPC"/>
          <w:sz w:val="26"/>
          <w:szCs w:val="26"/>
        </w:rPr>
        <w:t xml:space="preserve"> accordance with Thai Financial Reporting Standards</w:t>
      </w:r>
      <w:r w:rsidRPr="0040433C">
        <w:rPr>
          <w:rFonts w:ascii="BrowalliaUPC" w:hAnsi="BrowalliaUPC" w:cs="BrowalliaUPC"/>
          <w:sz w:val="26"/>
          <w:szCs w:val="26"/>
          <w:cs/>
        </w:rPr>
        <w:t>.</w:t>
      </w:r>
    </w:p>
    <w:p w14:paraId="306E795C" w14:textId="2C44F754" w:rsidR="004E27BD" w:rsidRPr="0040433C" w:rsidRDefault="004E27BD" w:rsidP="00B603F1">
      <w:pPr>
        <w:overflowPunct w:val="0"/>
        <w:autoSpaceDE w:val="0"/>
        <w:autoSpaceDN w:val="0"/>
        <w:adjustRightInd w:val="0"/>
        <w:spacing w:afterLines="60" w:after="144" w:line="240" w:lineRule="auto"/>
        <w:ind w:left="142" w:firstLine="709"/>
        <w:jc w:val="thaiDistribute"/>
        <w:textAlignment w:val="baseline"/>
        <w:rPr>
          <w:rFonts w:ascii="BrowalliaUPC" w:eastAsia="Times New Roman" w:hAnsi="BrowalliaUPC" w:cs="BrowalliaUPC"/>
          <w:sz w:val="26"/>
          <w:szCs w:val="26"/>
        </w:rPr>
      </w:pPr>
    </w:p>
    <w:p w14:paraId="61B46F16" w14:textId="6ADF1E06" w:rsidR="00A61A27" w:rsidRPr="0040433C" w:rsidRDefault="00A61A27" w:rsidP="00BC4D12">
      <w:pPr>
        <w:pStyle w:val="BodyText2"/>
        <w:spacing w:afterLines="60" w:after="144"/>
        <w:ind w:firstLine="142"/>
        <w:rPr>
          <w:rFonts w:ascii="Angsana New" w:hAnsi="Angsana New"/>
          <w:lang w:val="en-US" w:eastAsia="x-none"/>
        </w:rPr>
      </w:pPr>
      <w:r w:rsidRPr="00692B0A">
        <w:rPr>
          <w:rFonts w:ascii="BrowalliaUPC" w:hAnsi="BrowalliaUPC" w:cs="BrowalliaUPC"/>
          <w:b/>
          <w:bCs/>
          <w:sz w:val="26"/>
          <w:szCs w:val="26"/>
          <w:lang w:val="en-US"/>
        </w:rPr>
        <w:t>Basis for Opinion</w:t>
      </w:r>
    </w:p>
    <w:p w14:paraId="3003E56C" w14:textId="5F1D9C95" w:rsidR="005A2CBC" w:rsidRPr="0040433C" w:rsidRDefault="005A2CBC" w:rsidP="00B603F1">
      <w:pPr>
        <w:pStyle w:val="BodyText2"/>
        <w:spacing w:afterLines="60" w:after="144"/>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0B492C5C" w14:textId="77777777" w:rsidR="00A211B4" w:rsidRPr="0040433C" w:rsidRDefault="00A211B4" w:rsidP="00B603F1">
      <w:pPr>
        <w:overflowPunct w:val="0"/>
        <w:autoSpaceDE w:val="0"/>
        <w:autoSpaceDN w:val="0"/>
        <w:adjustRightInd w:val="0"/>
        <w:spacing w:afterLines="60" w:after="144" w:line="240" w:lineRule="auto"/>
        <w:jc w:val="thaiDistribute"/>
        <w:textAlignment w:val="baseline"/>
        <w:rPr>
          <w:rFonts w:ascii="BrowalliaUPC" w:eastAsia="Times New Roman" w:hAnsi="BrowalliaUPC" w:cs="BrowalliaUPC"/>
          <w:sz w:val="26"/>
          <w:szCs w:val="26"/>
        </w:rPr>
      </w:pPr>
    </w:p>
    <w:p w14:paraId="555A84DF" w14:textId="4278CD08" w:rsidR="0077048C" w:rsidRPr="0077048C" w:rsidRDefault="0077048C" w:rsidP="00B603F1">
      <w:pPr>
        <w:pStyle w:val="BodyText2"/>
        <w:spacing w:afterLines="60" w:after="144"/>
        <w:ind w:left="142" w:firstLine="0"/>
        <w:rPr>
          <w:rFonts w:ascii="Browallia New" w:hAnsi="Browallia New" w:cs="Browallia New"/>
          <w:sz w:val="26"/>
          <w:szCs w:val="26"/>
        </w:rPr>
      </w:pPr>
      <w:r w:rsidRPr="0077048C">
        <w:rPr>
          <w:rFonts w:ascii="Browallia New" w:hAnsi="Browallia New" w:cs="Browallia New"/>
          <w:b/>
          <w:bCs/>
          <w:sz w:val="26"/>
          <w:szCs w:val="26"/>
          <w:lang w:eastAsia="x-none"/>
        </w:rPr>
        <w:t xml:space="preserve">Material </w:t>
      </w:r>
      <w:r w:rsidRPr="0077048C">
        <w:rPr>
          <w:rFonts w:ascii="Browallia New" w:hAnsi="Browallia New" w:cs="Browallia New"/>
          <w:b/>
          <w:bCs/>
          <w:sz w:val="26"/>
          <w:szCs w:val="26"/>
        </w:rPr>
        <w:t>Uncertainty Related to Going Concern</w:t>
      </w:r>
    </w:p>
    <w:p w14:paraId="0CA84D03" w14:textId="56098A97" w:rsidR="0077048C" w:rsidRPr="0077048C" w:rsidRDefault="0077048C" w:rsidP="00B603F1">
      <w:pPr>
        <w:pStyle w:val="BodyText2"/>
        <w:spacing w:afterLines="60" w:after="144"/>
        <w:ind w:left="142" w:firstLine="0"/>
        <w:rPr>
          <w:rFonts w:ascii="Browallia New" w:hAnsi="Browallia New" w:cs="Browallia New"/>
          <w:sz w:val="26"/>
          <w:szCs w:val="26"/>
          <w:lang w:eastAsia="x-none"/>
        </w:rPr>
      </w:pPr>
      <w:r w:rsidRPr="0077048C">
        <w:rPr>
          <w:rFonts w:ascii="Browallia New" w:hAnsi="Browallia New" w:cs="Browallia New"/>
          <w:sz w:val="26"/>
          <w:szCs w:val="26"/>
        </w:rPr>
        <w:t>As discussed</w:t>
      </w:r>
      <w:r w:rsidRPr="0077048C">
        <w:rPr>
          <w:rFonts w:ascii="Browallia New" w:hAnsi="Browallia New" w:cs="Browallia New"/>
          <w:sz w:val="26"/>
          <w:szCs w:val="26"/>
          <w:lang w:eastAsia="x-none"/>
        </w:rPr>
        <w:t xml:space="preserve"> in note 2 to the financial statements, The Group has experienced the continuous operating losses. As at December 31, 2024, the Group has deficit to the consolidated and separate financial statements amounting to Baht </w:t>
      </w:r>
      <w:r w:rsidR="00FF731F" w:rsidRPr="00FF731F">
        <w:rPr>
          <w:rFonts w:ascii="Browallia New" w:hAnsi="Browallia New" w:cs="Browallia New"/>
          <w:sz w:val="26"/>
          <w:szCs w:val="26"/>
          <w:lang w:eastAsia="x-none"/>
        </w:rPr>
        <w:t xml:space="preserve">1,376.42 </w:t>
      </w:r>
      <w:r w:rsidRPr="0077048C">
        <w:rPr>
          <w:rFonts w:ascii="Browallia New" w:hAnsi="Browallia New" w:cs="Browallia New"/>
          <w:sz w:val="26"/>
          <w:szCs w:val="26"/>
          <w:lang w:eastAsia="x-none"/>
        </w:rPr>
        <w:t xml:space="preserve"> million and Baht </w:t>
      </w:r>
      <w:r w:rsidR="00FF02E0" w:rsidRPr="00FF02E0">
        <w:rPr>
          <w:rFonts w:ascii="Browallia New" w:hAnsi="Browallia New" w:cs="Browallia New"/>
          <w:sz w:val="26"/>
          <w:szCs w:val="26"/>
          <w:lang w:eastAsia="x-none"/>
        </w:rPr>
        <w:t xml:space="preserve">1,135.11 </w:t>
      </w:r>
      <w:r w:rsidRPr="0077048C">
        <w:rPr>
          <w:rFonts w:ascii="Browallia New" w:hAnsi="Browallia New" w:cs="Browallia New"/>
          <w:sz w:val="26"/>
          <w:szCs w:val="26"/>
          <w:lang w:eastAsia="x-none"/>
        </w:rPr>
        <w:t xml:space="preserve">million respectively, however, as at the same date, the Group has the shareholders’ equity according to the consolidated and separate financial statements in amounting to Baht </w:t>
      </w:r>
      <w:r w:rsidR="006B7D1A" w:rsidRPr="006B7D1A">
        <w:rPr>
          <w:rFonts w:ascii="Browallia New" w:hAnsi="Browallia New" w:cs="Browallia New"/>
          <w:sz w:val="26"/>
          <w:szCs w:val="26"/>
          <w:lang w:eastAsia="x-none"/>
        </w:rPr>
        <w:t xml:space="preserve">827.43 </w:t>
      </w:r>
      <w:r w:rsidRPr="0077048C">
        <w:rPr>
          <w:rFonts w:ascii="Browallia New" w:hAnsi="Browallia New" w:cs="Browallia New"/>
          <w:sz w:val="26"/>
          <w:szCs w:val="26"/>
          <w:lang w:eastAsia="x-none"/>
        </w:rPr>
        <w:t xml:space="preserve">million and Baht </w:t>
      </w:r>
      <w:r w:rsidR="00F056FB" w:rsidRPr="00F056FB">
        <w:rPr>
          <w:rFonts w:ascii="Browallia New" w:hAnsi="Browallia New" w:cs="Browallia New"/>
          <w:sz w:val="26"/>
          <w:szCs w:val="26"/>
          <w:lang w:eastAsia="x-none"/>
        </w:rPr>
        <w:t xml:space="preserve">754.83 </w:t>
      </w:r>
      <w:r w:rsidRPr="0077048C">
        <w:rPr>
          <w:rFonts w:ascii="Browallia New" w:hAnsi="Browallia New" w:cs="Browallia New"/>
          <w:sz w:val="26"/>
          <w:szCs w:val="26"/>
          <w:lang w:eastAsia="x-none"/>
        </w:rPr>
        <w:t>million respectively, these conditions, along with other matters as set forth in note 2 to the financial statements, indicate the existence of a material uncertainty that may cast significant doubt on the Group’s ability to continue as a going concern. My opinion is not modified in respect of this matter.</w:t>
      </w:r>
    </w:p>
    <w:p w14:paraId="2F9F1214" w14:textId="77777777" w:rsidR="0077048C" w:rsidRPr="0077048C" w:rsidRDefault="0077048C" w:rsidP="00B603F1">
      <w:pPr>
        <w:pStyle w:val="BodyText2"/>
        <w:spacing w:afterLines="60" w:after="144"/>
        <w:rPr>
          <w:rFonts w:ascii="Browallia New" w:hAnsi="Browallia New" w:cs="Browallia New"/>
          <w:sz w:val="26"/>
          <w:szCs w:val="26"/>
          <w:lang w:eastAsia="x-none"/>
        </w:rPr>
      </w:pPr>
    </w:p>
    <w:p w14:paraId="048566A1" w14:textId="77777777" w:rsidR="0077048C" w:rsidRPr="0077048C" w:rsidRDefault="0077048C" w:rsidP="00B603F1">
      <w:pPr>
        <w:pStyle w:val="BodyText2"/>
        <w:spacing w:afterLines="60" w:after="144"/>
        <w:rPr>
          <w:rFonts w:ascii="Browallia New" w:hAnsi="Browallia New" w:cs="Browallia New"/>
          <w:sz w:val="26"/>
          <w:szCs w:val="26"/>
          <w:lang w:eastAsia="x-none"/>
        </w:rPr>
      </w:pPr>
    </w:p>
    <w:p w14:paraId="0CBEEE68" w14:textId="77777777" w:rsidR="0077048C" w:rsidRPr="0077048C" w:rsidRDefault="0077048C" w:rsidP="00B603F1">
      <w:pPr>
        <w:pStyle w:val="BodyText2"/>
        <w:spacing w:afterLines="60" w:after="144"/>
        <w:rPr>
          <w:rFonts w:ascii="Browallia New" w:hAnsi="Browallia New" w:cs="Browallia New"/>
          <w:sz w:val="26"/>
          <w:szCs w:val="26"/>
          <w:lang w:eastAsia="x-none"/>
        </w:rPr>
      </w:pPr>
      <w:r w:rsidRPr="0077048C">
        <w:rPr>
          <w:rFonts w:ascii="Browallia New" w:hAnsi="Browallia New" w:cs="Browallia New"/>
          <w:sz w:val="26"/>
          <w:szCs w:val="26"/>
          <w:lang w:eastAsia="x-none"/>
        </w:rPr>
        <w:t>.</w:t>
      </w:r>
    </w:p>
    <w:p w14:paraId="1735ED25" w14:textId="327B159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b/>
          <w:bCs/>
          <w:sz w:val="26"/>
          <w:szCs w:val="26"/>
        </w:rPr>
        <w:lastRenderedPageBreak/>
        <w:t>Key Audit Matters</w:t>
      </w:r>
    </w:p>
    <w:p w14:paraId="0AD76303" w14:textId="7777777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Key audit matters are those matters that, in my professional judgment, were of most significance in my audit of the financial statements of the current period</w:t>
      </w:r>
      <w:r w:rsidRPr="0077048C">
        <w:rPr>
          <w:rFonts w:ascii="BrowalliaUPC" w:hAnsi="BrowalliaUPC" w:cs="BrowalliaUPC" w:hint="cs"/>
          <w:sz w:val="26"/>
          <w:szCs w:val="26"/>
          <w:cs/>
        </w:rPr>
        <w:t xml:space="preserve">. </w:t>
      </w:r>
      <w:r w:rsidRPr="0077048C">
        <w:rPr>
          <w:rFonts w:ascii="BrowalliaUPC" w:hAnsi="BrowalliaUPC" w:cs="BrowalliaUPC"/>
          <w:sz w:val="26"/>
          <w:szCs w:val="26"/>
        </w:rPr>
        <w:t>These matters were addressed in the context of my audit of the financial statements as a whole, and in forming my opinion thereon, and I do not provide a separate opinion on these matters</w:t>
      </w:r>
      <w:r w:rsidRPr="0077048C">
        <w:rPr>
          <w:rFonts w:ascii="BrowalliaUPC" w:hAnsi="BrowalliaUPC" w:cs="BrowalliaUPC" w:hint="cs"/>
          <w:sz w:val="26"/>
          <w:szCs w:val="26"/>
          <w:cs/>
        </w:rPr>
        <w:t>.</w:t>
      </w:r>
    </w:p>
    <w:p w14:paraId="03FE10E8" w14:textId="7777777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p>
    <w:p w14:paraId="2BE0E933" w14:textId="4CED46CC"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b/>
          <w:bCs/>
          <w:sz w:val="26"/>
          <w:szCs w:val="26"/>
        </w:rPr>
        <w:t>Impairment of investment in subsidiaries, goodwill and intangible assets</w:t>
      </w:r>
    </w:p>
    <w:p w14:paraId="6E5F252A" w14:textId="40C1168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 xml:space="preserve">As at 31 December 2024, the Group has investments in subsidiaries of Baht </w:t>
      </w:r>
      <w:r w:rsidR="002958FC" w:rsidRPr="002958FC">
        <w:rPr>
          <w:rFonts w:ascii="BrowalliaUPC" w:hAnsi="BrowalliaUPC" w:cs="BrowalliaUPC"/>
          <w:sz w:val="26"/>
          <w:szCs w:val="26"/>
        </w:rPr>
        <w:t xml:space="preserve">705.71 </w:t>
      </w:r>
      <w:r w:rsidRPr="0077048C">
        <w:rPr>
          <w:rFonts w:ascii="BrowalliaUPC" w:hAnsi="BrowalliaUPC" w:cs="BrowalliaUPC"/>
          <w:sz w:val="26"/>
          <w:szCs w:val="26"/>
        </w:rPr>
        <w:t xml:space="preserve">million, goodwill of Baht </w:t>
      </w:r>
      <w:r w:rsidR="00CD7FE0" w:rsidRPr="00CD7FE0">
        <w:rPr>
          <w:rFonts w:ascii="BrowalliaUPC" w:hAnsi="BrowalliaUPC" w:cs="BrowalliaUPC"/>
          <w:sz w:val="26"/>
          <w:szCs w:val="26"/>
        </w:rPr>
        <w:t>335.35</w:t>
      </w:r>
      <w:r w:rsidR="00CD7FE0">
        <w:rPr>
          <w:rFonts w:ascii="BrowalliaUPC" w:hAnsi="BrowalliaUPC" w:cs="BrowalliaUPC"/>
          <w:sz w:val="26"/>
          <w:szCs w:val="26"/>
        </w:rPr>
        <w:t xml:space="preserve"> </w:t>
      </w:r>
      <w:r w:rsidRPr="0077048C">
        <w:rPr>
          <w:rFonts w:ascii="BrowalliaUPC" w:hAnsi="BrowalliaUPC" w:cs="BrowalliaUPC"/>
          <w:sz w:val="26"/>
          <w:szCs w:val="26"/>
        </w:rPr>
        <w:t xml:space="preserve">million, and intangible assets of Baht </w:t>
      </w:r>
      <w:r w:rsidR="00E243CD" w:rsidRPr="00E243CD">
        <w:rPr>
          <w:rFonts w:ascii="BrowalliaUPC" w:hAnsi="BrowalliaUPC" w:cs="BrowalliaUPC"/>
          <w:sz w:val="26"/>
          <w:szCs w:val="26"/>
        </w:rPr>
        <w:t xml:space="preserve">319.23 </w:t>
      </w:r>
      <w:r w:rsidRPr="0077048C">
        <w:rPr>
          <w:rFonts w:ascii="BrowalliaUPC" w:hAnsi="BrowalliaUPC" w:cs="BrowalliaUPC"/>
          <w:sz w:val="26"/>
          <w:szCs w:val="26"/>
        </w:rPr>
        <w:t>million which is derived from investment in restaurant business. In accordance with Thai Financial Reporting Standards, the Group is required to test impairment of such assets at the end of each reporting period. Such impairment test requires significant judgement and assumptions of management, relate to the cash flows projection of restaurant business together with the consideration of discount rate for determination of projected cash flows which may affected by changes in the economic condition, market situation and specific risk of assets.</w:t>
      </w:r>
    </w:p>
    <w:p w14:paraId="4B5FA534" w14:textId="56F7612D"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 xml:space="preserve">I have focus on audit of impairment of goodwill, intangible assets, and investment in subsidiaries, because these assets have significant impact to the overall financial statements and the Group has disclosed in Notes </w:t>
      </w:r>
      <w:r w:rsidRPr="0077048C">
        <w:rPr>
          <w:rFonts w:ascii="BrowalliaUPC" w:hAnsi="BrowalliaUPC" w:cs="BrowalliaUPC" w:hint="cs"/>
          <w:sz w:val="26"/>
          <w:szCs w:val="26"/>
          <w:cs/>
        </w:rPr>
        <w:t>1</w:t>
      </w:r>
      <w:r w:rsidR="00CB3840">
        <w:rPr>
          <w:rFonts w:ascii="BrowalliaUPC" w:hAnsi="BrowalliaUPC" w:cs="BrowalliaUPC"/>
          <w:sz w:val="26"/>
          <w:szCs w:val="26"/>
        </w:rPr>
        <w:t>4</w:t>
      </w:r>
      <w:r w:rsidRPr="0077048C">
        <w:rPr>
          <w:rFonts w:ascii="BrowalliaUPC" w:hAnsi="BrowalliaUPC" w:cs="BrowalliaUPC"/>
          <w:sz w:val="26"/>
          <w:szCs w:val="26"/>
        </w:rPr>
        <w:t xml:space="preserve">, </w:t>
      </w:r>
      <w:r w:rsidRPr="0077048C">
        <w:rPr>
          <w:rFonts w:ascii="BrowalliaUPC" w:hAnsi="BrowalliaUPC" w:cs="BrowalliaUPC" w:hint="cs"/>
          <w:sz w:val="26"/>
          <w:szCs w:val="26"/>
          <w:cs/>
        </w:rPr>
        <w:t>1</w:t>
      </w:r>
      <w:r w:rsidR="00CB3840">
        <w:rPr>
          <w:rFonts w:ascii="BrowalliaUPC" w:hAnsi="BrowalliaUPC" w:cs="BrowalliaUPC"/>
          <w:sz w:val="26"/>
          <w:szCs w:val="26"/>
        </w:rPr>
        <w:t>7</w:t>
      </w:r>
      <w:r w:rsidRPr="0077048C">
        <w:rPr>
          <w:rFonts w:ascii="BrowalliaUPC" w:hAnsi="BrowalliaUPC" w:cs="BrowalliaUPC" w:hint="cs"/>
          <w:sz w:val="26"/>
          <w:szCs w:val="26"/>
          <w:cs/>
        </w:rPr>
        <w:t xml:space="preserve"> </w:t>
      </w:r>
      <w:r w:rsidRPr="0077048C">
        <w:rPr>
          <w:rFonts w:ascii="BrowalliaUPC" w:hAnsi="BrowalliaUPC" w:cs="BrowalliaUPC"/>
          <w:sz w:val="26"/>
          <w:szCs w:val="26"/>
        </w:rPr>
        <w:t xml:space="preserve">and </w:t>
      </w:r>
      <w:r w:rsidRPr="0077048C">
        <w:rPr>
          <w:rFonts w:ascii="BrowalliaUPC" w:hAnsi="BrowalliaUPC" w:cs="BrowalliaUPC" w:hint="cs"/>
          <w:sz w:val="26"/>
          <w:szCs w:val="26"/>
          <w:cs/>
        </w:rPr>
        <w:t>1</w:t>
      </w:r>
      <w:r w:rsidR="00CB3840">
        <w:rPr>
          <w:rFonts w:ascii="BrowalliaUPC" w:hAnsi="BrowalliaUPC" w:cs="BrowalliaUPC"/>
          <w:sz w:val="26"/>
          <w:szCs w:val="26"/>
        </w:rPr>
        <w:t>8</w:t>
      </w:r>
      <w:r w:rsidRPr="0077048C">
        <w:rPr>
          <w:rFonts w:ascii="BrowalliaUPC" w:hAnsi="BrowalliaUPC" w:cs="BrowalliaUPC" w:hint="cs"/>
          <w:sz w:val="26"/>
          <w:szCs w:val="26"/>
          <w:cs/>
        </w:rPr>
        <w:t xml:space="preserve"> </w:t>
      </w:r>
      <w:r w:rsidRPr="0077048C">
        <w:rPr>
          <w:rFonts w:ascii="BrowalliaUPC" w:hAnsi="BrowalliaUPC" w:cs="BrowalliaUPC"/>
          <w:sz w:val="26"/>
          <w:szCs w:val="26"/>
        </w:rPr>
        <w:t>to financial statements.</w:t>
      </w:r>
    </w:p>
    <w:p w14:paraId="2F51A10C" w14:textId="7777777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p>
    <w:p w14:paraId="217BA131" w14:textId="0D972FB5"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b/>
          <w:bCs/>
          <w:sz w:val="26"/>
          <w:szCs w:val="26"/>
        </w:rPr>
        <w:t>Audit procedures</w:t>
      </w:r>
    </w:p>
    <w:p w14:paraId="1EE38EDF" w14:textId="7777777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Procedures for assessment the projection of operating results and financial model prepared by the Company’s management are as follows:</w:t>
      </w:r>
    </w:p>
    <w:p w14:paraId="1AECD216"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Understood and evaluated of assumptions and procedures for calculation of cash flow projections applied by management.</w:t>
      </w:r>
    </w:p>
    <w:p w14:paraId="0A445E00"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Evaluated the professional competency and independence of management and auditor expert.</w:t>
      </w:r>
    </w:p>
    <w:p w14:paraId="7BD6EED4"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Assessed the discount rate by reference and comparing the same industries information to ensure that the discount rate used by the management is reasonable.</w:t>
      </w:r>
    </w:p>
    <w:p w14:paraId="7F952A21"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Tested calculation for the recoverable amount.</w:t>
      </w:r>
    </w:p>
    <w:p w14:paraId="187E4294"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Reviewed the sensitivity analysis provided by management and considered the impact to recoverable amount.</w:t>
      </w:r>
    </w:p>
    <w:p w14:paraId="3ECCF4B8"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Considered the adequacy and appropriateness of the Group’s disclosure for assumption and recoverable amount of goodwill, intangible assets, and investments in subsidiaries.</w:t>
      </w:r>
    </w:p>
    <w:p w14:paraId="48A0B025" w14:textId="77777777" w:rsidR="00E243CD" w:rsidRDefault="00E243CD" w:rsidP="00B603F1">
      <w:pPr>
        <w:pStyle w:val="BodyText2"/>
        <w:spacing w:afterLines="60" w:after="144"/>
        <w:ind w:left="142" w:firstLine="0"/>
        <w:rPr>
          <w:rFonts w:ascii="BrowalliaUPC" w:hAnsi="BrowalliaUPC" w:cs="BrowalliaUPC"/>
          <w:b/>
          <w:bCs/>
          <w:sz w:val="26"/>
          <w:szCs w:val="26"/>
        </w:rPr>
      </w:pPr>
    </w:p>
    <w:p w14:paraId="3174D2C5" w14:textId="7D0E4572"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720937">
        <w:rPr>
          <w:rFonts w:ascii="BrowalliaUPC" w:hAnsi="BrowalliaUPC" w:cs="BrowalliaUPC" w:hint="cs"/>
          <w:b/>
          <w:bCs/>
          <w:sz w:val="26"/>
          <w:szCs w:val="26"/>
        </w:rPr>
        <w:t>Other Information</w:t>
      </w:r>
    </w:p>
    <w:p w14:paraId="69C6AE20"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0612E44F" w14:textId="77777777" w:rsidR="00E43298" w:rsidRDefault="00E43298" w:rsidP="00B603F1">
      <w:pPr>
        <w:pStyle w:val="BodyText2"/>
        <w:spacing w:afterLines="60" w:after="144"/>
        <w:ind w:left="142" w:firstLine="0"/>
        <w:rPr>
          <w:rFonts w:ascii="Browallia New" w:hAnsi="Browallia New" w:cs="Browallia New"/>
          <w:sz w:val="26"/>
          <w:szCs w:val="26"/>
          <w:lang w:val="en-US" w:eastAsia="x-none"/>
        </w:rPr>
      </w:pPr>
    </w:p>
    <w:p w14:paraId="1E475BD1" w14:textId="77777777" w:rsidR="00BC4D12" w:rsidRPr="0040433C" w:rsidRDefault="00BC4D12" w:rsidP="00B603F1">
      <w:pPr>
        <w:pStyle w:val="BodyText2"/>
        <w:spacing w:afterLines="60" w:after="144"/>
        <w:ind w:left="142" w:firstLine="0"/>
        <w:rPr>
          <w:rFonts w:ascii="Browallia New" w:hAnsi="Browallia New" w:cs="Browallia New"/>
          <w:sz w:val="26"/>
          <w:szCs w:val="26"/>
          <w:lang w:val="en-US" w:eastAsia="x-none"/>
        </w:rPr>
      </w:pPr>
    </w:p>
    <w:p w14:paraId="6D89789D" w14:textId="130EF19E" w:rsidR="00925CB0" w:rsidRPr="0040433C" w:rsidRDefault="00E43298" w:rsidP="00BC4D12">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2C4274DA" w14:textId="1307AD04" w:rsidR="00E43298" w:rsidRPr="0040433C" w:rsidRDefault="00E43298" w:rsidP="00BC4D12">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0C89A18C"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 with governance to correct the materially misstatement</w:t>
      </w:r>
      <w:r w:rsidRPr="0040433C">
        <w:rPr>
          <w:rFonts w:ascii="Browallia New" w:hAnsi="Browallia New" w:cs="Browallia New" w:hint="cs"/>
          <w:sz w:val="26"/>
          <w:szCs w:val="26"/>
          <w:cs/>
          <w:lang w:val="en-US" w:eastAsia="x-none"/>
        </w:rPr>
        <w:t>.</w:t>
      </w:r>
    </w:p>
    <w:p w14:paraId="17071CE0" w14:textId="77777777" w:rsidR="00E43298" w:rsidRPr="0040433C" w:rsidRDefault="00E43298" w:rsidP="00B603F1">
      <w:pPr>
        <w:pStyle w:val="BodyText2"/>
        <w:spacing w:afterLines="60" w:after="144"/>
        <w:ind w:left="142" w:firstLine="142"/>
        <w:rPr>
          <w:rFonts w:ascii="Browallia New" w:hAnsi="Browallia New" w:cs="Browallia New"/>
          <w:sz w:val="26"/>
          <w:szCs w:val="26"/>
          <w:lang w:val="en-US" w:eastAsia="x-none"/>
        </w:rPr>
      </w:pPr>
    </w:p>
    <w:p w14:paraId="15883C81" w14:textId="28EB7DF2" w:rsidR="00E43298" w:rsidRPr="0040433C" w:rsidRDefault="00E43298" w:rsidP="00BC4D12">
      <w:pPr>
        <w:pStyle w:val="BodyText2"/>
        <w:spacing w:afterLines="60" w:after="144"/>
        <w:ind w:left="142" w:firstLine="0"/>
        <w:rPr>
          <w:rFonts w:ascii="Browallia New" w:hAnsi="Browallia New" w:cs="Browallia New"/>
          <w:sz w:val="26"/>
          <w:szCs w:val="26"/>
          <w:lang w:val="en-US" w:eastAsia="x-none"/>
        </w:rPr>
      </w:pPr>
      <w:r w:rsidRPr="00720937">
        <w:rPr>
          <w:rFonts w:ascii="Browallia New" w:hAnsi="Browallia New" w:cs="Browallia New" w:hint="cs"/>
          <w:b/>
          <w:bCs/>
          <w:sz w:val="26"/>
          <w:szCs w:val="26"/>
          <w:lang w:val="en-US" w:eastAsia="x-none"/>
        </w:rPr>
        <w:t>Responsibilities of Management and Those Charge with Governance for the Financial Statements</w:t>
      </w:r>
    </w:p>
    <w:p w14:paraId="2685CD26"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FC545E8" w14:textId="1EE464C8"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4E17C72C"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3F18C373" w14:textId="77777777" w:rsidR="00957A91" w:rsidRDefault="00957A91" w:rsidP="00B603F1">
      <w:pPr>
        <w:pStyle w:val="BodyText2"/>
        <w:spacing w:afterLines="60" w:after="144"/>
        <w:ind w:firstLine="0"/>
        <w:rPr>
          <w:rFonts w:ascii="Browallia New" w:hAnsi="Browallia New" w:cs="Browallia New"/>
          <w:sz w:val="26"/>
          <w:szCs w:val="26"/>
          <w:lang w:val="en-US" w:eastAsia="x-none"/>
        </w:rPr>
      </w:pPr>
    </w:p>
    <w:p w14:paraId="4AB1704B" w14:textId="4AE01EA3"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720937">
        <w:rPr>
          <w:rFonts w:ascii="Browallia New" w:hAnsi="Browallia New" w:cs="Browallia New" w:hint="cs"/>
          <w:b/>
          <w:bCs/>
          <w:sz w:val="26"/>
          <w:szCs w:val="26"/>
          <w:lang w:val="en-US" w:eastAsia="x-none"/>
        </w:rPr>
        <w:t>Auditor</w:t>
      </w:r>
      <w:r w:rsidRPr="00720937">
        <w:rPr>
          <w:rFonts w:ascii="Browallia New" w:hAnsi="Browallia New" w:cs="Browallia New" w:hint="cs"/>
          <w:b/>
          <w:bCs/>
          <w:sz w:val="26"/>
          <w:szCs w:val="26"/>
          <w:cs/>
          <w:lang w:val="en-US" w:eastAsia="x-none"/>
        </w:rPr>
        <w:t>’</w:t>
      </w:r>
      <w:r w:rsidRPr="00720937">
        <w:rPr>
          <w:rFonts w:ascii="Browallia New" w:hAnsi="Browallia New" w:cs="Browallia New" w:hint="cs"/>
          <w:b/>
          <w:bCs/>
          <w:sz w:val="26"/>
          <w:szCs w:val="26"/>
          <w:lang w:val="en-US" w:eastAsia="x-none"/>
        </w:rPr>
        <w:t>s Responsibilities for the Audit of the Financial Statements</w:t>
      </w:r>
    </w:p>
    <w:p w14:paraId="142DD8F5" w14:textId="77777777" w:rsidR="00E43298"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00DA55E1"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23B7460A" w14:textId="563EA154" w:rsidR="00E43298"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6A1AF734" w14:textId="4C54B638" w:rsidR="0040433C"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5C003743" w14:textId="777E9C25" w:rsidR="00720937"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352BC9F6" w14:textId="097CD00B" w:rsidR="0040433C"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20819BC9" w14:textId="30823188" w:rsidR="00E43298"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30A6E451" w14:textId="77777777" w:rsidR="00E43298" w:rsidRPr="0040433C"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2BF0E814"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3A9F9B33" w14:textId="59F91CF1"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130D2803" w14:textId="15D77319"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0B2F7F8B" w14:textId="27575990" w:rsidR="00C34ED8" w:rsidRPr="0040433C" w:rsidRDefault="00C34ED8" w:rsidP="00B603F1">
      <w:pPr>
        <w:overflowPunct w:val="0"/>
        <w:autoSpaceDE w:val="0"/>
        <w:autoSpaceDN w:val="0"/>
        <w:adjustRightInd w:val="0"/>
        <w:spacing w:afterLines="60" w:after="144" w:line="240" w:lineRule="auto"/>
        <w:ind w:left="142"/>
        <w:jc w:val="thaiDistribute"/>
        <w:textAlignment w:val="baseline"/>
        <w:rPr>
          <w:rFonts w:ascii="Browallia New" w:eastAsia="Times New Roman" w:hAnsi="Browallia New" w:cs="Browallia New"/>
          <w:sz w:val="26"/>
          <w:szCs w:val="26"/>
          <w:lang w:eastAsia="x-none"/>
        </w:rPr>
      </w:pPr>
    </w:p>
    <w:tbl>
      <w:tblPr>
        <w:tblW w:w="0" w:type="auto"/>
        <w:tblLook w:val="04A0" w:firstRow="1" w:lastRow="0" w:firstColumn="1" w:lastColumn="0" w:noHBand="0" w:noVBand="1"/>
      </w:tblPr>
      <w:tblGrid>
        <w:gridCol w:w="4602"/>
        <w:gridCol w:w="4611"/>
      </w:tblGrid>
      <w:tr w:rsidR="00F4265F" w:rsidRPr="00E3346D" w14:paraId="6E3A014F" w14:textId="77777777" w:rsidTr="00904B2F">
        <w:trPr>
          <w:trHeight w:val="20"/>
        </w:trPr>
        <w:tc>
          <w:tcPr>
            <w:tcW w:w="4770" w:type="dxa"/>
            <w:shd w:val="clear" w:color="auto" w:fill="auto"/>
          </w:tcPr>
          <w:p w14:paraId="6539F9F6"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7C373D5D"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172AA3B" w14:textId="77777777" w:rsidTr="00904B2F">
        <w:trPr>
          <w:trHeight w:val="20"/>
        </w:trPr>
        <w:tc>
          <w:tcPr>
            <w:tcW w:w="4770" w:type="dxa"/>
            <w:shd w:val="clear" w:color="auto" w:fill="auto"/>
          </w:tcPr>
          <w:p w14:paraId="42511C86"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3CC01F04"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A&amp;A Office Company Limited</w:t>
            </w:r>
          </w:p>
        </w:tc>
      </w:tr>
      <w:tr w:rsidR="00F4265F" w:rsidRPr="00E3346D" w14:paraId="1CA7F26C" w14:textId="77777777" w:rsidTr="00904B2F">
        <w:trPr>
          <w:trHeight w:val="20"/>
        </w:trPr>
        <w:tc>
          <w:tcPr>
            <w:tcW w:w="4770" w:type="dxa"/>
            <w:shd w:val="clear" w:color="auto" w:fill="auto"/>
          </w:tcPr>
          <w:p w14:paraId="16F961BE"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7827745C"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3545698" w14:textId="77777777" w:rsidTr="00904B2F">
        <w:trPr>
          <w:trHeight w:val="20"/>
        </w:trPr>
        <w:tc>
          <w:tcPr>
            <w:tcW w:w="4770" w:type="dxa"/>
            <w:shd w:val="clear" w:color="auto" w:fill="auto"/>
          </w:tcPr>
          <w:p w14:paraId="720BDC98"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4C1A985F"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6B0189A9" w14:textId="77777777" w:rsidTr="00904B2F">
        <w:trPr>
          <w:trHeight w:val="20"/>
        </w:trPr>
        <w:tc>
          <w:tcPr>
            <w:tcW w:w="4770" w:type="dxa"/>
            <w:shd w:val="clear" w:color="auto" w:fill="auto"/>
          </w:tcPr>
          <w:p w14:paraId="458AD624"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7A460382" w14:textId="57C43C6C"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 xml:space="preserve">( </w:t>
            </w:r>
            <w:r w:rsidRPr="00E3346D">
              <w:rPr>
                <w:rFonts w:ascii="Browallia New" w:hAnsi="Browallia New" w:cs="Browallia New"/>
                <w:sz w:val="26"/>
                <w:szCs w:val="26"/>
                <w:cs/>
              </w:rPr>
              <w:t xml:space="preserve">Mr </w:t>
            </w:r>
            <w:r w:rsidR="00C106B6" w:rsidRPr="00C106B6">
              <w:rPr>
                <w:rFonts w:ascii="Browallia New" w:hAnsi="Browallia New" w:cs="Browallia New"/>
                <w:sz w:val="26"/>
                <w:szCs w:val="26"/>
              </w:rPr>
              <w:t xml:space="preserve">Somchat </w:t>
            </w:r>
            <w:proofErr w:type="spellStart"/>
            <w:r w:rsidR="00C106B6" w:rsidRPr="00C106B6">
              <w:rPr>
                <w:rFonts w:ascii="Browallia New" w:hAnsi="Browallia New" w:cs="Browallia New"/>
                <w:sz w:val="26"/>
                <w:szCs w:val="26"/>
              </w:rPr>
              <w:t>Kalsuk</w:t>
            </w:r>
            <w:proofErr w:type="spellEnd"/>
            <w:r w:rsidRPr="00E3346D">
              <w:rPr>
                <w:rFonts w:ascii="Browallia New" w:hAnsi="Browallia New" w:cs="Browallia New"/>
                <w:sz w:val="26"/>
                <w:szCs w:val="26"/>
                <w:cs/>
              </w:rPr>
              <w:t xml:space="preserve"> </w:t>
            </w:r>
            <w:r w:rsidRPr="00E3346D">
              <w:rPr>
                <w:rFonts w:ascii="Browallia New" w:hAnsi="Browallia New" w:cs="Browallia New"/>
                <w:sz w:val="26"/>
                <w:szCs w:val="26"/>
              </w:rPr>
              <w:t>)</w:t>
            </w:r>
          </w:p>
        </w:tc>
      </w:tr>
      <w:tr w:rsidR="00F4265F" w:rsidRPr="00E3346D" w14:paraId="7E673FE4" w14:textId="77777777" w:rsidTr="00904B2F">
        <w:trPr>
          <w:trHeight w:val="20"/>
        </w:trPr>
        <w:tc>
          <w:tcPr>
            <w:tcW w:w="4770" w:type="dxa"/>
            <w:shd w:val="clear" w:color="auto" w:fill="auto"/>
          </w:tcPr>
          <w:p w14:paraId="350B06C4"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030F561D" w14:textId="7D78D79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 xml:space="preserve">Certified Public Accountant (Thailand) No. </w:t>
            </w:r>
            <w:r w:rsidR="00C106B6" w:rsidRPr="00C106B6">
              <w:rPr>
                <w:rFonts w:ascii="Browallia New" w:hAnsi="Browallia New" w:cs="Browallia New"/>
                <w:sz w:val="26"/>
                <w:szCs w:val="26"/>
              </w:rPr>
              <w:t>9669</w:t>
            </w:r>
          </w:p>
        </w:tc>
      </w:tr>
      <w:tr w:rsidR="00F4265F" w:rsidRPr="00E3346D" w14:paraId="528BA3F8" w14:textId="77777777" w:rsidTr="00904B2F">
        <w:trPr>
          <w:trHeight w:val="511"/>
        </w:trPr>
        <w:tc>
          <w:tcPr>
            <w:tcW w:w="4770" w:type="dxa"/>
            <w:shd w:val="clear" w:color="auto" w:fill="auto"/>
          </w:tcPr>
          <w:p w14:paraId="2AEE59C5" w14:textId="77777777" w:rsidR="00F4265F" w:rsidRPr="00E3346D" w:rsidRDefault="00F4265F" w:rsidP="00BA58CC">
            <w:pPr>
              <w:tabs>
                <w:tab w:val="left" w:pos="3600"/>
              </w:tabs>
              <w:rPr>
                <w:rFonts w:ascii="Browallia New" w:hAnsi="Browallia New" w:cs="Browallia New"/>
                <w:sz w:val="26"/>
                <w:szCs w:val="26"/>
                <w:cs/>
              </w:rPr>
            </w:pPr>
            <w:r w:rsidRPr="00E3346D">
              <w:rPr>
                <w:rFonts w:ascii="Browallia New" w:hAnsi="Browallia New" w:cs="Browallia New"/>
                <w:sz w:val="26"/>
                <w:szCs w:val="26"/>
                <w:cs/>
              </w:rPr>
              <w:t>Bangkok</w:t>
            </w:r>
          </w:p>
        </w:tc>
        <w:tc>
          <w:tcPr>
            <w:tcW w:w="4772" w:type="dxa"/>
            <w:shd w:val="clear" w:color="auto" w:fill="auto"/>
          </w:tcPr>
          <w:p w14:paraId="14F693AA"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0C3CB5B" w14:textId="77777777" w:rsidTr="00904B2F">
        <w:trPr>
          <w:trHeight w:val="511"/>
        </w:trPr>
        <w:tc>
          <w:tcPr>
            <w:tcW w:w="4770" w:type="dxa"/>
            <w:shd w:val="clear" w:color="auto" w:fill="auto"/>
          </w:tcPr>
          <w:p w14:paraId="521E384F" w14:textId="4A987EC9" w:rsidR="00F4265F" w:rsidRPr="00E3346D" w:rsidRDefault="00F4265F" w:rsidP="00BA58CC">
            <w:pPr>
              <w:tabs>
                <w:tab w:val="left" w:pos="3600"/>
              </w:tabs>
              <w:rPr>
                <w:rFonts w:ascii="Browallia New" w:hAnsi="Browallia New" w:cs="Browallia New"/>
                <w:sz w:val="26"/>
                <w:szCs w:val="26"/>
                <w:cs/>
              </w:rPr>
            </w:pPr>
            <w:r w:rsidRPr="00F4265F">
              <w:rPr>
                <w:rFonts w:ascii="Browallia New" w:hAnsi="Browallia New" w:cs="Browallia New"/>
                <w:sz w:val="26"/>
                <w:szCs w:val="26"/>
              </w:rPr>
              <w:t>February 2</w:t>
            </w:r>
            <w:r w:rsidR="00B23187">
              <w:rPr>
                <w:rFonts w:ascii="Browallia New" w:hAnsi="Browallia New" w:cs="Browallia New"/>
                <w:sz w:val="26"/>
                <w:szCs w:val="26"/>
              </w:rPr>
              <w:t>7</w:t>
            </w:r>
            <w:r w:rsidRPr="00F4265F">
              <w:rPr>
                <w:rFonts w:ascii="Browallia New" w:hAnsi="Browallia New" w:cs="Browallia New"/>
                <w:sz w:val="26"/>
                <w:szCs w:val="26"/>
              </w:rPr>
              <w:t>, 202</w:t>
            </w:r>
            <w:r w:rsidR="00C106B6">
              <w:rPr>
                <w:rFonts w:ascii="Browallia New" w:hAnsi="Browallia New" w:cs="Browallia New"/>
                <w:sz w:val="26"/>
                <w:szCs w:val="26"/>
              </w:rPr>
              <w:t>5</w:t>
            </w:r>
          </w:p>
        </w:tc>
        <w:tc>
          <w:tcPr>
            <w:tcW w:w="4772" w:type="dxa"/>
            <w:shd w:val="clear" w:color="auto" w:fill="auto"/>
          </w:tcPr>
          <w:p w14:paraId="6C631905" w14:textId="77777777" w:rsidR="00F4265F" w:rsidRPr="00E3346D" w:rsidRDefault="00F4265F" w:rsidP="00BA58CC">
            <w:pPr>
              <w:tabs>
                <w:tab w:val="left" w:pos="3600"/>
              </w:tabs>
              <w:rPr>
                <w:rFonts w:ascii="Browallia New" w:hAnsi="Browallia New" w:cs="Browallia New"/>
                <w:sz w:val="26"/>
                <w:szCs w:val="26"/>
              </w:rPr>
            </w:pPr>
          </w:p>
        </w:tc>
      </w:tr>
    </w:tbl>
    <w:p w14:paraId="16702576" w14:textId="77777777" w:rsidR="00157181" w:rsidRPr="0040433C" w:rsidRDefault="00157181" w:rsidP="00720937">
      <w:pPr>
        <w:overflowPunct w:val="0"/>
        <w:autoSpaceDE w:val="0"/>
        <w:autoSpaceDN w:val="0"/>
        <w:adjustRightInd w:val="0"/>
        <w:spacing w:after="0" w:line="240" w:lineRule="auto"/>
        <w:jc w:val="thaiDistribute"/>
        <w:textAlignment w:val="baseline"/>
        <w:rPr>
          <w:rFonts w:ascii="Browallia New" w:eastAsia="Times New Roman" w:hAnsi="Browallia New" w:cs="Browallia New"/>
          <w:sz w:val="26"/>
          <w:szCs w:val="26"/>
          <w:lang w:eastAsia="x-none"/>
        </w:rPr>
      </w:pPr>
    </w:p>
    <w:p w14:paraId="1DAA1E3C" w14:textId="77777777" w:rsidR="006F5C69" w:rsidRPr="0040433C" w:rsidRDefault="006F5C69" w:rsidP="0040433C">
      <w:pPr>
        <w:overflowPunct w:val="0"/>
        <w:autoSpaceDE w:val="0"/>
        <w:autoSpaceDN w:val="0"/>
        <w:adjustRightInd w:val="0"/>
        <w:spacing w:after="0" w:line="240" w:lineRule="auto"/>
        <w:ind w:left="142" w:firstLine="142"/>
        <w:textAlignment w:val="baseline"/>
        <w:rPr>
          <w:rFonts w:ascii="Browallia New" w:eastAsia="Times New Roman" w:hAnsi="Browallia New" w:cs="Browallia New"/>
          <w:sz w:val="26"/>
          <w:szCs w:val="26"/>
        </w:rPr>
      </w:pPr>
    </w:p>
    <w:p w14:paraId="375DE507" w14:textId="7D96B20D" w:rsidR="008C7587" w:rsidRPr="0040433C" w:rsidRDefault="008C7587" w:rsidP="0040433C">
      <w:pPr>
        <w:spacing w:after="0" w:line="240" w:lineRule="auto"/>
        <w:ind w:left="142" w:right="-10"/>
        <w:jc w:val="thaiDistribute"/>
      </w:pPr>
    </w:p>
    <w:sectPr w:rsidR="008C7587" w:rsidRPr="0040433C" w:rsidSect="00B603F1">
      <w:footerReference w:type="default" r:id="rId8"/>
      <w:pgSz w:w="11906" w:h="16838" w:code="9"/>
      <w:pgMar w:top="1665" w:right="1133" w:bottom="993" w:left="1560"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D6F30" w14:textId="77777777" w:rsidR="00757E19" w:rsidRDefault="00757E19" w:rsidP="009719A0">
      <w:pPr>
        <w:spacing w:after="0" w:line="240" w:lineRule="auto"/>
      </w:pPr>
      <w:r>
        <w:separator/>
      </w:r>
    </w:p>
  </w:endnote>
  <w:endnote w:type="continuationSeparator" w:id="0">
    <w:p w14:paraId="4B085906" w14:textId="77777777" w:rsidR="00757E19" w:rsidRDefault="00757E19"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6247" w14:textId="77777777" w:rsidR="00757E19" w:rsidRDefault="00757E19" w:rsidP="009719A0">
      <w:pPr>
        <w:spacing w:after="0" w:line="240" w:lineRule="auto"/>
      </w:pPr>
      <w:r>
        <w:separator/>
      </w:r>
    </w:p>
  </w:footnote>
  <w:footnote w:type="continuationSeparator" w:id="0">
    <w:p w14:paraId="45B0568E" w14:textId="77777777" w:rsidR="00757E19" w:rsidRDefault="00757E19"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92"/>
    <w:multiLevelType w:val="hybridMultilevel"/>
    <w:tmpl w:val="29FE7168"/>
    <w:lvl w:ilvl="0" w:tplc="57364B90">
      <w:start w:val="2"/>
      <w:numFmt w:val="bullet"/>
      <w:lvlText w:val="-"/>
      <w:lvlJc w:val="left"/>
      <w:pPr>
        <w:ind w:left="720" w:hanging="360"/>
      </w:pPr>
      <w:rPr>
        <w:rFonts w:ascii="Browallia New" w:eastAsia="Times New Roman" w:hAnsi="Browallia New" w:cs="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0C123763"/>
    <w:multiLevelType w:val="hybridMultilevel"/>
    <w:tmpl w:val="AAE20D80"/>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27205"/>
    <w:multiLevelType w:val="hybridMultilevel"/>
    <w:tmpl w:val="174ACFFE"/>
    <w:lvl w:ilvl="0" w:tplc="215C1924">
      <w:numFmt w:val="bullet"/>
      <w:lvlText w:val="-"/>
      <w:lvlJc w:val="left"/>
      <w:pPr>
        <w:ind w:left="862" w:hanging="360"/>
      </w:pPr>
      <w:rPr>
        <w:rFonts w:ascii="Angsana New" w:eastAsia="Times New Roman" w:hAnsi="Angsana New" w:cs="Angsana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B3C6AE4"/>
    <w:multiLevelType w:val="hybridMultilevel"/>
    <w:tmpl w:val="F8D8195C"/>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B7E40E5"/>
    <w:multiLevelType w:val="hybridMultilevel"/>
    <w:tmpl w:val="C55ABA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F9E68F0"/>
    <w:multiLevelType w:val="multilevel"/>
    <w:tmpl w:val="CADABAA2"/>
    <w:styleLink w:val="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6B47630E"/>
    <w:multiLevelType w:val="hybridMultilevel"/>
    <w:tmpl w:val="05E69828"/>
    <w:lvl w:ilvl="0" w:tplc="0E0649EA">
      <w:start w:val="1"/>
      <w:numFmt w:val="bullet"/>
      <w:lvlText w:val=""/>
      <w:lvlJc w:val="left"/>
      <w:pPr>
        <w:ind w:left="1429" w:hanging="465"/>
      </w:pPr>
      <w:rPr>
        <w:rFonts w:ascii="Symbol" w:hAnsi="Symbol" w:hint="default"/>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43F93"/>
    <w:multiLevelType w:val="hybridMultilevel"/>
    <w:tmpl w:val="65C834B8"/>
    <w:lvl w:ilvl="0" w:tplc="0E0649EA">
      <w:start w:val="1"/>
      <w:numFmt w:val="bullet"/>
      <w:lvlText w:val=""/>
      <w:lvlJc w:val="left"/>
      <w:pPr>
        <w:ind w:left="1571" w:hanging="465"/>
      </w:pPr>
      <w:rPr>
        <w:rFonts w:ascii="Symbol" w:hAnsi="Symbol" w:hint="default"/>
        <w:sz w:val="2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1347092870">
    <w:abstractNumId w:val="11"/>
  </w:num>
  <w:num w:numId="2" w16cid:durableId="1983653817">
    <w:abstractNumId w:val="1"/>
  </w:num>
  <w:num w:numId="3" w16cid:durableId="895360076">
    <w:abstractNumId w:val="9"/>
  </w:num>
  <w:num w:numId="4" w16cid:durableId="1017926135">
    <w:abstractNumId w:val="15"/>
  </w:num>
  <w:num w:numId="5" w16cid:durableId="1787040752">
    <w:abstractNumId w:val="5"/>
  </w:num>
  <w:num w:numId="6" w16cid:durableId="1181312820">
    <w:abstractNumId w:val="6"/>
  </w:num>
  <w:num w:numId="7" w16cid:durableId="974919096">
    <w:abstractNumId w:val="4"/>
  </w:num>
  <w:num w:numId="8" w16cid:durableId="1362777712">
    <w:abstractNumId w:val="10"/>
  </w:num>
  <w:num w:numId="9" w16cid:durableId="70543228">
    <w:abstractNumId w:val="8"/>
  </w:num>
  <w:num w:numId="10" w16cid:durableId="1068461783">
    <w:abstractNumId w:val="2"/>
  </w:num>
  <w:num w:numId="11" w16cid:durableId="629944466">
    <w:abstractNumId w:val="0"/>
  </w:num>
  <w:num w:numId="12" w16cid:durableId="462231853">
    <w:abstractNumId w:val="7"/>
  </w:num>
  <w:num w:numId="13" w16cid:durableId="198010518">
    <w:abstractNumId w:val="12"/>
  </w:num>
  <w:num w:numId="14" w16cid:durableId="548155494">
    <w:abstractNumId w:val="14"/>
  </w:num>
  <w:num w:numId="15" w16cid:durableId="403574617">
    <w:abstractNumId w:val="13"/>
  </w:num>
  <w:num w:numId="16" w16cid:durableId="92827655">
    <w:abstractNumId w:val="16"/>
  </w:num>
  <w:num w:numId="17" w16cid:durableId="420183882">
    <w:abstractNumId w:val="3"/>
  </w:num>
  <w:num w:numId="18" w16cid:durableId="8985199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177A"/>
    <w:rsid w:val="000422DB"/>
    <w:rsid w:val="0004344A"/>
    <w:rsid w:val="000443D4"/>
    <w:rsid w:val="0004475D"/>
    <w:rsid w:val="0005015A"/>
    <w:rsid w:val="00052710"/>
    <w:rsid w:val="00065A71"/>
    <w:rsid w:val="00066B02"/>
    <w:rsid w:val="00070644"/>
    <w:rsid w:val="00076F2A"/>
    <w:rsid w:val="00081731"/>
    <w:rsid w:val="000933BD"/>
    <w:rsid w:val="00093DCD"/>
    <w:rsid w:val="00095CF9"/>
    <w:rsid w:val="0009784B"/>
    <w:rsid w:val="000B58E6"/>
    <w:rsid w:val="000D5B13"/>
    <w:rsid w:val="000E3DF3"/>
    <w:rsid w:val="000F4797"/>
    <w:rsid w:val="0010121A"/>
    <w:rsid w:val="00103540"/>
    <w:rsid w:val="00106191"/>
    <w:rsid w:val="00111442"/>
    <w:rsid w:val="00111A6E"/>
    <w:rsid w:val="00113EFA"/>
    <w:rsid w:val="0013519F"/>
    <w:rsid w:val="00140BE8"/>
    <w:rsid w:val="001520D7"/>
    <w:rsid w:val="001530DD"/>
    <w:rsid w:val="001531E5"/>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66785"/>
    <w:rsid w:val="002958FC"/>
    <w:rsid w:val="002A05CD"/>
    <w:rsid w:val="002A7117"/>
    <w:rsid w:val="002B116D"/>
    <w:rsid w:val="002B22A1"/>
    <w:rsid w:val="002B4168"/>
    <w:rsid w:val="002C03B3"/>
    <w:rsid w:val="002C1076"/>
    <w:rsid w:val="002C2367"/>
    <w:rsid w:val="002C4AA1"/>
    <w:rsid w:val="002C5104"/>
    <w:rsid w:val="002E03AC"/>
    <w:rsid w:val="002E3823"/>
    <w:rsid w:val="00300B0A"/>
    <w:rsid w:val="00301188"/>
    <w:rsid w:val="003036D6"/>
    <w:rsid w:val="00312F82"/>
    <w:rsid w:val="00330FA3"/>
    <w:rsid w:val="00331162"/>
    <w:rsid w:val="00354E84"/>
    <w:rsid w:val="00360E1D"/>
    <w:rsid w:val="00362A2D"/>
    <w:rsid w:val="00364131"/>
    <w:rsid w:val="00367312"/>
    <w:rsid w:val="00393038"/>
    <w:rsid w:val="003948FB"/>
    <w:rsid w:val="003B6571"/>
    <w:rsid w:val="003C1B36"/>
    <w:rsid w:val="003C69CB"/>
    <w:rsid w:val="003D2954"/>
    <w:rsid w:val="003D5148"/>
    <w:rsid w:val="003E335E"/>
    <w:rsid w:val="003E4EA2"/>
    <w:rsid w:val="003F1701"/>
    <w:rsid w:val="003F5695"/>
    <w:rsid w:val="0040433C"/>
    <w:rsid w:val="004130FE"/>
    <w:rsid w:val="0042094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BFC"/>
    <w:rsid w:val="0051568B"/>
    <w:rsid w:val="00524971"/>
    <w:rsid w:val="00525FB7"/>
    <w:rsid w:val="005333A1"/>
    <w:rsid w:val="00533668"/>
    <w:rsid w:val="005424D5"/>
    <w:rsid w:val="00550276"/>
    <w:rsid w:val="005524CC"/>
    <w:rsid w:val="00563BA2"/>
    <w:rsid w:val="00566A28"/>
    <w:rsid w:val="00573215"/>
    <w:rsid w:val="005A2CBC"/>
    <w:rsid w:val="005A6F1B"/>
    <w:rsid w:val="005B7C99"/>
    <w:rsid w:val="005F17B1"/>
    <w:rsid w:val="005F26F1"/>
    <w:rsid w:val="005F4C9D"/>
    <w:rsid w:val="005F55F1"/>
    <w:rsid w:val="00602A33"/>
    <w:rsid w:val="00612E0F"/>
    <w:rsid w:val="006139D3"/>
    <w:rsid w:val="006234CB"/>
    <w:rsid w:val="00627D33"/>
    <w:rsid w:val="006663E9"/>
    <w:rsid w:val="00671962"/>
    <w:rsid w:val="00686F30"/>
    <w:rsid w:val="006879A0"/>
    <w:rsid w:val="00690E20"/>
    <w:rsid w:val="00692B0A"/>
    <w:rsid w:val="006B7D1A"/>
    <w:rsid w:val="006C2049"/>
    <w:rsid w:val="006C68DF"/>
    <w:rsid w:val="006D5541"/>
    <w:rsid w:val="006E3151"/>
    <w:rsid w:val="006F5C69"/>
    <w:rsid w:val="00715D97"/>
    <w:rsid w:val="007200B5"/>
    <w:rsid w:val="00720937"/>
    <w:rsid w:val="0072192C"/>
    <w:rsid w:val="007222D1"/>
    <w:rsid w:val="0073146C"/>
    <w:rsid w:val="00741BB8"/>
    <w:rsid w:val="00747ED7"/>
    <w:rsid w:val="00752C6B"/>
    <w:rsid w:val="00757E19"/>
    <w:rsid w:val="00767CA5"/>
    <w:rsid w:val="0077048C"/>
    <w:rsid w:val="007812F9"/>
    <w:rsid w:val="00785CEE"/>
    <w:rsid w:val="00796043"/>
    <w:rsid w:val="00796DC5"/>
    <w:rsid w:val="0079743F"/>
    <w:rsid w:val="007A25A8"/>
    <w:rsid w:val="007A34D1"/>
    <w:rsid w:val="007A7DFB"/>
    <w:rsid w:val="007B0953"/>
    <w:rsid w:val="007C5783"/>
    <w:rsid w:val="007D684B"/>
    <w:rsid w:val="008210FB"/>
    <w:rsid w:val="00825E89"/>
    <w:rsid w:val="008262D4"/>
    <w:rsid w:val="0082649B"/>
    <w:rsid w:val="008320BD"/>
    <w:rsid w:val="008425BD"/>
    <w:rsid w:val="0084690F"/>
    <w:rsid w:val="0086205A"/>
    <w:rsid w:val="00871E63"/>
    <w:rsid w:val="00891332"/>
    <w:rsid w:val="008A3689"/>
    <w:rsid w:val="008A7809"/>
    <w:rsid w:val="008C7587"/>
    <w:rsid w:val="008E21F4"/>
    <w:rsid w:val="008E259F"/>
    <w:rsid w:val="008F1BE2"/>
    <w:rsid w:val="00904B2F"/>
    <w:rsid w:val="0091125F"/>
    <w:rsid w:val="009237BF"/>
    <w:rsid w:val="00925CB0"/>
    <w:rsid w:val="00933797"/>
    <w:rsid w:val="009431BE"/>
    <w:rsid w:val="00947769"/>
    <w:rsid w:val="00954210"/>
    <w:rsid w:val="00954B84"/>
    <w:rsid w:val="00957A91"/>
    <w:rsid w:val="009719A0"/>
    <w:rsid w:val="00973852"/>
    <w:rsid w:val="00981428"/>
    <w:rsid w:val="009B3173"/>
    <w:rsid w:val="009C0F20"/>
    <w:rsid w:val="009C6EEB"/>
    <w:rsid w:val="009D301E"/>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719F4"/>
    <w:rsid w:val="00A80FEE"/>
    <w:rsid w:val="00A87B56"/>
    <w:rsid w:val="00A92D84"/>
    <w:rsid w:val="00A951BB"/>
    <w:rsid w:val="00AB3596"/>
    <w:rsid w:val="00AB526A"/>
    <w:rsid w:val="00AC33DC"/>
    <w:rsid w:val="00AE63B8"/>
    <w:rsid w:val="00B0546E"/>
    <w:rsid w:val="00B1061A"/>
    <w:rsid w:val="00B113B5"/>
    <w:rsid w:val="00B1361F"/>
    <w:rsid w:val="00B17A79"/>
    <w:rsid w:val="00B23187"/>
    <w:rsid w:val="00B303A5"/>
    <w:rsid w:val="00B35D24"/>
    <w:rsid w:val="00B36E16"/>
    <w:rsid w:val="00B450A7"/>
    <w:rsid w:val="00B56F52"/>
    <w:rsid w:val="00B57A98"/>
    <w:rsid w:val="00B603F1"/>
    <w:rsid w:val="00B9611E"/>
    <w:rsid w:val="00BA5C75"/>
    <w:rsid w:val="00BB0E51"/>
    <w:rsid w:val="00BB1279"/>
    <w:rsid w:val="00BB1B62"/>
    <w:rsid w:val="00BC19A6"/>
    <w:rsid w:val="00BC4D12"/>
    <w:rsid w:val="00BE23E0"/>
    <w:rsid w:val="00BF2CBF"/>
    <w:rsid w:val="00C05FCD"/>
    <w:rsid w:val="00C106B6"/>
    <w:rsid w:val="00C12B3E"/>
    <w:rsid w:val="00C21D11"/>
    <w:rsid w:val="00C34ED8"/>
    <w:rsid w:val="00C80685"/>
    <w:rsid w:val="00C830D1"/>
    <w:rsid w:val="00C96408"/>
    <w:rsid w:val="00CA0212"/>
    <w:rsid w:val="00CA218F"/>
    <w:rsid w:val="00CA3CDF"/>
    <w:rsid w:val="00CB254A"/>
    <w:rsid w:val="00CB3840"/>
    <w:rsid w:val="00CB770A"/>
    <w:rsid w:val="00CC464F"/>
    <w:rsid w:val="00CD3EA7"/>
    <w:rsid w:val="00CD7FE0"/>
    <w:rsid w:val="00CE08E1"/>
    <w:rsid w:val="00CE14AB"/>
    <w:rsid w:val="00CE5FB1"/>
    <w:rsid w:val="00CE68C7"/>
    <w:rsid w:val="00D04674"/>
    <w:rsid w:val="00D070CD"/>
    <w:rsid w:val="00D131D2"/>
    <w:rsid w:val="00D258EC"/>
    <w:rsid w:val="00D33D20"/>
    <w:rsid w:val="00D50B9B"/>
    <w:rsid w:val="00D578A3"/>
    <w:rsid w:val="00D8375E"/>
    <w:rsid w:val="00D97FBB"/>
    <w:rsid w:val="00DB1100"/>
    <w:rsid w:val="00DB70AA"/>
    <w:rsid w:val="00DE07D2"/>
    <w:rsid w:val="00DE3D61"/>
    <w:rsid w:val="00DF5DE6"/>
    <w:rsid w:val="00E00B5C"/>
    <w:rsid w:val="00E037CA"/>
    <w:rsid w:val="00E03E0F"/>
    <w:rsid w:val="00E121F2"/>
    <w:rsid w:val="00E136C0"/>
    <w:rsid w:val="00E1434D"/>
    <w:rsid w:val="00E14C75"/>
    <w:rsid w:val="00E164B9"/>
    <w:rsid w:val="00E243CD"/>
    <w:rsid w:val="00E25728"/>
    <w:rsid w:val="00E36A0B"/>
    <w:rsid w:val="00E43298"/>
    <w:rsid w:val="00E44F0F"/>
    <w:rsid w:val="00E46A27"/>
    <w:rsid w:val="00E651F0"/>
    <w:rsid w:val="00E74AE7"/>
    <w:rsid w:val="00E822EE"/>
    <w:rsid w:val="00E85B46"/>
    <w:rsid w:val="00E9602F"/>
    <w:rsid w:val="00EB66D6"/>
    <w:rsid w:val="00EC4294"/>
    <w:rsid w:val="00EC5E99"/>
    <w:rsid w:val="00EE0609"/>
    <w:rsid w:val="00EE4732"/>
    <w:rsid w:val="00F056FB"/>
    <w:rsid w:val="00F14EA7"/>
    <w:rsid w:val="00F16E3F"/>
    <w:rsid w:val="00F273DF"/>
    <w:rsid w:val="00F4265F"/>
    <w:rsid w:val="00F6111A"/>
    <w:rsid w:val="00F70721"/>
    <w:rsid w:val="00F77345"/>
    <w:rsid w:val="00F81FDA"/>
    <w:rsid w:val="00FA175F"/>
    <w:rsid w:val="00FB7317"/>
    <w:rsid w:val="00FC3C30"/>
    <w:rsid w:val="00FE24E6"/>
    <w:rsid w:val="00FF02E0"/>
    <w:rsid w:val="00FF389F"/>
    <w:rsid w:val="00FF73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 w:type="numbering" w:customStyle="1" w:styleId="1">
    <w:name w:val="รายการปัจจุบัน1"/>
    <w:uiPriority w:val="99"/>
    <w:rsid w:val="00076F2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10173">
      <w:bodyDiv w:val="1"/>
      <w:marLeft w:val="0"/>
      <w:marRight w:val="0"/>
      <w:marTop w:val="0"/>
      <w:marBottom w:val="0"/>
      <w:divBdr>
        <w:top w:val="none" w:sz="0" w:space="0" w:color="auto"/>
        <w:left w:val="none" w:sz="0" w:space="0" w:color="auto"/>
        <w:bottom w:val="none" w:sz="0" w:space="0" w:color="auto"/>
        <w:right w:val="none" w:sz="0" w:space="0" w:color="auto"/>
      </w:divBdr>
    </w:div>
    <w:div w:id="878668251">
      <w:bodyDiv w:val="1"/>
      <w:marLeft w:val="0"/>
      <w:marRight w:val="0"/>
      <w:marTop w:val="0"/>
      <w:marBottom w:val="0"/>
      <w:divBdr>
        <w:top w:val="none" w:sz="0" w:space="0" w:color="auto"/>
        <w:left w:val="none" w:sz="0" w:space="0" w:color="auto"/>
        <w:bottom w:val="none" w:sz="0" w:space="0" w:color="auto"/>
        <w:right w:val="none" w:sz="0" w:space="0" w:color="auto"/>
      </w:divBdr>
    </w:div>
    <w:div w:id="898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1696</Words>
  <Characters>9671</Characters>
  <Application>Microsoft Office Word</Application>
  <DocSecurity>0</DocSecurity>
  <Lines>80</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Sarroch Piriyasathid</cp:lastModifiedBy>
  <cp:revision>17</cp:revision>
  <cp:lastPrinted>2024-02-15T20:50:00Z</cp:lastPrinted>
  <dcterms:created xsi:type="dcterms:W3CDTF">2025-02-27T09:45:00Z</dcterms:created>
  <dcterms:modified xsi:type="dcterms:W3CDTF">2025-02-27T14:56:00Z</dcterms:modified>
</cp:coreProperties>
</file>