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936DE" w14:textId="77777777" w:rsidR="001A3AC8" w:rsidRPr="001A3AC8" w:rsidRDefault="001A3AC8" w:rsidP="001A3AC8">
      <w:pPr>
        <w:spacing w:line="240" w:lineRule="atLeast"/>
        <w:ind w:right="216"/>
        <w:jc w:val="center"/>
        <w:rPr>
          <w:rFonts w:cs="Times New Roman"/>
          <w:b/>
          <w:bCs/>
          <w:sz w:val="40"/>
          <w:szCs w:val="40"/>
        </w:rPr>
      </w:pPr>
      <w:r w:rsidRPr="001A3AC8">
        <w:rPr>
          <w:rFonts w:cs="Times New Roman"/>
          <w:b/>
          <w:bCs/>
          <w:sz w:val="40"/>
          <w:szCs w:val="40"/>
        </w:rPr>
        <w:t>Thai Life Insurance Public Company Limited</w:t>
      </w:r>
    </w:p>
    <w:p w14:paraId="6E7AB90A" w14:textId="77777777" w:rsidR="001A3AC8" w:rsidRPr="001A3AC8" w:rsidRDefault="001A3AC8" w:rsidP="001A3AC8">
      <w:pPr>
        <w:spacing w:line="240" w:lineRule="atLeast"/>
        <w:ind w:right="216"/>
        <w:jc w:val="center"/>
        <w:rPr>
          <w:rFonts w:cs="Times New Roman"/>
          <w:b/>
          <w:bCs/>
          <w:sz w:val="22"/>
          <w:szCs w:val="22"/>
        </w:rPr>
      </w:pPr>
    </w:p>
    <w:p w14:paraId="75199F07" w14:textId="77777777" w:rsidR="001A3AC8" w:rsidRPr="001A3AC8" w:rsidRDefault="001A3AC8" w:rsidP="001A3AC8">
      <w:pPr>
        <w:spacing w:line="240" w:lineRule="atLeast"/>
        <w:ind w:right="216"/>
        <w:jc w:val="center"/>
        <w:rPr>
          <w:rFonts w:cs="Times New Roman"/>
          <w:b/>
          <w:bCs/>
          <w:sz w:val="22"/>
          <w:szCs w:val="22"/>
        </w:rPr>
      </w:pPr>
    </w:p>
    <w:p w14:paraId="72F6CD0C" w14:textId="77777777" w:rsidR="001A3AC8" w:rsidRPr="001A3AC8" w:rsidRDefault="001A3AC8" w:rsidP="001A3AC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1A3AC8">
        <w:rPr>
          <w:rFonts w:eastAsia="Times New Roman" w:cs="Times New Roman"/>
          <w:spacing w:val="-3"/>
          <w:sz w:val="36"/>
          <w:szCs w:val="36"/>
          <w:lang w:val="en-GB" w:bidi="ar-SA"/>
        </w:rPr>
        <w:t>Financial statements for the year ended</w:t>
      </w:r>
    </w:p>
    <w:p w14:paraId="012528CB" w14:textId="77777777" w:rsidR="001A3AC8" w:rsidRPr="001A3AC8" w:rsidRDefault="001A3AC8" w:rsidP="001A3AC8">
      <w:pPr>
        <w:spacing w:line="240" w:lineRule="atLeast"/>
        <w:ind w:right="216"/>
        <w:jc w:val="center"/>
        <w:rPr>
          <w:rFonts w:eastAsia="Times New Roman" w:cs="Times New Roman"/>
          <w:spacing w:val="-3"/>
          <w:sz w:val="36"/>
          <w:szCs w:val="36"/>
          <w:cs/>
        </w:rPr>
      </w:pPr>
      <w:r w:rsidRPr="001A3AC8">
        <w:rPr>
          <w:rFonts w:cs="Times New Roman"/>
          <w:sz w:val="36"/>
          <w:szCs w:val="36"/>
        </w:rPr>
        <w:t>31 December 2024</w:t>
      </w:r>
    </w:p>
    <w:p w14:paraId="099AA8B9" w14:textId="77777777" w:rsidR="001A3AC8" w:rsidRPr="001A3AC8" w:rsidRDefault="001A3AC8" w:rsidP="001A3AC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bidi="ar-SA"/>
        </w:rPr>
      </w:pPr>
      <w:r w:rsidRPr="001A3AC8">
        <w:rPr>
          <w:rFonts w:eastAsia="Times New Roman" w:cs="Times New Roman"/>
          <w:spacing w:val="-3"/>
          <w:sz w:val="36"/>
          <w:szCs w:val="36"/>
          <w:lang w:val="en-GB" w:bidi="ar-SA"/>
        </w:rPr>
        <w:t>and</w:t>
      </w:r>
    </w:p>
    <w:p w14:paraId="0D4784CC" w14:textId="77777777" w:rsidR="001A3AC8" w:rsidRPr="001A3AC8" w:rsidRDefault="001A3AC8" w:rsidP="001A3AC8">
      <w:pPr>
        <w:spacing w:line="240" w:lineRule="atLeast"/>
        <w:ind w:right="216"/>
        <w:jc w:val="center"/>
        <w:rPr>
          <w:rFonts w:eastAsia="Times New Roman" w:cs="Times New Roman"/>
          <w:spacing w:val="-3"/>
          <w:sz w:val="36"/>
          <w:szCs w:val="36"/>
        </w:rPr>
      </w:pPr>
      <w:r w:rsidRPr="001A3AC8">
        <w:rPr>
          <w:rFonts w:eastAsia="Times New Roman" w:cs="Times New Roman"/>
          <w:spacing w:val="-3"/>
          <w:sz w:val="36"/>
          <w:szCs w:val="36"/>
        </w:rPr>
        <w:t>Independent Auditor’s Report</w:t>
      </w:r>
    </w:p>
    <w:p w14:paraId="0BBE3EF2" w14:textId="77777777" w:rsidR="001A3AC8" w:rsidRPr="001A3AC8" w:rsidRDefault="001A3AC8" w:rsidP="001A3AC8">
      <w:pPr>
        <w:spacing w:line="240" w:lineRule="atLeast"/>
        <w:ind w:right="216"/>
        <w:rPr>
          <w:rFonts w:eastAsia="Times New Roman" w:cs="Times New Roman"/>
          <w:spacing w:val="-3"/>
          <w:sz w:val="36"/>
          <w:szCs w:val="36"/>
        </w:rPr>
      </w:pPr>
    </w:p>
    <w:p w14:paraId="1C8187EB" w14:textId="77777777" w:rsidR="001A3AC8" w:rsidRPr="001A3AC8" w:rsidRDefault="001A3AC8" w:rsidP="001A3AC8">
      <w:pPr>
        <w:spacing w:line="240" w:lineRule="atLeast"/>
        <w:ind w:right="216"/>
        <w:jc w:val="center"/>
        <w:rPr>
          <w:rFonts w:cs="Times New Roman"/>
        </w:rPr>
      </w:pPr>
    </w:p>
    <w:p w14:paraId="304814D5" w14:textId="77777777" w:rsidR="001A3AC8" w:rsidRPr="001A3AC8" w:rsidRDefault="001A3AC8" w:rsidP="001A3AC8">
      <w:pPr>
        <w:spacing w:line="240" w:lineRule="atLeast"/>
        <w:rPr>
          <w:rFonts w:cs="Times New Roman"/>
          <w:spacing w:val="-3"/>
          <w:sz w:val="32"/>
          <w:szCs w:val="32"/>
        </w:rPr>
        <w:sectPr w:rsidR="001A3AC8" w:rsidRPr="001A3AC8" w:rsidSect="001A3AC8">
          <w:headerReference w:type="default" r:id="rId5"/>
          <w:footerReference w:type="even" r:id="rId6"/>
          <w:footerReference w:type="first" r:id="rId7"/>
          <w:pgSz w:w="11909" w:h="16834" w:code="9"/>
          <w:pgMar w:top="691" w:right="1152" w:bottom="576" w:left="1152" w:header="720" w:footer="720" w:gutter="0"/>
          <w:paperSrc w:first="7" w:other="7"/>
          <w:pgNumType w:start="0"/>
          <w:cols w:space="720"/>
          <w:docGrid w:linePitch="360"/>
        </w:sectPr>
      </w:pPr>
    </w:p>
    <w:p w14:paraId="5853F207" w14:textId="77777777" w:rsidR="001A3AC8" w:rsidRPr="001A3AC8" w:rsidRDefault="001A3AC8" w:rsidP="001A3AC8">
      <w:pPr>
        <w:spacing w:line="240" w:lineRule="atLeast"/>
        <w:rPr>
          <w:rFonts w:eastAsia="Times New Roman" w:cs="Times New Roman"/>
          <w:b/>
          <w:bCs/>
          <w:sz w:val="28"/>
          <w:szCs w:val="28"/>
        </w:rPr>
      </w:pPr>
    </w:p>
    <w:p w14:paraId="2778D30B" w14:textId="77777777" w:rsidR="001A3AC8" w:rsidRPr="001A3AC8" w:rsidRDefault="001A3AC8" w:rsidP="001A3AC8">
      <w:pPr>
        <w:spacing w:line="240" w:lineRule="atLeast"/>
        <w:rPr>
          <w:rFonts w:eastAsia="Times New Roman" w:cs="Times New Roman"/>
          <w:b/>
          <w:bCs/>
          <w:sz w:val="28"/>
          <w:szCs w:val="28"/>
        </w:rPr>
      </w:pPr>
    </w:p>
    <w:p w14:paraId="61451CB8" w14:textId="77777777" w:rsidR="001A3AC8" w:rsidRPr="001A3AC8" w:rsidRDefault="001A3AC8" w:rsidP="001A3AC8">
      <w:pPr>
        <w:rPr>
          <w:rFonts w:cs="Times New Roman"/>
          <w:b/>
          <w:bCs/>
          <w:sz w:val="28"/>
          <w:szCs w:val="28"/>
        </w:rPr>
      </w:pPr>
    </w:p>
    <w:p w14:paraId="336BA2E0" w14:textId="77777777" w:rsidR="001A3AC8" w:rsidRPr="001A3AC8" w:rsidRDefault="001A3AC8" w:rsidP="001A3AC8">
      <w:pPr>
        <w:rPr>
          <w:rFonts w:cs="Times New Roman"/>
          <w:b/>
          <w:bCs/>
          <w:sz w:val="28"/>
          <w:szCs w:val="28"/>
        </w:rPr>
      </w:pPr>
    </w:p>
    <w:p w14:paraId="435431A8" w14:textId="77777777" w:rsidR="001A3AC8" w:rsidRPr="001A3AC8" w:rsidRDefault="001A3AC8" w:rsidP="001A3AC8">
      <w:pPr>
        <w:rPr>
          <w:rFonts w:cs="Times New Roman"/>
          <w:b/>
          <w:bCs/>
          <w:sz w:val="28"/>
          <w:szCs w:val="28"/>
        </w:rPr>
      </w:pPr>
    </w:p>
    <w:p w14:paraId="1001E269" w14:textId="77777777" w:rsidR="001A3AC8" w:rsidRPr="001A3AC8" w:rsidRDefault="001A3AC8" w:rsidP="001A3AC8">
      <w:pPr>
        <w:rPr>
          <w:rFonts w:cs="Times New Roman"/>
          <w:b/>
          <w:bCs/>
          <w:sz w:val="28"/>
          <w:szCs w:val="28"/>
        </w:rPr>
      </w:pPr>
    </w:p>
    <w:p w14:paraId="33578A98" w14:textId="77777777" w:rsidR="001A3AC8" w:rsidRPr="001A3AC8" w:rsidRDefault="001A3AC8" w:rsidP="001A3AC8">
      <w:pPr>
        <w:rPr>
          <w:rFonts w:cs="Times New Roman"/>
          <w:b/>
          <w:bCs/>
          <w:sz w:val="28"/>
          <w:szCs w:val="28"/>
        </w:rPr>
      </w:pPr>
    </w:p>
    <w:p w14:paraId="406CC8C1" w14:textId="77777777" w:rsidR="001A3AC8" w:rsidRPr="001A3AC8" w:rsidRDefault="001A3AC8" w:rsidP="001A3AC8">
      <w:pPr>
        <w:rPr>
          <w:rFonts w:cs="Times New Roman"/>
          <w:b/>
          <w:bCs/>
          <w:sz w:val="28"/>
          <w:szCs w:val="28"/>
        </w:rPr>
      </w:pPr>
    </w:p>
    <w:p w14:paraId="285E5E4B" w14:textId="77777777" w:rsidR="001A3AC8" w:rsidRPr="001A3AC8" w:rsidRDefault="001A3AC8" w:rsidP="001A3AC8">
      <w:pPr>
        <w:rPr>
          <w:rFonts w:cs="Times New Roman"/>
          <w:b/>
          <w:bCs/>
          <w:sz w:val="28"/>
          <w:szCs w:val="28"/>
        </w:rPr>
      </w:pPr>
    </w:p>
    <w:p w14:paraId="47543657" w14:textId="77777777" w:rsidR="001A3AC8" w:rsidRPr="001A3AC8" w:rsidRDefault="001A3AC8" w:rsidP="001A3AC8">
      <w:pPr>
        <w:rPr>
          <w:rFonts w:cs="Times New Roman"/>
          <w:b/>
          <w:bCs/>
          <w:sz w:val="28"/>
          <w:szCs w:val="28"/>
        </w:rPr>
      </w:pPr>
    </w:p>
    <w:p w14:paraId="04B5924F" w14:textId="77777777" w:rsidR="001A3AC8" w:rsidRPr="001A3AC8" w:rsidRDefault="001A3AC8" w:rsidP="001A3AC8">
      <w:pPr>
        <w:rPr>
          <w:rFonts w:cs="Times New Roman"/>
          <w:b/>
          <w:bCs/>
          <w:sz w:val="28"/>
          <w:szCs w:val="28"/>
        </w:rPr>
      </w:pPr>
      <w:r w:rsidRPr="001A3AC8">
        <w:rPr>
          <w:rFonts w:cs="Times New Roman"/>
          <w:b/>
          <w:bCs/>
          <w:sz w:val="28"/>
          <w:szCs w:val="28"/>
        </w:rPr>
        <w:t>Independent Auditor’s Report</w:t>
      </w:r>
    </w:p>
    <w:p w14:paraId="44BA86FD" w14:textId="77777777" w:rsidR="001A3AC8" w:rsidRPr="001A3AC8" w:rsidRDefault="001A3AC8" w:rsidP="001A3AC8">
      <w:pPr>
        <w:pStyle w:val="RNormal"/>
      </w:pPr>
    </w:p>
    <w:p w14:paraId="42D96AC8" w14:textId="77777777" w:rsidR="001A3AC8" w:rsidRPr="001A3AC8" w:rsidRDefault="001A3AC8" w:rsidP="001A3AC8">
      <w:pPr>
        <w:pStyle w:val="RNormal"/>
      </w:pPr>
    </w:p>
    <w:p w14:paraId="29E25073" w14:textId="77777777" w:rsidR="001A3AC8" w:rsidRPr="001A3AC8" w:rsidRDefault="001A3AC8" w:rsidP="001A3AC8">
      <w:pPr>
        <w:jc w:val="both"/>
        <w:rPr>
          <w:rFonts w:cs="Times New Roman"/>
          <w:b/>
          <w:bCs/>
        </w:rPr>
      </w:pPr>
      <w:r w:rsidRPr="001A3AC8">
        <w:rPr>
          <w:rFonts w:cs="Times New Roman"/>
          <w:b/>
          <w:bCs/>
        </w:rPr>
        <w:t xml:space="preserve">To the Shareholders of Thai Life Insurance Public Company Limited </w:t>
      </w:r>
    </w:p>
    <w:p w14:paraId="6A3524CA" w14:textId="77777777" w:rsidR="001A3AC8" w:rsidRPr="001A3AC8" w:rsidRDefault="001A3AC8" w:rsidP="001A3AC8">
      <w:pPr>
        <w:jc w:val="both"/>
        <w:outlineLvl w:val="0"/>
        <w:rPr>
          <w:rFonts w:cs="Times New Roman"/>
          <w:i/>
          <w:iCs/>
          <w:sz w:val="22"/>
          <w:szCs w:val="22"/>
        </w:rPr>
      </w:pPr>
    </w:p>
    <w:p w14:paraId="13D1517F" w14:textId="77777777" w:rsidR="001A3AC8" w:rsidRPr="001A3AC8" w:rsidRDefault="001A3AC8" w:rsidP="001A3AC8">
      <w:pPr>
        <w:jc w:val="both"/>
        <w:outlineLvl w:val="0"/>
        <w:rPr>
          <w:rFonts w:cs="Times New Roman"/>
          <w:i/>
          <w:iCs/>
          <w:sz w:val="22"/>
          <w:szCs w:val="22"/>
        </w:rPr>
      </w:pPr>
    </w:p>
    <w:p w14:paraId="60302F21" w14:textId="77777777" w:rsidR="001A3AC8" w:rsidRPr="001A3AC8" w:rsidRDefault="001A3AC8" w:rsidP="001A3AC8">
      <w:pPr>
        <w:jc w:val="both"/>
        <w:outlineLvl w:val="0"/>
        <w:rPr>
          <w:rFonts w:cs="Times New Roman"/>
          <w:i/>
          <w:iCs/>
          <w:sz w:val="22"/>
          <w:szCs w:val="22"/>
        </w:rPr>
      </w:pPr>
      <w:r w:rsidRPr="001A3AC8">
        <w:rPr>
          <w:rFonts w:cs="Times New Roman"/>
          <w:i/>
          <w:iCs/>
          <w:sz w:val="22"/>
          <w:szCs w:val="22"/>
        </w:rPr>
        <w:t>Opinion</w:t>
      </w:r>
    </w:p>
    <w:p w14:paraId="338CF575" w14:textId="77777777" w:rsidR="001A3AC8" w:rsidRPr="001A3AC8" w:rsidRDefault="001A3AC8" w:rsidP="001A3AC8">
      <w:pPr>
        <w:tabs>
          <w:tab w:val="left" w:pos="2925"/>
        </w:tabs>
        <w:jc w:val="both"/>
        <w:outlineLvl w:val="0"/>
        <w:rPr>
          <w:rFonts w:cs="Times New Roman"/>
          <w:i/>
          <w:iCs/>
          <w:sz w:val="22"/>
          <w:szCs w:val="22"/>
        </w:rPr>
      </w:pPr>
      <w:r w:rsidRPr="001A3AC8">
        <w:rPr>
          <w:rFonts w:cs="Times New Roman"/>
          <w:i/>
          <w:iCs/>
          <w:sz w:val="22"/>
          <w:szCs w:val="22"/>
        </w:rPr>
        <w:tab/>
      </w:r>
    </w:p>
    <w:p w14:paraId="41B155A2" w14:textId="77777777" w:rsidR="001A3AC8" w:rsidRPr="001A3AC8" w:rsidRDefault="001A3AC8" w:rsidP="001A3AC8">
      <w:pPr>
        <w:pStyle w:val="FSKE0G0M0H0Noindent-regular"/>
        <w:rPr>
          <w:rFonts w:ascii="Times New Roman" w:hAnsi="Times New Roman"/>
          <w:szCs w:val="24"/>
          <w:lang w:val="en-GB"/>
        </w:rPr>
      </w:pPr>
      <w:r w:rsidRPr="001A3AC8">
        <w:rPr>
          <w:rFonts w:ascii="Times New Roman" w:hAnsi="Times New Roman"/>
          <w:szCs w:val="24"/>
          <w:lang w:val="en-GB"/>
        </w:rPr>
        <w:t>I have audited the financial statements in which the equity method is applied and separate financial statements of Thai Life Insurance Public Company Limited (the “Company”), which comprise the statement of financial position in which the equity method is applied and separate statement of financial position as at 31 December 2024, the related statements of comprehensive income, changes in equity and cash flows for the year then ended, and notes, comprising a summary of material accounting policies and other explanatory information.</w:t>
      </w:r>
    </w:p>
    <w:p w14:paraId="4B2EF04F" w14:textId="77777777" w:rsidR="001A3AC8" w:rsidRPr="001A3AC8" w:rsidRDefault="001A3AC8" w:rsidP="001A3AC8">
      <w:pPr>
        <w:rPr>
          <w:rFonts w:cs="Times New Roman"/>
          <w:sz w:val="28"/>
          <w:szCs w:val="28"/>
          <w:lang w:val="en-GB"/>
        </w:rPr>
      </w:pPr>
    </w:p>
    <w:p w14:paraId="62C5D2F9" w14:textId="77777777" w:rsidR="001A3AC8" w:rsidRPr="001A3AC8" w:rsidRDefault="001A3AC8" w:rsidP="001A3AC8">
      <w:pPr>
        <w:pStyle w:val="FSKE0G0M0H0Noindent-regular"/>
        <w:rPr>
          <w:rFonts w:ascii="Times New Roman" w:hAnsi="Times New Roman"/>
          <w:szCs w:val="24"/>
          <w:lang w:val="en-GB"/>
        </w:rPr>
      </w:pPr>
      <w:r w:rsidRPr="001A3AC8">
        <w:rPr>
          <w:rFonts w:ascii="Times New Roman" w:hAnsi="Times New Roman"/>
          <w:szCs w:val="24"/>
          <w:lang w:val="en-GB"/>
        </w:rPr>
        <w:t xml:space="preserve">In my opinion, the accompanying financial statements in which the equity method is </w:t>
      </w:r>
      <w:proofErr w:type="gramStart"/>
      <w:r w:rsidRPr="001A3AC8">
        <w:rPr>
          <w:rFonts w:ascii="Times New Roman" w:hAnsi="Times New Roman"/>
          <w:szCs w:val="24"/>
          <w:lang w:val="en-GB"/>
        </w:rPr>
        <w:t>applied</w:t>
      </w:r>
      <w:proofErr w:type="gramEnd"/>
      <w:r w:rsidRPr="001A3AC8">
        <w:rPr>
          <w:rFonts w:ascii="Times New Roman" w:hAnsi="Times New Roman"/>
          <w:szCs w:val="24"/>
          <w:lang w:val="en-GB"/>
        </w:rPr>
        <w:t xml:space="preserve"> and separate financial statements present fairly, in all material respects, the financial position of the Company as at 31 December 2024 and its financial performance and cash flows for the year then ended in accordance with Thai Financial Reporting Standards (TFRSs).  </w:t>
      </w:r>
    </w:p>
    <w:p w14:paraId="5A3B9736" w14:textId="77777777" w:rsidR="001A3AC8" w:rsidRPr="001A3AC8" w:rsidRDefault="001A3AC8" w:rsidP="001A3AC8">
      <w:pPr>
        <w:shd w:val="clear" w:color="auto" w:fill="FFFFFF"/>
        <w:jc w:val="both"/>
        <w:rPr>
          <w:rFonts w:cs="Times New Roman"/>
          <w:sz w:val="22"/>
          <w:szCs w:val="22"/>
          <w:lang w:val="en-GB"/>
        </w:rPr>
      </w:pPr>
    </w:p>
    <w:p w14:paraId="3B24DD04" w14:textId="77777777" w:rsidR="001A3AC8" w:rsidRPr="001A3AC8" w:rsidRDefault="001A3AC8" w:rsidP="001A3AC8">
      <w:pPr>
        <w:autoSpaceDE w:val="0"/>
        <w:autoSpaceDN w:val="0"/>
        <w:adjustRightInd w:val="0"/>
        <w:rPr>
          <w:rFonts w:cs="Times New Roman"/>
          <w:i/>
          <w:iCs/>
          <w:sz w:val="22"/>
          <w:szCs w:val="22"/>
        </w:rPr>
      </w:pPr>
      <w:r w:rsidRPr="001A3AC8">
        <w:rPr>
          <w:rFonts w:cs="Times New Roman"/>
          <w:i/>
          <w:iCs/>
          <w:sz w:val="22"/>
          <w:szCs w:val="22"/>
        </w:rPr>
        <w:t xml:space="preserve">Basis for Opinion </w:t>
      </w:r>
    </w:p>
    <w:p w14:paraId="103FB999" w14:textId="77777777" w:rsidR="001A3AC8" w:rsidRPr="001A3AC8" w:rsidRDefault="001A3AC8" w:rsidP="001A3AC8">
      <w:pPr>
        <w:autoSpaceDE w:val="0"/>
        <w:autoSpaceDN w:val="0"/>
        <w:adjustRightInd w:val="0"/>
        <w:rPr>
          <w:rFonts w:cs="Times New Roman"/>
          <w:i/>
          <w:iCs/>
          <w:sz w:val="22"/>
          <w:szCs w:val="22"/>
        </w:rPr>
      </w:pPr>
    </w:p>
    <w:p w14:paraId="77BFDF92" w14:textId="77777777" w:rsidR="001A3AC8" w:rsidRPr="001A3AC8" w:rsidRDefault="001A3AC8" w:rsidP="001A3AC8">
      <w:pPr>
        <w:autoSpaceDE w:val="0"/>
        <w:autoSpaceDN w:val="0"/>
        <w:adjustRightInd w:val="0"/>
        <w:jc w:val="both"/>
        <w:rPr>
          <w:rFonts w:cs="Times New Roman"/>
          <w:sz w:val="20"/>
          <w:szCs w:val="20"/>
        </w:rPr>
      </w:pPr>
      <w:r w:rsidRPr="001A3AC8">
        <w:rPr>
          <w:rFonts w:cs="Times New Roman"/>
          <w:sz w:val="22"/>
          <w:szCs w:val="22"/>
          <w:lang w:val="en-GB"/>
        </w:rPr>
        <w:t xml:space="preserve">I conducted my audit in accordance with Thai Standards on Auditing (TSAs). My responsibilities under those standards are further described in the </w:t>
      </w:r>
      <w:r w:rsidRPr="001A3AC8">
        <w:rPr>
          <w:rFonts w:cs="Times New Roman"/>
          <w:i/>
          <w:iCs/>
          <w:sz w:val="22"/>
          <w:szCs w:val="22"/>
        </w:rPr>
        <w:t>Auditor’s Responsibilities for the Audit of the Financial Statements</w:t>
      </w:r>
      <w:r w:rsidRPr="001A3AC8">
        <w:rPr>
          <w:rFonts w:cs="Times New Roman"/>
          <w:sz w:val="22"/>
          <w:szCs w:val="22"/>
          <w:lang w:val="en-GB"/>
        </w:rPr>
        <w:t xml:space="preserve"> in which the Equity Method is Applied and Separate Financial Statements section of my report. I am independent of the Company in accordance with the </w:t>
      </w:r>
      <w:r w:rsidRPr="001A3AC8">
        <w:rPr>
          <w:rFonts w:cs="Times New Roman"/>
          <w:i/>
          <w:iCs/>
          <w:sz w:val="22"/>
          <w:szCs w:val="22"/>
        </w:rPr>
        <w:t>Code of Ethics for Professional Accountants including Independence Standards</w:t>
      </w:r>
      <w:r w:rsidRPr="001A3AC8">
        <w:rPr>
          <w:rFonts w:cs="Times New Roman"/>
          <w:sz w:val="22"/>
          <w:szCs w:val="22"/>
          <w:lang w:val="en-GB"/>
        </w:rPr>
        <w:t xml:space="preserve"> issued by the Federation of Accounting Professions (Code of Ethics for Professional Accountants) that is relevant to my audit of the financial statements in which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6F0DEB3" w14:textId="77777777" w:rsidR="001A3AC8" w:rsidRPr="001A3AC8" w:rsidRDefault="001A3AC8" w:rsidP="001A3AC8">
      <w:pPr>
        <w:autoSpaceDE w:val="0"/>
        <w:autoSpaceDN w:val="0"/>
        <w:adjustRightInd w:val="0"/>
        <w:rPr>
          <w:rFonts w:cs="Times New Roman"/>
          <w:i/>
          <w:iCs/>
          <w:sz w:val="22"/>
          <w:szCs w:val="22"/>
          <w:lang w:val="en-GB"/>
        </w:rPr>
      </w:pPr>
    </w:p>
    <w:p w14:paraId="319C39D7" w14:textId="77777777" w:rsidR="001A3AC8" w:rsidRPr="001A3AC8" w:rsidRDefault="001A3AC8" w:rsidP="001A3AC8">
      <w:pPr>
        <w:autoSpaceDE w:val="0"/>
        <w:autoSpaceDN w:val="0"/>
        <w:adjustRightInd w:val="0"/>
        <w:rPr>
          <w:rFonts w:cs="Times New Roman"/>
          <w:i/>
          <w:iCs/>
          <w:sz w:val="22"/>
          <w:szCs w:val="22"/>
        </w:rPr>
      </w:pPr>
    </w:p>
    <w:p w14:paraId="5163CB84" w14:textId="77777777" w:rsidR="001A3AC8" w:rsidRPr="001A3AC8" w:rsidRDefault="001A3AC8" w:rsidP="001A3AC8">
      <w:pPr>
        <w:rPr>
          <w:rFonts w:cs="Times New Roman"/>
          <w:i/>
          <w:iCs/>
          <w:color w:val="0A2F41" w:themeColor="accent1" w:themeShade="80"/>
          <w:sz w:val="22"/>
          <w:szCs w:val="22"/>
        </w:rPr>
      </w:pPr>
      <w:r w:rsidRPr="001A3AC8">
        <w:rPr>
          <w:rFonts w:cs="Times New Roman"/>
          <w:i/>
          <w:iCs/>
          <w:color w:val="0A2F41" w:themeColor="accent1" w:themeShade="80"/>
          <w:sz w:val="22"/>
          <w:szCs w:val="22"/>
        </w:rPr>
        <w:br w:type="page"/>
      </w:r>
    </w:p>
    <w:p w14:paraId="7C835BB2" w14:textId="77777777" w:rsidR="001A3AC8" w:rsidRPr="001A3AC8" w:rsidRDefault="001A3AC8" w:rsidP="001A3AC8">
      <w:pPr>
        <w:pStyle w:val="FSKE2G2M0H2Reportheading"/>
        <w:rPr>
          <w:lang w:val="en-GB"/>
        </w:rPr>
      </w:pPr>
      <w:r w:rsidRPr="001A3AC8">
        <w:rPr>
          <w:lang w:val="en-GB"/>
        </w:rPr>
        <w:lastRenderedPageBreak/>
        <w:t>Key Audit Matters</w:t>
      </w:r>
    </w:p>
    <w:p w14:paraId="5661A636" w14:textId="77777777" w:rsidR="001A3AC8" w:rsidRPr="001A3AC8" w:rsidRDefault="001A3AC8" w:rsidP="001A3AC8">
      <w:pPr>
        <w:rPr>
          <w:rFonts w:cs="Times New Roman"/>
          <w:sz w:val="22"/>
          <w:szCs w:val="22"/>
          <w:lang w:val="en-GB"/>
        </w:rPr>
      </w:pPr>
    </w:p>
    <w:p w14:paraId="7B324AD8"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w:t>
      </w:r>
      <w:proofErr w:type="gramStart"/>
      <w:r w:rsidRPr="001A3AC8">
        <w:rPr>
          <w:rFonts w:ascii="Times New Roman" w:hAnsi="Times New Roman"/>
          <w:lang w:val="en-GB"/>
        </w:rPr>
        <w:t>statements as a whole, and</w:t>
      </w:r>
      <w:proofErr w:type="gramEnd"/>
      <w:r w:rsidRPr="001A3AC8">
        <w:rPr>
          <w:rFonts w:ascii="Times New Roman" w:hAnsi="Times New Roman"/>
          <w:lang w:val="en-GB"/>
        </w:rPr>
        <w:t xml:space="preserve"> in forming my opinion thereon, and I do not provide a separate opinion on these matters. </w:t>
      </w:r>
    </w:p>
    <w:p w14:paraId="536E2984" w14:textId="77777777" w:rsidR="001A3AC8" w:rsidRPr="001A3AC8" w:rsidRDefault="001A3AC8" w:rsidP="001A3AC8">
      <w:pPr>
        <w:rPr>
          <w:rFonts w:cs="Times New Roman"/>
          <w:sz w:val="22"/>
          <w:szCs w:val="22"/>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1A3AC8" w:rsidRPr="001A3AC8" w14:paraId="590EE416" w14:textId="77777777" w:rsidTr="00436622">
        <w:trPr>
          <w:trHeight w:val="316"/>
        </w:trPr>
        <w:tc>
          <w:tcPr>
            <w:tcW w:w="4770" w:type="dxa"/>
            <w:tcBorders>
              <w:top w:val="single" w:sz="4" w:space="0" w:color="auto"/>
              <w:left w:val="single" w:sz="4" w:space="0" w:color="auto"/>
              <w:bottom w:val="single" w:sz="4" w:space="0" w:color="auto"/>
              <w:right w:val="nil"/>
            </w:tcBorders>
            <w:hideMark/>
          </w:tcPr>
          <w:p w14:paraId="443BA045" w14:textId="77777777" w:rsidR="001A3AC8" w:rsidRPr="001A3AC8" w:rsidRDefault="001A3AC8" w:rsidP="00436622">
            <w:pPr>
              <w:jc w:val="both"/>
              <w:rPr>
                <w:rFonts w:eastAsia="Times New Roman" w:cs="Times New Roman"/>
                <w:b/>
                <w:bCs/>
                <w:sz w:val="22"/>
                <w:szCs w:val="28"/>
              </w:rPr>
            </w:pPr>
            <w:bookmarkStart w:id="0" w:name="_Hlk124772831"/>
            <w:r w:rsidRPr="001A3AC8">
              <w:rPr>
                <w:rFonts w:eastAsia="Times New Roman" w:cs="Times New Roman"/>
                <w:b/>
                <w:bCs/>
                <w:sz w:val="22"/>
                <w:szCs w:val="22"/>
              </w:rPr>
              <w:t>Valuation of l</w:t>
            </w:r>
            <w:r w:rsidRPr="001A3AC8">
              <w:rPr>
                <w:rFonts w:eastAsia="Times New Roman" w:cs="Times New Roman"/>
                <w:b/>
                <w:bCs/>
                <w:sz w:val="22"/>
                <w:szCs w:val="28"/>
              </w:rPr>
              <w:t>ong-term technical reserve</w:t>
            </w:r>
          </w:p>
        </w:tc>
        <w:tc>
          <w:tcPr>
            <w:tcW w:w="4590" w:type="dxa"/>
            <w:tcBorders>
              <w:top w:val="single" w:sz="4" w:space="0" w:color="auto"/>
              <w:left w:val="nil"/>
              <w:bottom w:val="single" w:sz="4" w:space="0" w:color="auto"/>
              <w:right w:val="single" w:sz="4" w:space="0" w:color="auto"/>
            </w:tcBorders>
          </w:tcPr>
          <w:p w14:paraId="3E803F73" w14:textId="77777777" w:rsidR="001A3AC8" w:rsidRPr="001A3AC8" w:rsidRDefault="001A3AC8" w:rsidP="00436622">
            <w:pPr>
              <w:jc w:val="thaiDistribute"/>
              <w:rPr>
                <w:rFonts w:eastAsia="Times New Roman" w:cs="Times New Roman"/>
                <w:b/>
                <w:bCs/>
                <w:sz w:val="22"/>
                <w:szCs w:val="22"/>
              </w:rPr>
            </w:pPr>
          </w:p>
        </w:tc>
      </w:tr>
      <w:tr w:rsidR="001A3AC8" w:rsidRPr="001A3AC8" w14:paraId="5CA710E3" w14:textId="77777777" w:rsidTr="00436622">
        <w:tc>
          <w:tcPr>
            <w:tcW w:w="9360" w:type="dxa"/>
            <w:gridSpan w:val="2"/>
            <w:tcBorders>
              <w:top w:val="single" w:sz="4" w:space="0" w:color="auto"/>
              <w:left w:val="single" w:sz="4" w:space="0" w:color="auto"/>
              <w:bottom w:val="single" w:sz="4" w:space="0" w:color="auto"/>
              <w:right w:val="single" w:sz="4" w:space="0" w:color="auto"/>
            </w:tcBorders>
            <w:hideMark/>
          </w:tcPr>
          <w:p w14:paraId="2B50FA82" w14:textId="77777777" w:rsidR="001A3AC8" w:rsidRPr="001A3AC8" w:rsidRDefault="001A3AC8" w:rsidP="00436622">
            <w:pPr>
              <w:jc w:val="thaiDistribute"/>
              <w:rPr>
                <w:rFonts w:eastAsia="Times New Roman" w:cs="Times New Roman"/>
                <w:sz w:val="22"/>
                <w:szCs w:val="22"/>
              </w:rPr>
            </w:pPr>
            <w:r w:rsidRPr="001A3AC8">
              <w:rPr>
                <w:rFonts w:eastAsia="Times New Roman" w:cs="Times New Roman"/>
                <w:sz w:val="22"/>
                <w:szCs w:val="22"/>
              </w:rPr>
              <w:t xml:space="preserve">Refer to notes 2(d), 3(e) and </w:t>
            </w:r>
            <w:r w:rsidRPr="001A3AC8">
              <w:rPr>
                <w:rFonts w:eastAsia="Times New Roman" w:cs="Times New Roman"/>
                <w:sz w:val="22"/>
                <w:szCs w:val="22"/>
                <w:cs/>
              </w:rPr>
              <w:t>11</w:t>
            </w:r>
            <w:r w:rsidRPr="001A3AC8">
              <w:rPr>
                <w:rFonts w:eastAsia="Times New Roman" w:cs="Times New Roman"/>
                <w:sz w:val="22"/>
                <w:szCs w:val="22"/>
              </w:rPr>
              <w:t xml:space="preserve"> to financial statements</w:t>
            </w:r>
          </w:p>
        </w:tc>
      </w:tr>
      <w:tr w:rsidR="001A3AC8" w:rsidRPr="001A3AC8" w14:paraId="6ABC8AE9" w14:textId="77777777" w:rsidTr="00436622">
        <w:tc>
          <w:tcPr>
            <w:tcW w:w="4770" w:type="dxa"/>
            <w:tcBorders>
              <w:top w:val="single" w:sz="4" w:space="0" w:color="auto"/>
              <w:left w:val="single" w:sz="4" w:space="0" w:color="auto"/>
              <w:bottom w:val="single" w:sz="4" w:space="0" w:color="auto"/>
              <w:right w:val="single" w:sz="4" w:space="0" w:color="auto"/>
            </w:tcBorders>
            <w:hideMark/>
          </w:tcPr>
          <w:p w14:paraId="103FAF22" w14:textId="77777777" w:rsidR="001A3AC8" w:rsidRPr="001A3AC8" w:rsidRDefault="001A3AC8" w:rsidP="00436622">
            <w:pPr>
              <w:jc w:val="center"/>
              <w:rPr>
                <w:rFonts w:eastAsia="Times New Roman" w:cs="Times New Roman"/>
                <w:b/>
                <w:bCs/>
                <w:sz w:val="22"/>
                <w:szCs w:val="22"/>
              </w:rPr>
            </w:pPr>
            <w:r w:rsidRPr="001A3AC8">
              <w:rPr>
                <w:rFonts w:eastAsia="Times New Roman" w:cs="Times New Roman"/>
                <w:b/>
                <w:bCs/>
                <w:sz w:val="22"/>
                <w:szCs w:val="22"/>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762E5695" w14:textId="77777777" w:rsidR="001A3AC8" w:rsidRPr="001A3AC8" w:rsidRDefault="001A3AC8" w:rsidP="00436622">
            <w:pPr>
              <w:jc w:val="center"/>
              <w:rPr>
                <w:rFonts w:eastAsia="Times New Roman" w:cs="Times New Roman"/>
                <w:b/>
                <w:bCs/>
                <w:sz w:val="22"/>
                <w:szCs w:val="22"/>
              </w:rPr>
            </w:pPr>
            <w:r w:rsidRPr="001A3AC8">
              <w:rPr>
                <w:rFonts w:eastAsia="Times New Roman" w:cs="Times New Roman"/>
                <w:b/>
                <w:bCs/>
                <w:sz w:val="22"/>
                <w:szCs w:val="22"/>
              </w:rPr>
              <w:t>How the matter was addressed in my audit</w:t>
            </w:r>
          </w:p>
        </w:tc>
      </w:tr>
      <w:tr w:rsidR="001A3AC8" w:rsidRPr="001A3AC8" w14:paraId="5824FC8A" w14:textId="77777777" w:rsidTr="00436622">
        <w:tc>
          <w:tcPr>
            <w:tcW w:w="4770" w:type="dxa"/>
            <w:tcBorders>
              <w:top w:val="single" w:sz="4" w:space="0" w:color="auto"/>
              <w:left w:val="single" w:sz="4" w:space="0" w:color="auto"/>
              <w:bottom w:val="single" w:sz="4" w:space="0" w:color="auto"/>
              <w:right w:val="single" w:sz="4" w:space="0" w:color="auto"/>
            </w:tcBorders>
          </w:tcPr>
          <w:p w14:paraId="5E2A055A" w14:textId="77777777" w:rsidR="001A3AC8" w:rsidRPr="001A3AC8" w:rsidRDefault="001A3AC8" w:rsidP="00436622">
            <w:pPr>
              <w:spacing w:before="60" w:line="240" w:lineRule="atLeast"/>
              <w:ind w:right="50"/>
              <w:jc w:val="both"/>
              <w:rPr>
                <w:rFonts w:eastAsia="Times New Roman" w:cs="Times New Roman"/>
                <w:iCs/>
                <w:sz w:val="22"/>
                <w:szCs w:val="22"/>
              </w:rPr>
            </w:pPr>
            <w:r w:rsidRPr="001A3AC8">
              <w:rPr>
                <w:rFonts w:eastAsia="Times New Roman" w:cs="Times New Roman"/>
                <w:iCs/>
                <w:sz w:val="22"/>
                <w:szCs w:val="22"/>
              </w:rPr>
              <w:t xml:space="preserve">As </w:t>
            </w:r>
            <w:proofErr w:type="gramStart"/>
            <w:r w:rsidRPr="001A3AC8">
              <w:rPr>
                <w:rFonts w:eastAsia="Times New Roman" w:cs="Times New Roman"/>
                <w:iCs/>
                <w:sz w:val="22"/>
                <w:szCs w:val="22"/>
              </w:rPr>
              <w:t>at</w:t>
            </w:r>
            <w:proofErr w:type="gramEnd"/>
            <w:r w:rsidRPr="001A3AC8">
              <w:rPr>
                <w:rFonts w:eastAsia="Times New Roman" w:cs="Times New Roman"/>
                <w:iCs/>
                <w:sz w:val="22"/>
                <w:szCs w:val="22"/>
              </w:rPr>
              <w:t xml:space="preserve"> 31 December 2024, long-term technical reserves recorded in the</w:t>
            </w:r>
            <w:r w:rsidRPr="001A3AC8">
              <w:rPr>
                <w:rFonts w:eastAsia="Times New Roman" w:cs="Times New Roman"/>
                <w:sz w:val="22"/>
                <w:szCs w:val="22"/>
              </w:rPr>
              <w:t xml:space="preserve"> financial statements in which the equity method is applied and separate financial statements</w:t>
            </w:r>
            <w:r w:rsidRPr="001A3AC8">
              <w:rPr>
                <w:rFonts w:eastAsia="Times New Roman" w:cs="Times New Roman"/>
                <w:iCs/>
                <w:sz w:val="22"/>
                <w:szCs w:val="22"/>
              </w:rPr>
              <w:t xml:space="preserve"> amounted to Baht 447,345.22 million, approximately 91.56% of total liabilities. </w:t>
            </w:r>
          </w:p>
          <w:p w14:paraId="0D1C3F71" w14:textId="77777777" w:rsidR="001A3AC8" w:rsidRPr="001A3AC8" w:rsidRDefault="001A3AC8" w:rsidP="00436622">
            <w:pPr>
              <w:spacing w:before="60" w:line="240" w:lineRule="atLeast"/>
              <w:ind w:right="50"/>
              <w:jc w:val="both"/>
              <w:rPr>
                <w:rFonts w:eastAsia="Times New Roman" w:cs="Times New Roman"/>
                <w:iCs/>
                <w:sz w:val="22"/>
                <w:szCs w:val="22"/>
              </w:rPr>
            </w:pPr>
          </w:p>
          <w:p w14:paraId="0FBA7B31" w14:textId="77777777" w:rsidR="001A3AC8" w:rsidRPr="001A3AC8" w:rsidRDefault="001A3AC8" w:rsidP="00436622">
            <w:pPr>
              <w:ind w:right="50"/>
              <w:jc w:val="thaiDistribute"/>
              <w:rPr>
                <w:rFonts w:eastAsia="Times New Roman" w:cs="Times New Roman"/>
                <w:iCs/>
                <w:sz w:val="22"/>
                <w:szCs w:val="22"/>
              </w:rPr>
            </w:pPr>
            <w:r w:rsidRPr="001A3AC8">
              <w:rPr>
                <w:rFonts w:eastAsia="Times New Roman" w:cs="Times New Roman"/>
                <w:iCs/>
                <w:sz w:val="22"/>
                <w:szCs w:val="22"/>
              </w:rPr>
              <w:t>The valuation of these reserves is based on actuarial methodologies and economic assumptions such as investment returns and discount rates and non-economic assumptions such as mortality and</w:t>
            </w:r>
            <w:r w:rsidRPr="001A3AC8">
              <w:rPr>
                <w:rFonts w:eastAsia="Times New Roman" w:cs="Times New Roman"/>
                <w:iCs/>
                <w:sz w:val="22"/>
                <w:szCs w:val="22"/>
                <w:u w:val="single"/>
              </w:rPr>
              <w:t xml:space="preserve"> </w:t>
            </w:r>
            <w:r w:rsidRPr="001A3AC8">
              <w:rPr>
                <w:rFonts w:eastAsia="Times New Roman" w:cs="Times New Roman"/>
                <w:iCs/>
                <w:sz w:val="22"/>
                <w:szCs w:val="22"/>
              </w:rPr>
              <w:t xml:space="preserve">persistency that involve significant complex judgments about future events which could materially affect the amount of the recorded liability and expense. Accordingly, it is considered a Key Audit Matter. </w:t>
            </w:r>
          </w:p>
          <w:p w14:paraId="0014AF91" w14:textId="77777777" w:rsidR="001A3AC8" w:rsidRPr="001A3AC8" w:rsidRDefault="001A3AC8" w:rsidP="00436622">
            <w:pPr>
              <w:jc w:val="thaiDistribute"/>
              <w:rPr>
                <w:rFonts w:eastAsia="Times New Roman" w:cs="Times New Roman"/>
                <w:sz w:val="22"/>
                <w:szCs w:val="22"/>
              </w:rPr>
            </w:pPr>
          </w:p>
        </w:tc>
        <w:tc>
          <w:tcPr>
            <w:tcW w:w="4590" w:type="dxa"/>
            <w:tcBorders>
              <w:top w:val="single" w:sz="4" w:space="0" w:color="auto"/>
              <w:left w:val="single" w:sz="4" w:space="0" w:color="auto"/>
              <w:bottom w:val="single" w:sz="4" w:space="0" w:color="auto"/>
              <w:right w:val="single" w:sz="4" w:space="0" w:color="auto"/>
            </w:tcBorders>
          </w:tcPr>
          <w:p w14:paraId="349FF9F6" w14:textId="77777777" w:rsidR="001A3AC8" w:rsidRPr="001A3AC8" w:rsidRDefault="001A3AC8" w:rsidP="00436622">
            <w:pPr>
              <w:spacing w:before="60" w:line="240" w:lineRule="atLeast"/>
              <w:jc w:val="both"/>
              <w:rPr>
                <w:rFonts w:eastAsia="Times New Roman" w:cs="Times New Roman"/>
                <w:sz w:val="22"/>
                <w:szCs w:val="22"/>
              </w:rPr>
            </w:pPr>
            <w:r w:rsidRPr="001A3AC8">
              <w:rPr>
                <w:rFonts w:eastAsia="Times New Roman" w:cs="Times New Roman"/>
                <w:sz w:val="22"/>
                <w:szCs w:val="22"/>
              </w:rPr>
              <w:t xml:space="preserve">My audit procedures </w:t>
            </w:r>
            <w:proofErr w:type="gramStart"/>
            <w:r w:rsidRPr="001A3AC8">
              <w:rPr>
                <w:rFonts w:eastAsia="Times New Roman" w:cs="Times New Roman"/>
                <w:sz w:val="22"/>
                <w:szCs w:val="22"/>
              </w:rPr>
              <w:t>included;</w:t>
            </w:r>
            <w:proofErr w:type="gramEnd"/>
          </w:p>
          <w:p w14:paraId="78451341" w14:textId="77777777" w:rsidR="001A3AC8" w:rsidRPr="001A3AC8" w:rsidRDefault="001A3AC8" w:rsidP="00436622">
            <w:pPr>
              <w:spacing w:line="240" w:lineRule="atLeast"/>
              <w:jc w:val="both"/>
              <w:rPr>
                <w:rFonts w:eastAsia="Times New Roman" w:cs="Times New Roman"/>
                <w:sz w:val="22"/>
                <w:szCs w:val="22"/>
              </w:rPr>
            </w:pPr>
          </w:p>
          <w:p w14:paraId="0D0097A2" w14:textId="77777777" w:rsidR="001A3AC8" w:rsidRPr="001A3AC8" w:rsidRDefault="001A3AC8" w:rsidP="00436622">
            <w:pPr>
              <w:numPr>
                <w:ilvl w:val="0"/>
                <w:numId w:val="2"/>
              </w:numPr>
              <w:spacing w:line="240" w:lineRule="atLeast"/>
              <w:ind w:left="331" w:hanging="331"/>
              <w:contextualSpacing/>
              <w:jc w:val="both"/>
              <w:rPr>
                <w:rFonts w:eastAsia="Times New Roman" w:cs="Times New Roman"/>
                <w:spacing w:val="-4"/>
                <w:sz w:val="22"/>
                <w:szCs w:val="22"/>
              </w:rPr>
            </w:pPr>
            <w:r w:rsidRPr="001A3AC8">
              <w:rPr>
                <w:rFonts w:eastAsia="Times New Roman" w:cs="Times New Roman"/>
                <w:spacing w:val="-4"/>
                <w:sz w:val="22"/>
                <w:szCs w:val="22"/>
              </w:rPr>
              <w:t>I</w:t>
            </w:r>
            <w:r w:rsidRPr="001A3AC8">
              <w:rPr>
                <w:rFonts w:eastAsia="Times New Roman" w:cs="Times New Roman"/>
                <w:spacing w:val="-4"/>
                <w:sz w:val="22"/>
                <w:szCs w:val="22"/>
                <w:cs/>
              </w:rPr>
              <w:t xml:space="preserve"> </w:t>
            </w:r>
            <w:r w:rsidRPr="001A3AC8">
              <w:rPr>
                <w:rFonts w:eastAsia="Times New Roman" w:cs="Times New Roman"/>
                <w:spacing w:val="-4"/>
                <w:sz w:val="22"/>
                <w:szCs w:val="22"/>
              </w:rPr>
              <w:t>obtained the understanding for long-term technical reserve process and related internal control procedures.</w:t>
            </w:r>
          </w:p>
          <w:p w14:paraId="6AC5CE6E" w14:textId="77777777" w:rsidR="001A3AC8" w:rsidRPr="001A3AC8" w:rsidRDefault="001A3AC8" w:rsidP="00436622">
            <w:pPr>
              <w:spacing w:line="240" w:lineRule="atLeast"/>
              <w:ind w:left="331" w:hanging="331"/>
              <w:contextualSpacing/>
              <w:jc w:val="both"/>
              <w:rPr>
                <w:rFonts w:eastAsia="Times New Roman" w:cs="Times New Roman"/>
                <w:spacing w:val="-4"/>
                <w:sz w:val="22"/>
                <w:szCs w:val="22"/>
              </w:rPr>
            </w:pPr>
          </w:p>
          <w:p w14:paraId="418D5516" w14:textId="77777777" w:rsidR="001A3AC8" w:rsidRPr="001A3AC8" w:rsidRDefault="001A3AC8" w:rsidP="00436622">
            <w:pPr>
              <w:numPr>
                <w:ilvl w:val="0"/>
                <w:numId w:val="2"/>
              </w:numPr>
              <w:spacing w:line="240" w:lineRule="atLeast"/>
              <w:ind w:left="331" w:hanging="331"/>
              <w:contextualSpacing/>
              <w:jc w:val="both"/>
              <w:rPr>
                <w:rFonts w:eastAsia="Times New Roman" w:cs="Times New Roman"/>
                <w:spacing w:val="-4"/>
                <w:sz w:val="22"/>
                <w:szCs w:val="22"/>
              </w:rPr>
            </w:pPr>
            <w:r w:rsidRPr="001A3AC8">
              <w:rPr>
                <w:rFonts w:eastAsia="Times New Roman" w:cs="Times New Roman"/>
                <w:spacing w:val="-4"/>
                <w:sz w:val="22"/>
                <w:szCs w:val="22"/>
              </w:rPr>
              <w:t xml:space="preserve">I performed a risk assessment by considering factors which could affect the major valuation assumptions and controls framework. These major assumptions include economic assumptions </w:t>
            </w:r>
            <w:bookmarkStart w:id="1" w:name="_Hlk123835441"/>
            <w:r w:rsidRPr="001A3AC8">
              <w:rPr>
                <w:rFonts w:eastAsia="Times New Roman" w:cs="Times New Roman"/>
                <w:spacing w:val="-4"/>
                <w:sz w:val="22"/>
                <w:szCs w:val="22"/>
              </w:rPr>
              <w:t>such as investment returns and discount rates and non-economic assumptions such as mortality and persistency</w:t>
            </w:r>
            <w:bookmarkEnd w:id="1"/>
            <w:r w:rsidRPr="001A3AC8">
              <w:rPr>
                <w:rFonts w:eastAsia="Times New Roman" w:cs="Times New Roman"/>
                <w:spacing w:val="-4"/>
                <w:sz w:val="22"/>
                <w:szCs w:val="22"/>
              </w:rPr>
              <w:t>.</w:t>
            </w:r>
          </w:p>
          <w:p w14:paraId="66060209" w14:textId="77777777" w:rsidR="001A3AC8" w:rsidRPr="001A3AC8" w:rsidRDefault="001A3AC8" w:rsidP="00436622">
            <w:pPr>
              <w:spacing w:line="240" w:lineRule="atLeast"/>
              <w:ind w:left="331" w:hanging="331"/>
              <w:contextualSpacing/>
              <w:jc w:val="both"/>
              <w:rPr>
                <w:rFonts w:eastAsia="Times New Roman" w:cs="Times New Roman"/>
                <w:spacing w:val="-4"/>
                <w:sz w:val="22"/>
                <w:szCs w:val="22"/>
              </w:rPr>
            </w:pPr>
          </w:p>
          <w:p w14:paraId="0F88F355" w14:textId="77777777" w:rsidR="001A3AC8" w:rsidRPr="001A3AC8" w:rsidRDefault="001A3AC8" w:rsidP="00436622">
            <w:pPr>
              <w:numPr>
                <w:ilvl w:val="0"/>
                <w:numId w:val="2"/>
              </w:numPr>
              <w:spacing w:line="240" w:lineRule="atLeast"/>
              <w:ind w:left="331" w:hanging="331"/>
              <w:contextualSpacing/>
              <w:jc w:val="both"/>
              <w:rPr>
                <w:rFonts w:eastAsia="Times New Roman" w:cs="Times New Roman"/>
                <w:spacing w:val="-4"/>
                <w:sz w:val="22"/>
                <w:szCs w:val="22"/>
              </w:rPr>
            </w:pPr>
            <w:r w:rsidRPr="001A3AC8">
              <w:rPr>
                <w:rFonts w:eastAsia="Times New Roman" w:cs="Times New Roman"/>
                <w:spacing w:val="-4"/>
                <w:sz w:val="22"/>
                <w:szCs w:val="22"/>
              </w:rPr>
              <w:t>I involved actuarial specialists employed by KPMG to assess the methodology and assumptions used in calculating the reserves and I performed testing of the significant inputs included evaluating the design, implementation and operating effectiveness of selected controls over the actuarial assumptions, data and the valuation process.</w:t>
            </w:r>
          </w:p>
          <w:p w14:paraId="13EBB21D" w14:textId="77777777" w:rsidR="001A3AC8" w:rsidRPr="001A3AC8" w:rsidRDefault="001A3AC8" w:rsidP="00436622">
            <w:pPr>
              <w:spacing w:line="240" w:lineRule="atLeast"/>
              <w:ind w:left="331" w:hanging="331"/>
              <w:contextualSpacing/>
              <w:jc w:val="both"/>
              <w:rPr>
                <w:rFonts w:eastAsia="Times New Roman" w:cs="Times New Roman"/>
                <w:spacing w:val="-4"/>
                <w:sz w:val="22"/>
                <w:szCs w:val="22"/>
              </w:rPr>
            </w:pPr>
          </w:p>
          <w:p w14:paraId="541CB8C8" w14:textId="77777777" w:rsidR="001A3AC8" w:rsidRPr="001A3AC8" w:rsidRDefault="001A3AC8" w:rsidP="00436622">
            <w:pPr>
              <w:numPr>
                <w:ilvl w:val="0"/>
                <w:numId w:val="2"/>
              </w:numPr>
              <w:spacing w:line="240" w:lineRule="atLeast"/>
              <w:ind w:left="331" w:hanging="331"/>
              <w:contextualSpacing/>
              <w:jc w:val="both"/>
              <w:rPr>
                <w:rFonts w:eastAsia="Times New Roman" w:cs="Times New Roman"/>
                <w:sz w:val="22"/>
                <w:szCs w:val="22"/>
              </w:rPr>
            </w:pPr>
            <w:r w:rsidRPr="001A3AC8">
              <w:rPr>
                <w:rFonts w:eastAsia="Times New Roman" w:cs="Times New Roman"/>
                <w:sz w:val="22"/>
                <w:szCs w:val="22"/>
              </w:rPr>
              <w:t>I considered the validity of management’s liability adequacy testing, including assessing the reasonableness of the discount rate adopted, projected cash flows, and of the assumptions adopted in the context of the company’s experience, specific product features and industry practice. The discount rates adopted by management are consistent with market practice.</w:t>
            </w:r>
          </w:p>
          <w:p w14:paraId="6CE9BDF9" w14:textId="77777777" w:rsidR="001A3AC8" w:rsidRPr="001A3AC8" w:rsidRDefault="001A3AC8" w:rsidP="00436622">
            <w:pPr>
              <w:ind w:left="331" w:hanging="331"/>
              <w:contextualSpacing/>
              <w:rPr>
                <w:rFonts w:eastAsia="Times New Roman" w:cs="Times New Roman"/>
                <w:sz w:val="22"/>
                <w:szCs w:val="22"/>
                <w:cs/>
              </w:rPr>
            </w:pPr>
          </w:p>
          <w:p w14:paraId="5E29FA2F" w14:textId="77777777" w:rsidR="001A3AC8" w:rsidRPr="001A3AC8" w:rsidRDefault="001A3AC8" w:rsidP="00436622">
            <w:pPr>
              <w:numPr>
                <w:ilvl w:val="0"/>
                <w:numId w:val="2"/>
              </w:numPr>
              <w:spacing w:line="240" w:lineRule="atLeast"/>
              <w:ind w:left="331" w:hanging="331"/>
              <w:contextualSpacing/>
              <w:jc w:val="both"/>
              <w:rPr>
                <w:rFonts w:eastAsia="Times New Roman" w:cs="Times New Roman"/>
                <w:sz w:val="22"/>
                <w:szCs w:val="22"/>
              </w:rPr>
            </w:pPr>
            <w:r w:rsidRPr="001A3AC8">
              <w:rPr>
                <w:rFonts w:eastAsia="Times New Roman" w:cs="Times New Roman"/>
                <w:sz w:val="22"/>
                <w:szCs w:val="22"/>
              </w:rPr>
              <w:t>I considered the adequacy of financial statements disclosures in accordance with Thai Financial Reporting Standards.</w:t>
            </w:r>
          </w:p>
          <w:p w14:paraId="0B6FB951" w14:textId="77777777" w:rsidR="001A3AC8" w:rsidRPr="001A3AC8" w:rsidRDefault="001A3AC8" w:rsidP="00436622">
            <w:pPr>
              <w:spacing w:line="240" w:lineRule="atLeast"/>
              <w:contextualSpacing/>
              <w:jc w:val="both"/>
              <w:rPr>
                <w:rFonts w:eastAsia="Times New Roman" w:cs="Times New Roman"/>
                <w:sz w:val="22"/>
                <w:szCs w:val="22"/>
              </w:rPr>
            </w:pPr>
          </w:p>
        </w:tc>
      </w:tr>
      <w:bookmarkEnd w:id="0"/>
    </w:tbl>
    <w:p w14:paraId="1DF9291B" w14:textId="77777777" w:rsidR="001A3AC8" w:rsidRPr="001A3AC8" w:rsidRDefault="001A3AC8" w:rsidP="001A3AC8">
      <w:pPr>
        <w:pStyle w:val="FSKE0G0M0H0Noindent-regular"/>
        <w:rPr>
          <w:rFonts w:ascii="Times New Roman" w:hAnsi="Times New Roman"/>
        </w:rPr>
      </w:pPr>
    </w:p>
    <w:p w14:paraId="7AAAA4A8" w14:textId="77777777" w:rsidR="001A3AC8" w:rsidRPr="001A3AC8" w:rsidRDefault="001A3AC8" w:rsidP="001A3AC8">
      <w:pPr>
        <w:autoSpaceDE w:val="0"/>
        <w:autoSpaceDN w:val="0"/>
        <w:adjustRightInd w:val="0"/>
        <w:jc w:val="both"/>
        <w:rPr>
          <w:rFonts w:cs="Times New Roman"/>
          <w:color w:val="0A2F41" w:themeColor="accent1" w:themeShade="80"/>
          <w:sz w:val="22"/>
          <w:szCs w:val="22"/>
        </w:rPr>
      </w:pPr>
    </w:p>
    <w:p w14:paraId="7F7BB58B" w14:textId="77777777" w:rsidR="001A3AC8" w:rsidRPr="001A3AC8" w:rsidRDefault="001A3AC8" w:rsidP="001A3AC8">
      <w:pPr>
        <w:autoSpaceDE w:val="0"/>
        <w:autoSpaceDN w:val="0"/>
        <w:adjustRightInd w:val="0"/>
        <w:jc w:val="both"/>
        <w:rPr>
          <w:rFonts w:cs="Times New Roman"/>
          <w:sz w:val="22"/>
          <w:szCs w:val="22"/>
        </w:rPr>
        <w:sectPr w:rsidR="001A3AC8" w:rsidRPr="001A3AC8" w:rsidSect="001A3AC8">
          <w:headerReference w:type="default" r:id="rId8"/>
          <w:footerReference w:type="even" r:id="rId9"/>
          <w:footerReference w:type="default" r:id="rId10"/>
          <w:footerReference w:type="first" r:id="rId11"/>
          <w:pgSz w:w="11909" w:h="16834" w:code="9"/>
          <w:pgMar w:top="691" w:right="1152" w:bottom="576" w:left="1152" w:header="720" w:footer="720" w:gutter="0"/>
          <w:paperSrc w:first="7" w:other="7"/>
          <w:cols w:space="720"/>
          <w:titlePg/>
          <w:docGrid w:linePitch="360"/>
        </w:sectPr>
      </w:pPr>
    </w:p>
    <w:p w14:paraId="47F080B8" w14:textId="77777777" w:rsidR="001A3AC8" w:rsidRPr="001A3AC8" w:rsidRDefault="001A3AC8" w:rsidP="001A3AC8">
      <w:pPr>
        <w:pStyle w:val="FSKE2G2M0H2Reportheading"/>
        <w:rPr>
          <w:lang w:val="en-GB"/>
        </w:rPr>
      </w:pPr>
    </w:p>
    <w:p w14:paraId="7086E9FC" w14:textId="77777777" w:rsidR="001A3AC8" w:rsidRPr="001A3AC8" w:rsidRDefault="001A3AC8" w:rsidP="001A3AC8">
      <w:pPr>
        <w:pStyle w:val="FSKE2G2M0H2Reportheading"/>
        <w:rPr>
          <w:lang w:val="en-GB"/>
        </w:rPr>
      </w:pPr>
      <w:r w:rsidRPr="001A3AC8">
        <w:rPr>
          <w:lang w:val="en-GB"/>
        </w:rPr>
        <w:t>Other Information</w:t>
      </w:r>
    </w:p>
    <w:p w14:paraId="02CB4BE8" w14:textId="77777777" w:rsidR="001A3AC8" w:rsidRPr="001A3AC8" w:rsidRDefault="001A3AC8" w:rsidP="001A3AC8">
      <w:pPr>
        <w:rPr>
          <w:rFonts w:cs="Times New Roman"/>
          <w:sz w:val="22"/>
          <w:szCs w:val="22"/>
          <w:lang w:val="en-GB"/>
        </w:rPr>
      </w:pPr>
    </w:p>
    <w:p w14:paraId="4C2BB15D"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Management is responsible for the other information. The other information comprises the information included in the annual </w:t>
      </w:r>
      <w:proofErr w:type="gramStart"/>
      <w:r w:rsidRPr="001A3AC8">
        <w:rPr>
          <w:rFonts w:ascii="Times New Roman" w:hAnsi="Times New Roman"/>
          <w:lang w:val="en-GB"/>
        </w:rPr>
        <w:t>report, but</w:t>
      </w:r>
      <w:proofErr w:type="gramEnd"/>
      <w:r w:rsidRPr="001A3AC8">
        <w:rPr>
          <w:rFonts w:ascii="Times New Roman" w:hAnsi="Times New Roman"/>
          <w:lang w:val="en-GB"/>
        </w:rPr>
        <w:t xml:space="preserve"> does not include the financial statements in which the equity method is applied and separate financial statements and my auditor’s report thereon. The annual report is expected to be made available to me after the date of this auditor’s report.</w:t>
      </w:r>
    </w:p>
    <w:p w14:paraId="43400B76" w14:textId="77777777" w:rsidR="001A3AC8" w:rsidRPr="001A3AC8" w:rsidRDefault="001A3AC8" w:rsidP="001A3AC8">
      <w:pPr>
        <w:rPr>
          <w:rFonts w:cs="Times New Roman"/>
          <w:sz w:val="22"/>
          <w:szCs w:val="22"/>
          <w:lang w:val="en-GB"/>
        </w:rPr>
      </w:pPr>
    </w:p>
    <w:p w14:paraId="0B049413"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My opinion on the financial statements in which the equity method is applied and separate financial statements does not cover the other </w:t>
      </w:r>
      <w:proofErr w:type="gramStart"/>
      <w:r w:rsidRPr="001A3AC8">
        <w:rPr>
          <w:rFonts w:ascii="Times New Roman" w:hAnsi="Times New Roman"/>
          <w:lang w:val="en-GB"/>
        </w:rPr>
        <w:t>information</w:t>
      </w:r>
      <w:proofErr w:type="gramEnd"/>
      <w:r w:rsidRPr="001A3AC8">
        <w:rPr>
          <w:rFonts w:ascii="Times New Roman" w:hAnsi="Times New Roman"/>
          <w:lang w:val="en-GB"/>
        </w:rPr>
        <w:t xml:space="preserve"> and I will not express any form of assurance conclusion thereon. </w:t>
      </w:r>
    </w:p>
    <w:p w14:paraId="49B14716" w14:textId="77777777" w:rsidR="001A3AC8" w:rsidRPr="001A3AC8" w:rsidRDefault="001A3AC8" w:rsidP="001A3AC8">
      <w:pPr>
        <w:rPr>
          <w:rFonts w:cs="Times New Roman"/>
          <w:sz w:val="22"/>
          <w:szCs w:val="22"/>
          <w:lang w:val="en-GB"/>
        </w:rPr>
      </w:pPr>
    </w:p>
    <w:p w14:paraId="3100FAF3"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A7FB98" w14:textId="77777777" w:rsidR="001A3AC8" w:rsidRPr="001A3AC8" w:rsidRDefault="001A3AC8" w:rsidP="001A3AC8">
      <w:pPr>
        <w:rPr>
          <w:rFonts w:cs="Times New Roman"/>
          <w:sz w:val="22"/>
          <w:szCs w:val="22"/>
          <w:lang w:val="en-GB"/>
        </w:rPr>
      </w:pPr>
    </w:p>
    <w:p w14:paraId="006BBC5B"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When I read the annual report, if I conclude that there is a material misstatement therein, I am required to communicate the matter to those charged with governance and request that the correction be made.</w:t>
      </w:r>
    </w:p>
    <w:p w14:paraId="4025A322" w14:textId="77777777" w:rsidR="001A3AC8" w:rsidRPr="001A3AC8" w:rsidRDefault="001A3AC8" w:rsidP="001A3AC8">
      <w:pPr>
        <w:rPr>
          <w:rFonts w:cs="Times New Roman"/>
          <w:sz w:val="22"/>
          <w:szCs w:val="22"/>
          <w:lang w:val="en-GB"/>
        </w:rPr>
      </w:pPr>
    </w:p>
    <w:p w14:paraId="7EF03268" w14:textId="77777777" w:rsidR="001A3AC8" w:rsidRPr="001A3AC8" w:rsidRDefault="001A3AC8" w:rsidP="001A3AC8">
      <w:pPr>
        <w:pStyle w:val="FSKE2G2M0H2Reportheading"/>
        <w:rPr>
          <w:lang w:val="en-GB"/>
        </w:rPr>
      </w:pPr>
      <w:r w:rsidRPr="001A3AC8">
        <w:rPr>
          <w:lang w:val="en-GB"/>
        </w:rPr>
        <w:t>Responsibilities of Management and Those Charged with Governance for the Financial Statements in which the Equity Method is Applied and Separate Financial Statements</w:t>
      </w:r>
    </w:p>
    <w:p w14:paraId="5FCAAA07" w14:textId="77777777" w:rsidR="001A3AC8" w:rsidRPr="001A3AC8" w:rsidRDefault="001A3AC8" w:rsidP="001A3AC8">
      <w:pPr>
        <w:rPr>
          <w:rFonts w:cs="Times New Roman"/>
          <w:sz w:val="22"/>
          <w:szCs w:val="22"/>
          <w:lang w:val="en-GB"/>
        </w:rPr>
      </w:pPr>
    </w:p>
    <w:p w14:paraId="7CE9BE42"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2E34E383" w14:textId="77777777" w:rsidR="001A3AC8" w:rsidRPr="001A3AC8" w:rsidRDefault="001A3AC8" w:rsidP="001A3AC8">
      <w:pPr>
        <w:rPr>
          <w:rFonts w:cs="Times New Roman"/>
          <w:sz w:val="22"/>
          <w:szCs w:val="22"/>
          <w:lang w:val="en-GB"/>
        </w:rPr>
      </w:pPr>
    </w:p>
    <w:p w14:paraId="3E08E40B"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6215076" w14:textId="77777777" w:rsidR="001A3AC8" w:rsidRPr="001A3AC8" w:rsidRDefault="001A3AC8" w:rsidP="001A3AC8">
      <w:pPr>
        <w:rPr>
          <w:rFonts w:cs="Times New Roman"/>
          <w:sz w:val="22"/>
          <w:szCs w:val="22"/>
        </w:rPr>
      </w:pPr>
    </w:p>
    <w:p w14:paraId="7718B03B"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Those charged with governance are responsible for overseeing the Company’s financial reporting process. </w:t>
      </w:r>
    </w:p>
    <w:p w14:paraId="092DC0E5" w14:textId="77777777" w:rsidR="001A3AC8" w:rsidRPr="001A3AC8" w:rsidRDefault="001A3AC8" w:rsidP="001A3AC8">
      <w:pPr>
        <w:rPr>
          <w:rFonts w:cs="Times New Roman"/>
          <w:sz w:val="22"/>
          <w:szCs w:val="22"/>
          <w:lang w:val="en-GB"/>
        </w:rPr>
      </w:pPr>
    </w:p>
    <w:p w14:paraId="3B4DD59A" w14:textId="77777777" w:rsidR="001A3AC8" w:rsidRPr="001A3AC8" w:rsidRDefault="001A3AC8" w:rsidP="001A3AC8">
      <w:pPr>
        <w:pStyle w:val="FSKE2G2M0H2Reportheading"/>
        <w:rPr>
          <w:lang w:val="en-GB"/>
        </w:rPr>
      </w:pPr>
      <w:r w:rsidRPr="001A3AC8">
        <w:rPr>
          <w:lang w:val="en-GB"/>
        </w:rPr>
        <w:t xml:space="preserve">Auditor’s Responsibilities for the Audit of the Financial Statements in which the Equity Method is Applied and Separate Financial Statements </w:t>
      </w:r>
    </w:p>
    <w:p w14:paraId="34084891" w14:textId="77777777" w:rsidR="001A3AC8" w:rsidRPr="001A3AC8" w:rsidRDefault="001A3AC8" w:rsidP="001A3AC8">
      <w:pPr>
        <w:rPr>
          <w:rFonts w:cs="Times New Roman"/>
          <w:sz w:val="22"/>
          <w:szCs w:val="22"/>
          <w:lang w:val="en-GB"/>
        </w:rPr>
      </w:pPr>
    </w:p>
    <w:p w14:paraId="3CD4B16D"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My objectives are to obtain reasonable assurance about whether the financial statements in which the equity method is </w:t>
      </w:r>
      <w:proofErr w:type="gramStart"/>
      <w:r w:rsidRPr="001A3AC8">
        <w:rPr>
          <w:rFonts w:ascii="Times New Roman" w:hAnsi="Times New Roman"/>
          <w:lang w:val="en-GB"/>
        </w:rPr>
        <w:t>applied</w:t>
      </w:r>
      <w:proofErr w:type="gramEnd"/>
      <w:r w:rsidRPr="001A3AC8">
        <w:rPr>
          <w:rFonts w:ascii="Times New Roman" w:hAnsi="Times New Roman"/>
          <w:lang w:val="en-GB"/>
        </w:rPr>
        <w:t xml:space="preserve"> and separate financial statements as a whole are free from material misstatement, whether due to fraud or error, and to issue an auditor’s report that includes my opinion. Reasonable assurance is a high level of </w:t>
      </w:r>
      <w:proofErr w:type="gramStart"/>
      <w:r w:rsidRPr="001A3AC8">
        <w:rPr>
          <w:rFonts w:ascii="Times New Roman" w:hAnsi="Times New Roman"/>
          <w:lang w:val="en-GB"/>
        </w:rPr>
        <w:t>assurance, but</w:t>
      </w:r>
      <w:proofErr w:type="gramEnd"/>
      <w:r w:rsidRPr="001A3AC8">
        <w:rPr>
          <w:rFonts w:ascii="Times New Roman" w:hAnsi="Times New Roman"/>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3AC8">
        <w:rPr>
          <w:rFonts w:ascii="Times New Roman" w:hAnsi="Times New Roman"/>
          <w:lang w:val="en-GB"/>
        </w:rPr>
        <w:t>on the basis of</w:t>
      </w:r>
      <w:proofErr w:type="gramEnd"/>
      <w:r w:rsidRPr="001A3AC8">
        <w:rPr>
          <w:rFonts w:ascii="Times New Roman" w:hAnsi="Times New Roman"/>
          <w:lang w:val="en-GB"/>
        </w:rPr>
        <w:t xml:space="preserve"> these financial statements in which the equity method is applied and separate financial statements. </w:t>
      </w:r>
    </w:p>
    <w:p w14:paraId="46A778C4" w14:textId="77777777" w:rsidR="001A3AC8" w:rsidRPr="001A3AC8" w:rsidRDefault="001A3AC8" w:rsidP="001A3AC8">
      <w:pPr>
        <w:pStyle w:val="FSKE0G0M0H0Noindent-regular"/>
        <w:rPr>
          <w:rFonts w:ascii="Times New Roman" w:hAnsi="Times New Roman"/>
          <w:lang w:val="en-GB"/>
        </w:rPr>
      </w:pPr>
    </w:p>
    <w:p w14:paraId="21D0CCB3"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As part of an audit in accordance with TSAs, I exercise professional judgment and maintain professional </w:t>
      </w:r>
      <w:proofErr w:type="spellStart"/>
      <w:r w:rsidRPr="001A3AC8">
        <w:rPr>
          <w:rFonts w:ascii="Times New Roman" w:hAnsi="Times New Roman"/>
          <w:lang w:val="en-GB"/>
        </w:rPr>
        <w:t>skepticism</w:t>
      </w:r>
      <w:proofErr w:type="spellEnd"/>
      <w:r w:rsidRPr="001A3AC8">
        <w:rPr>
          <w:rFonts w:ascii="Times New Roman" w:hAnsi="Times New Roman"/>
          <w:lang w:val="en-GB"/>
        </w:rPr>
        <w:t xml:space="preserve"> throughout the audit. I also:</w:t>
      </w:r>
    </w:p>
    <w:p w14:paraId="6249AC2B"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lastRenderedPageBreak/>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5ECFDA"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t xml:space="preserve">Obtain an understanding of internal control relevant to the audit </w:t>
      </w:r>
      <w:proofErr w:type="gramStart"/>
      <w:r w:rsidRPr="001A3AC8">
        <w:rPr>
          <w:rFonts w:ascii="Times New Roman" w:hAnsi="Times New Roman"/>
          <w:lang w:val="en-GB"/>
        </w:rPr>
        <w:t>in order to</w:t>
      </w:r>
      <w:proofErr w:type="gramEnd"/>
      <w:r w:rsidRPr="001A3AC8">
        <w:rPr>
          <w:rFonts w:ascii="Times New Roman" w:hAnsi="Times New Roman"/>
          <w:lang w:val="en-GB"/>
        </w:rPr>
        <w:t xml:space="preserve"> design audit procedures that are appropriate in the circumstances, but not for the purpose of expressing an opinion on the effectiveness of the Company’s internal control.</w:t>
      </w:r>
    </w:p>
    <w:p w14:paraId="3358BD0E"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t>Evaluate the appropriateness of accounting policies used and the reasonableness of accounting estimates and related disclosures made by management.</w:t>
      </w:r>
    </w:p>
    <w:p w14:paraId="6E599A46"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E80679C"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t xml:space="preserve">Evaluate the overall presentation, structure and content of the financial statements in which the equity method is applied and separate financial statements, including the disclosures, and whether the financial statements in which the equity method is </w:t>
      </w:r>
      <w:proofErr w:type="gramStart"/>
      <w:r w:rsidRPr="001A3AC8">
        <w:rPr>
          <w:rFonts w:ascii="Times New Roman" w:hAnsi="Times New Roman"/>
          <w:lang w:val="en-GB"/>
        </w:rPr>
        <w:t>applied</w:t>
      </w:r>
      <w:proofErr w:type="gramEnd"/>
      <w:r w:rsidRPr="001A3AC8">
        <w:rPr>
          <w:rFonts w:ascii="Times New Roman" w:hAnsi="Times New Roman"/>
          <w:lang w:val="en-GB"/>
        </w:rPr>
        <w:t xml:space="preserve"> and separate financial statements represent the underlying transactions and events in a manner that achieves fair presentation. </w:t>
      </w:r>
    </w:p>
    <w:p w14:paraId="1F13D95D" w14:textId="77777777" w:rsidR="001A3AC8" w:rsidRPr="001A3AC8" w:rsidRDefault="001A3AC8" w:rsidP="001A3AC8">
      <w:pPr>
        <w:pStyle w:val="FSKE0G0M0H0Noindent-regular"/>
        <w:numPr>
          <w:ilvl w:val="0"/>
          <w:numId w:val="1"/>
        </w:numPr>
        <w:ind w:left="360"/>
        <w:rPr>
          <w:rFonts w:ascii="Times New Roman" w:hAnsi="Times New Roman"/>
          <w:lang w:val="en-GB"/>
        </w:rPr>
      </w:pPr>
      <w:r w:rsidRPr="001A3AC8">
        <w:rPr>
          <w:rFonts w:ascii="Times New Roman" w:hAnsi="Times New Roman"/>
          <w:lang w:val="en-GB"/>
        </w:rPr>
        <w:t xml:space="preserve">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 </w:t>
      </w:r>
    </w:p>
    <w:p w14:paraId="57868AD8" w14:textId="77777777" w:rsidR="001A3AC8" w:rsidRPr="001A3AC8" w:rsidRDefault="001A3AC8" w:rsidP="001A3AC8">
      <w:pPr>
        <w:rPr>
          <w:rFonts w:cs="Times New Roman"/>
          <w:sz w:val="22"/>
          <w:szCs w:val="22"/>
          <w:lang w:val="en-GB"/>
        </w:rPr>
      </w:pPr>
    </w:p>
    <w:p w14:paraId="5F8953F0"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66055D" w14:textId="77777777" w:rsidR="001A3AC8" w:rsidRPr="001A3AC8" w:rsidRDefault="001A3AC8" w:rsidP="001A3AC8">
      <w:pPr>
        <w:rPr>
          <w:rFonts w:cs="Times New Roman"/>
          <w:sz w:val="22"/>
          <w:szCs w:val="22"/>
          <w:lang w:val="en-GB"/>
        </w:rPr>
      </w:pPr>
    </w:p>
    <w:p w14:paraId="0EE89F33" w14:textId="77777777" w:rsidR="001A3AC8" w:rsidRPr="001A3AC8" w:rsidRDefault="001A3AC8" w:rsidP="001A3AC8">
      <w:pPr>
        <w:jc w:val="thaiDistribute"/>
        <w:rPr>
          <w:rFonts w:cs="Times New Roman"/>
          <w:spacing w:val="-2"/>
          <w:sz w:val="22"/>
          <w:szCs w:val="22"/>
          <w:lang w:val="en-GB"/>
        </w:rPr>
      </w:pPr>
      <w:r w:rsidRPr="001A3AC8">
        <w:rPr>
          <w:rFonts w:cs="Times New Roman"/>
          <w:spacing w:val="-2"/>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D3015E9" w14:textId="77777777" w:rsidR="001A3AC8" w:rsidRPr="001A3AC8" w:rsidRDefault="001A3AC8" w:rsidP="001A3AC8">
      <w:pPr>
        <w:rPr>
          <w:rFonts w:cs="Times New Roman"/>
          <w:sz w:val="22"/>
          <w:szCs w:val="22"/>
          <w:lang w:val="en-GB"/>
        </w:rPr>
      </w:pPr>
    </w:p>
    <w:p w14:paraId="08C54FD5" w14:textId="77777777" w:rsidR="001A3AC8" w:rsidRPr="001A3AC8" w:rsidRDefault="001A3AC8" w:rsidP="001A3AC8">
      <w:pPr>
        <w:jc w:val="thaiDistribute"/>
        <w:rPr>
          <w:rFonts w:cs="Times New Roman"/>
          <w:sz w:val="22"/>
          <w:szCs w:val="22"/>
        </w:rPr>
      </w:pPr>
      <w:r w:rsidRPr="001A3AC8">
        <w:rPr>
          <w:rFonts w:cs="Times New Roman"/>
          <w:sz w:val="22"/>
          <w:szCs w:val="22"/>
          <w:lang w:val="en-GB"/>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945D19" w14:textId="77777777" w:rsidR="001A3AC8" w:rsidRPr="001A3AC8" w:rsidRDefault="001A3AC8" w:rsidP="001A3AC8">
      <w:pPr>
        <w:rPr>
          <w:rFonts w:cs="Times New Roman"/>
          <w:sz w:val="22"/>
          <w:szCs w:val="22"/>
          <w:lang w:val="en-GB"/>
        </w:rPr>
      </w:pPr>
    </w:p>
    <w:p w14:paraId="1AC43CD6" w14:textId="77777777" w:rsidR="001A3AC8" w:rsidRPr="001A3AC8" w:rsidRDefault="001A3AC8" w:rsidP="001A3AC8">
      <w:pPr>
        <w:rPr>
          <w:rFonts w:cs="Times New Roman"/>
          <w:sz w:val="22"/>
          <w:szCs w:val="22"/>
          <w:lang w:val="en-GB"/>
        </w:rPr>
      </w:pPr>
    </w:p>
    <w:p w14:paraId="755E8C6B"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rPr>
        <w:t>(</w:t>
      </w:r>
      <w:r w:rsidRPr="001A3AC8">
        <w:rPr>
          <w:rFonts w:ascii="Times New Roman" w:hAnsi="Times New Roman"/>
          <w:lang w:val="en-GB"/>
        </w:rPr>
        <w:t>Jedsada Leelawatanasuk)</w:t>
      </w:r>
    </w:p>
    <w:p w14:paraId="473DEB4B"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Certified Public Accountant</w:t>
      </w:r>
    </w:p>
    <w:p w14:paraId="2D7870FE"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Registration No.</w:t>
      </w:r>
      <w:r w:rsidRPr="001A3AC8">
        <w:rPr>
          <w:rFonts w:ascii="Times New Roman" w:hAnsi="Times New Roman"/>
          <w:cs/>
          <w:lang w:val="en-GB"/>
        </w:rPr>
        <w:t xml:space="preserve"> </w:t>
      </w:r>
      <w:r w:rsidRPr="001A3AC8">
        <w:rPr>
          <w:rFonts w:ascii="Times New Roman" w:hAnsi="Times New Roman"/>
          <w:lang w:val="en-GB"/>
        </w:rPr>
        <w:t>11225</w:t>
      </w:r>
    </w:p>
    <w:p w14:paraId="00938476" w14:textId="77777777" w:rsidR="001A3AC8" w:rsidRPr="001A3AC8" w:rsidRDefault="001A3AC8" w:rsidP="001A3AC8">
      <w:pPr>
        <w:rPr>
          <w:rFonts w:cs="Times New Roman"/>
          <w:sz w:val="22"/>
          <w:szCs w:val="22"/>
          <w:lang w:val="en-GB"/>
        </w:rPr>
      </w:pPr>
    </w:p>
    <w:p w14:paraId="364D6195"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 xml:space="preserve">KPMG </w:t>
      </w:r>
      <w:proofErr w:type="spellStart"/>
      <w:r w:rsidRPr="001A3AC8">
        <w:rPr>
          <w:rFonts w:ascii="Times New Roman" w:hAnsi="Times New Roman"/>
          <w:lang w:val="en-GB"/>
        </w:rPr>
        <w:t>Phoomchai</w:t>
      </w:r>
      <w:proofErr w:type="spellEnd"/>
      <w:r w:rsidRPr="001A3AC8">
        <w:rPr>
          <w:rFonts w:ascii="Times New Roman" w:hAnsi="Times New Roman"/>
          <w:lang w:val="en-GB"/>
        </w:rPr>
        <w:t xml:space="preserve"> Audit Ltd.</w:t>
      </w:r>
    </w:p>
    <w:p w14:paraId="51A56C3E" w14:textId="77777777" w:rsidR="001A3AC8" w:rsidRPr="001A3AC8" w:rsidRDefault="001A3AC8" w:rsidP="001A3AC8">
      <w:pPr>
        <w:pStyle w:val="FSKE0G0M0H0Noindent-regular"/>
        <w:rPr>
          <w:rFonts w:ascii="Times New Roman" w:hAnsi="Times New Roman"/>
          <w:lang w:val="en-GB"/>
        </w:rPr>
      </w:pPr>
      <w:r w:rsidRPr="001A3AC8">
        <w:rPr>
          <w:rFonts w:ascii="Times New Roman" w:hAnsi="Times New Roman"/>
          <w:lang w:val="en-GB"/>
        </w:rPr>
        <w:t>Bangkok</w:t>
      </w:r>
    </w:p>
    <w:p w14:paraId="23F60C8B" w14:textId="6F2C3406" w:rsidR="006337DB" w:rsidRPr="001A3AC8" w:rsidRDefault="001A3AC8" w:rsidP="001A3AC8">
      <w:pPr>
        <w:pStyle w:val="FSKE0G0M0H0Noindent-regular"/>
        <w:rPr>
          <w:rFonts w:ascii="Times New Roman" w:hAnsi="Times New Roman"/>
          <w:b/>
          <w:bCs/>
          <w:color w:val="000000" w:themeColor="text1"/>
        </w:rPr>
      </w:pPr>
      <w:r w:rsidRPr="001A3AC8">
        <w:rPr>
          <w:rFonts w:ascii="Times New Roman" w:hAnsi="Times New Roman"/>
        </w:rPr>
        <w:t>28</w:t>
      </w:r>
      <w:r w:rsidRPr="001A3AC8">
        <w:rPr>
          <w:rFonts w:ascii="Times New Roman" w:hAnsi="Times New Roman"/>
          <w:lang w:val="en-GB"/>
        </w:rPr>
        <w:t xml:space="preserve"> February 2025</w:t>
      </w:r>
    </w:p>
    <w:sectPr w:rsidR="006337DB" w:rsidRPr="001A3AC8" w:rsidSect="001A3AC8">
      <w:headerReference w:type="default" r:id="rId12"/>
      <w:footerReference w:type="default" r:id="rId13"/>
      <w:pgSz w:w="11909" w:h="16834" w:code="9"/>
      <w:pgMar w:top="691" w:right="1152" w:bottom="576" w:left="1152" w:header="720" w:footer="720" w:gutter="0"/>
      <w:paperSrc w:first="7" w:other="7"/>
      <w:cols w:space="7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Yu Mincho">
    <w:altName w:val="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1D4D" w14:textId="77777777" w:rsidR="001A3AC8" w:rsidRDefault="001A3AC8"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0B5F5CE" w14:textId="77777777" w:rsidR="001A3AC8" w:rsidRDefault="001A3AC8"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AF10" w14:textId="77777777" w:rsidR="001A3AC8" w:rsidRPr="00635329" w:rsidRDefault="001A3AC8">
    <w:pPr>
      <w:pStyle w:val="Footer"/>
      <w:rPr>
        <w:i/>
        <w:iCs/>
        <w:sz w:val="20"/>
        <w:szCs w:val="20"/>
      </w:rPr>
    </w:pPr>
    <w:r>
      <w:rPr>
        <w:i/>
        <w:iCs/>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94E3" w14:textId="77777777" w:rsidR="001A3AC8" w:rsidRDefault="001A3AC8"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C089B7D" w14:textId="77777777" w:rsidR="001A3AC8" w:rsidRDefault="001A3AC8" w:rsidP="00BE30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EE12" w14:textId="77777777" w:rsidR="001A3AC8" w:rsidRPr="00ED231B" w:rsidRDefault="001A3AC8" w:rsidP="00565FD8">
    <w:pPr>
      <w:pStyle w:val="Footer"/>
      <w:jc w:val="center"/>
      <w:rPr>
        <w:sz w:val="22"/>
        <w:szCs w:val="22"/>
      </w:rPr>
    </w:pPr>
    <w:r>
      <w:rPr>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A3CC" w14:textId="77777777" w:rsidR="001A3AC8" w:rsidRPr="00635329" w:rsidRDefault="001A3AC8">
    <w:pPr>
      <w:pStyle w:val="Footer"/>
      <w:rPr>
        <w:i/>
        <w:iCs/>
        <w:sz w:val="20"/>
        <w:szCs w:val="20"/>
      </w:rPr>
    </w:pPr>
    <w:r>
      <w:rPr>
        <w:i/>
        <w:iCs/>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516D" w14:textId="77777777" w:rsidR="001A3AC8" w:rsidRPr="00003F69" w:rsidRDefault="001A3AC8"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14:paraId="2490CE44" w14:textId="77777777" w:rsidR="001A3AC8" w:rsidRPr="00003F69" w:rsidRDefault="001A3AC8">
    <w:pPr>
      <w:pStyle w:val="Footer"/>
      <w:rPr>
        <w:i/>
        <w:iCs/>
        <w:sz w:val="22"/>
        <w:szCs w:val="2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75F3" w14:textId="77777777" w:rsidR="001A3AC8" w:rsidRPr="001D62BB" w:rsidRDefault="001A3AC8" w:rsidP="001D62BB">
    <w:pPr>
      <w:pStyle w:val="Header"/>
      <w:spacing w:line="240" w:lineRule="atLeast"/>
      <w:rPr>
        <w:sz w:val="28"/>
        <w:szCs w:val="28"/>
      </w:rPr>
    </w:pPr>
  </w:p>
  <w:p w14:paraId="1488AF2A" w14:textId="77777777" w:rsidR="001A3AC8" w:rsidRPr="001D62BB" w:rsidRDefault="001A3AC8" w:rsidP="001D62BB">
    <w:pPr>
      <w:pStyle w:val="Header"/>
      <w:spacing w:line="240" w:lineRule="atLeast"/>
      <w:rPr>
        <w:sz w:val="28"/>
        <w:szCs w:val="28"/>
      </w:rPr>
    </w:pPr>
  </w:p>
  <w:p w14:paraId="5AB4A776" w14:textId="77777777" w:rsidR="001A3AC8" w:rsidRPr="001D62BB" w:rsidRDefault="001A3AC8" w:rsidP="001D62BB">
    <w:pPr>
      <w:pStyle w:val="Header"/>
      <w:spacing w:line="240" w:lineRule="atLeast"/>
      <w:rPr>
        <w:sz w:val="28"/>
        <w:szCs w:val="28"/>
      </w:rPr>
    </w:pPr>
  </w:p>
  <w:p w14:paraId="5F894576" w14:textId="77777777" w:rsidR="001A3AC8" w:rsidRPr="001D62BB" w:rsidRDefault="001A3AC8" w:rsidP="001D62BB">
    <w:pPr>
      <w:pStyle w:val="Header"/>
      <w:spacing w:line="240" w:lineRule="atLeast"/>
      <w:rPr>
        <w:sz w:val="28"/>
        <w:szCs w:val="28"/>
      </w:rPr>
    </w:pPr>
  </w:p>
  <w:p w14:paraId="303AB9C7" w14:textId="77777777" w:rsidR="001A3AC8" w:rsidRPr="001D62BB" w:rsidRDefault="001A3AC8" w:rsidP="001D62BB">
    <w:pPr>
      <w:pStyle w:val="Header"/>
      <w:spacing w:line="240" w:lineRule="atLeast"/>
      <w:rPr>
        <w:sz w:val="28"/>
        <w:szCs w:val="28"/>
      </w:rPr>
    </w:pPr>
  </w:p>
  <w:p w14:paraId="57F5CF13" w14:textId="77777777" w:rsidR="001A3AC8" w:rsidRPr="001D62BB" w:rsidRDefault="001A3AC8" w:rsidP="001D62BB">
    <w:pPr>
      <w:pStyle w:val="Header"/>
      <w:spacing w:line="240" w:lineRule="atLeast"/>
      <w:rPr>
        <w:sz w:val="28"/>
        <w:szCs w:val="28"/>
      </w:rPr>
    </w:pPr>
  </w:p>
  <w:p w14:paraId="0C15E632" w14:textId="77777777" w:rsidR="001A3AC8" w:rsidRPr="001D62BB" w:rsidRDefault="001A3AC8" w:rsidP="001D62BB">
    <w:pPr>
      <w:pStyle w:val="Header"/>
      <w:spacing w:line="240" w:lineRule="atLeast"/>
      <w:rPr>
        <w:sz w:val="28"/>
        <w:szCs w:val="28"/>
      </w:rPr>
    </w:pPr>
  </w:p>
  <w:p w14:paraId="3F2CBAEB" w14:textId="77777777" w:rsidR="001A3AC8" w:rsidRPr="001D62BB" w:rsidRDefault="001A3AC8" w:rsidP="001D62BB">
    <w:pPr>
      <w:pStyle w:val="Header"/>
      <w:spacing w:line="240" w:lineRule="atLeast"/>
      <w:rPr>
        <w:sz w:val="28"/>
        <w:szCs w:val="28"/>
      </w:rPr>
    </w:pPr>
  </w:p>
  <w:p w14:paraId="320BB066" w14:textId="77777777" w:rsidR="001A3AC8" w:rsidRPr="001D62BB" w:rsidRDefault="001A3AC8" w:rsidP="001D62BB">
    <w:pPr>
      <w:pStyle w:val="Header"/>
      <w:spacing w:line="240" w:lineRule="atLeast"/>
      <w:rPr>
        <w:sz w:val="28"/>
        <w:szCs w:val="28"/>
      </w:rPr>
    </w:pPr>
  </w:p>
  <w:p w14:paraId="057B0988" w14:textId="77777777" w:rsidR="001A3AC8" w:rsidRPr="001D62BB" w:rsidRDefault="001A3AC8" w:rsidP="001D62BB">
    <w:pPr>
      <w:pStyle w:val="Header"/>
      <w:spacing w:line="240" w:lineRule="atLeast"/>
      <w:rPr>
        <w:sz w:val="28"/>
        <w:szCs w:val="28"/>
      </w:rPr>
    </w:pPr>
  </w:p>
  <w:p w14:paraId="5C295D07" w14:textId="77777777" w:rsidR="001A3AC8" w:rsidRPr="001D62BB" w:rsidRDefault="001A3AC8" w:rsidP="001D62BB">
    <w:pPr>
      <w:pStyle w:val="Header"/>
      <w:spacing w:line="240" w:lineRule="atLeast"/>
      <w:rPr>
        <w:sz w:val="28"/>
        <w:szCs w:val="28"/>
      </w:rPr>
    </w:pPr>
  </w:p>
  <w:p w14:paraId="39E2BF58" w14:textId="77777777" w:rsidR="001A3AC8" w:rsidRPr="001D62BB" w:rsidRDefault="001A3AC8" w:rsidP="001D62BB">
    <w:pPr>
      <w:pStyle w:val="Header"/>
      <w:spacing w:line="240" w:lineRule="atLeast"/>
      <w:rPr>
        <w:sz w:val="28"/>
        <w:szCs w:val="28"/>
      </w:rPr>
    </w:pPr>
  </w:p>
  <w:p w14:paraId="4AD358BA" w14:textId="77777777" w:rsidR="001A3AC8" w:rsidRPr="001D62BB" w:rsidRDefault="001A3AC8" w:rsidP="001D62BB">
    <w:pPr>
      <w:pStyle w:val="Header"/>
      <w:spacing w:line="240" w:lineRule="atLeast"/>
      <w:rPr>
        <w:sz w:val="28"/>
        <w:szCs w:val="28"/>
      </w:rPr>
    </w:pPr>
  </w:p>
  <w:p w14:paraId="28FFB588" w14:textId="77777777" w:rsidR="001A3AC8" w:rsidRPr="001D62BB" w:rsidRDefault="001A3AC8" w:rsidP="001D62BB">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48CA" w14:textId="77777777" w:rsidR="001A3AC8" w:rsidRPr="001D62BB" w:rsidRDefault="001A3AC8" w:rsidP="001D62BB">
    <w:pPr>
      <w:pStyle w:val="Header"/>
      <w:tabs>
        <w:tab w:val="clear" w:pos="4320"/>
        <w:tab w:val="clear" w:pos="8640"/>
        <w:tab w:val="left" w:pos="3273"/>
      </w:tabs>
      <w:spacing w:line="240" w:lineRule="atLeast"/>
      <w:rPr>
        <w:rFonts w:cs="Times New Roman"/>
        <w:sz w:val="28"/>
        <w:szCs w:val="28"/>
      </w:rPr>
    </w:pPr>
  </w:p>
  <w:p w14:paraId="15004E58" w14:textId="77777777" w:rsidR="001A3AC8" w:rsidRPr="001D62BB" w:rsidRDefault="001A3AC8" w:rsidP="001D62BB">
    <w:pPr>
      <w:pStyle w:val="Header"/>
      <w:tabs>
        <w:tab w:val="clear" w:pos="4320"/>
        <w:tab w:val="clear" w:pos="8640"/>
        <w:tab w:val="left" w:pos="3273"/>
      </w:tabs>
      <w:spacing w:line="240" w:lineRule="atLeast"/>
      <w:rPr>
        <w:rFonts w:cs="Times New Roman"/>
        <w:sz w:val="28"/>
        <w:szCs w:val="28"/>
      </w:rPr>
    </w:pPr>
  </w:p>
  <w:p w14:paraId="47CA3B18" w14:textId="77777777" w:rsidR="001A3AC8" w:rsidRPr="001D62BB" w:rsidRDefault="001A3AC8" w:rsidP="001D62BB">
    <w:pPr>
      <w:pStyle w:val="Header"/>
      <w:tabs>
        <w:tab w:val="clear" w:pos="4320"/>
        <w:tab w:val="clear" w:pos="8640"/>
        <w:tab w:val="left" w:pos="3273"/>
      </w:tabs>
      <w:spacing w:line="240" w:lineRule="atLeast"/>
      <w:rPr>
        <w:rFonts w:cs="Times New Roman"/>
        <w:sz w:val="28"/>
        <w:szCs w:val="28"/>
      </w:rPr>
    </w:pPr>
  </w:p>
  <w:p w14:paraId="3449D93E" w14:textId="77777777" w:rsidR="001A3AC8" w:rsidRPr="001D62BB" w:rsidRDefault="001A3AC8" w:rsidP="001D62BB">
    <w:pPr>
      <w:pStyle w:val="Header"/>
      <w:tabs>
        <w:tab w:val="clear" w:pos="4320"/>
        <w:tab w:val="clear" w:pos="8640"/>
        <w:tab w:val="left" w:pos="3273"/>
      </w:tabs>
      <w:spacing w:line="240" w:lineRule="atLeast"/>
      <w:rPr>
        <w:rFonts w:cs="Times New Roman"/>
        <w:sz w:val="28"/>
        <w:szCs w:val="28"/>
      </w:rPr>
    </w:pPr>
  </w:p>
  <w:p w14:paraId="101FEAFB" w14:textId="77777777" w:rsidR="001A3AC8" w:rsidRPr="001D62BB" w:rsidRDefault="001A3AC8" w:rsidP="001D62BB">
    <w:pPr>
      <w:pStyle w:val="Header"/>
      <w:tabs>
        <w:tab w:val="clear" w:pos="4320"/>
        <w:tab w:val="clear" w:pos="8640"/>
        <w:tab w:val="left" w:pos="3273"/>
      </w:tabs>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F3CF" w14:textId="77777777" w:rsidR="001A3AC8" w:rsidRPr="001D62BB" w:rsidRDefault="001A3AC8" w:rsidP="00C85D4C">
    <w:pPr>
      <w:spacing w:line="240" w:lineRule="atLeast"/>
      <w:ind w:right="389"/>
      <w:rPr>
        <w:b/>
        <w:bCs/>
        <w:sz w:val="28"/>
        <w:szCs w:val="28"/>
        <w:lang w:val="en-GB"/>
      </w:rPr>
    </w:pPr>
  </w:p>
  <w:p w14:paraId="772917CC" w14:textId="77777777" w:rsidR="001A3AC8" w:rsidRPr="001D62BB" w:rsidRDefault="001A3AC8" w:rsidP="00C85D4C">
    <w:pPr>
      <w:spacing w:line="240" w:lineRule="atLeast"/>
      <w:ind w:right="389"/>
      <w:rPr>
        <w:b/>
        <w:bCs/>
        <w:sz w:val="28"/>
        <w:szCs w:val="28"/>
        <w:lang w:val="en-GB"/>
      </w:rPr>
    </w:pPr>
  </w:p>
  <w:p w14:paraId="7E82F7E0" w14:textId="77777777" w:rsidR="001A3AC8" w:rsidRPr="001D62BB" w:rsidRDefault="001A3AC8" w:rsidP="00C85D4C">
    <w:pPr>
      <w:spacing w:line="240" w:lineRule="atLeast"/>
      <w:ind w:right="389"/>
      <w:rPr>
        <w:b/>
        <w:bCs/>
        <w:sz w:val="28"/>
        <w:szCs w:val="28"/>
        <w:lang w:val="en-GB"/>
      </w:rPr>
    </w:pPr>
  </w:p>
  <w:p w14:paraId="016C3581" w14:textId="77777777" w:rsidR="001A3AC8" w:rsidRPr="001D62BB" w:rsidRDefault="001A3AC8" w:rsidP="00C85D4C">
    <w:pPr>
      <w:spacing w:line="240" w:lineRule="atLeast"/>
      <w:ind w:right="389"/>
      <w:rPr>
        <w:b/>
        <w:bCs/>
        <w:sz w:val="28"/>
        <w:szCs w:val="28"/>
        <w:lang w:val="en-GB"/>
      </w:rPr>
    </w:pPr>
  </w:p>
  <w:p w14:paraId="2F4D4359" w14:textId="77777777" w:rsidR="001A3AC8" w:rsidRPr="001D62BB" w:rsidRDefault="001A3AC8" w:rsidP="00C85D4C">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19004475">
    <w:abstractNumId w:val="0"/>
  </w:num>
  <w:num w:numId="2" w16cid:durableId="390620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C8"/>
    <w:rsid w:val="00152F44"/>
    <w:rsid w:val="001A3AC8"/>
    <w:rsid w:val="00394B84"/>
    <w:rsid w:val="004468D3"/>
    <w:rsid w:val="00526370"/>
    <w:rsid w:val="006337DB"/>
    <w:rsid w:val="007B7868"/>
    <w:rsid w:val="008924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48907"/>
  <w15:chartTrackingRefBased/>
  <w15:docId w15:val="{8120BD19-488A-478F-B7BE-FB014C0A5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AC8"/>
    <w:pPr>
      <w:spacing w:after="0" w:line="240" w:lineRule="auto"/>
    </w:pPr>
    <w:rPr>
      <w:rFonts w:ascii="Times New Roman" w:eastAsia="Yu Mincho" w:hAnsi="Times New Roman" w:cs="Angsana New"/>
      <w:kern w:val="0"/>
      <w:sz w:val="24"/>
      <w:szCs w:val="24"/>
      <w14:ligatures w14:val="none"/>
    </w:rPr>
  </w:style>
  <w:style w:type="paragraph" w:styleId="Heading1">
    <w:name w:val="heading 1"/>
    <w:basedOn w:val="Normal"/>
    <w:next w:val="Normal"/>
    <w:link w:val="Heading1Char"/>
    <w:uiPriority w:val="9"/>
    <w:qFormat/>
    <w:rsid w:val="001A3AC8"/>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A3AC8"/>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A3AC8"/>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A3A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A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AC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AC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AC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AC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AC8"/>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A3AC8"/>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A3AC8"/>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A3A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A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A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A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A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AC8"/>
    <w:rPr>
      <w:rFonts w:eastAsiaTheme="majorEastAsia" w:cstheme="majorBidi"/>
      <w:color w:val="272727" w:themeColor="text1" w:themeTint="D8"/>
    </w:rPr>
  </w:style>
  <w:style w:type="paragraph" w:styleId="Title">
    <w:name w:val="Title"/>
    <w:basedOn w:val="Normal"/>
    <w:next w:val="Normal"/>
    <w:link w:val="TitleChar"/>
    <w:uiPriority w:val="10"/>
    <w:qFormat/>
    <w:rsid w:val="001A3AC8"/>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A3AC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A3AC8"/>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A3AC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A3AC8"/>
    <w:pPr>
      <w:spacing w:before="160"/>
      <w:jc w:val="center"/>
    </w:pPr>
    <w:rPr>
      <w:i/>
      <w:iCs/>
      <w:color w:val="404040" w:themeColor="text1" w:themeTint="BF"/>
    </w:rPr>
  </w:style>
  <w:style w:type="character" w:customStyle="1" w:styleId="QuoteChar">
    <w:name w:val="Quote Char"/>
    <w:basedOn w:val="DefaultParagraphFont"/>
    <w:link w:val="Quote"/>
    <w:uiPriority w:val="29"/>
    <w:rsid w:val="001A3AC8"/>
    <w:rPr>
      <w:i/>
      <w:iCs/>
      <w:color w:val="404040" w:themeColor="text1" w:themeTint="BF"/>
    </w:rPr>
  </w:style>
  <w:style w:type="paragraph" w:styleId="ListParagraph">
    <w:name w:val="List Paragraph"/>
    <w:basedOn w:val="Normal"/>
    <w:uiPriority w:val="34"/>
    <w:qFormat/>
    <w:rsid w:val="001A3AC8"/>
    <w:pPr>
      <w:ind w:left="720"/>
      <w:contextualSpacing/>
    </w:pPr>
  </w:style>
  <w:style w:type="character" w:styleId="IntenseEmphasis">
    <w:name w:val="Intense Emphasis"/>
    <w:basedOn w:val="DefaultParagraphFont"/>
    <w:uiPriority w:val="21"/>
    <w:qFormat/>
    <w:rsid w:val="001A3AC8"/>
    <w:rPr>
      <w:i/>
      <w:iCs/>
      <w:color w:val="0F4761" w:themeColor="accent1" w:themeShade="BF"/>
    </w:rPr>
  </w:style>
  <w:style w:type="paragraph" w:styleId="IntenseQuote">
    <w:name w:val="Intense Quote"/>
    <w:basedOn w:val="Normal"/>
    <w:next w:val="Normal"/>
    <w:link w:val="IntenseQuoteChar"/>
    <w:uiPriority w:val="30"/>
    <w:qFormat/>
    <w:rsid w:val="001A3A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AC8"/>
    <w:rPr>
      <w:i/>
      <w:iCs/>
      <w:color w:val="0F4761" w:themeColor="accent1" w:themeShade="BF"/>
    </w:rPr>
  </w:style>
  <w:style w:type="character" w:styleId="IntenseReference">
    <w:name w:val="Intense Reference"/>
    <w:basedOn w:val="DefaultParagraphFont"/>
    <w:uiPriority w:val="32"/>
    <w:qFormat/>
    <w:rsid w:val="001A3AC8"/>
    <w:rPr>
      <w:b/>
      <w:bCs/>
      <w:smallCaps/>
      <w:color w:val="0F4761" w:themeColor="accent1" w:themeShade="BF"/>
      <w:spacing w:val="5"/>
    </w:rPr>
  </w:style>
  <w:style w:type="paragraph" w:styleId="Header">
    <w:name w:val="header"/>
    <w:basedOn w:val="Normal"/>
    <w:link w:val="HeaderChar"/>
    <w:rsid w:val="001A3AC8"/>
    <w:pPr>
      <w:tabs>
        <w:tab w:val="center" w:pos="4320"/>
        <w:tab w:val="right" w:pos="8640"/>
      </w:tabs>
    </w:pPr>
  </w:style>
  <w:style w:type="character" w:customStyle="1" w:styleId="HeaderChar">
    <w:name w:val="Header Char"/>
    <w:basedOn w:val="DefaultParagraphFont"/>
    <w:link w:val="Header"/>
    <w:rsid w:val="001A3AC8"/>
    <w:rPr>
      <w:rFonts w:ascii="Times New Roman" w:eastAsia="Yu Mincho" w:hAnsi="Times New Roman" w:cs="Angsana New"/>
      <w:kern w:val="0"/>
      <w:sz w:val="24"/>
      <w:szCs w:val="24"/>
      <w14:ligatures w14:val="none"/>
    </w:rPr>
  </w:style>
  <w:style w:type="paragraph" w:styleId="Footer">
    <w:name w:val="footer"/>
    <w:basedOn w:val="Normal"/>
    <w:link w:val="FooterChar"/>
    <w:uiPriority w:val="99"/>
    <w:rsid w:val="001A3AC8"/>
    <w:pPr>
      <w:tabs>
        <w:tab w:val="center" w:pos="4320"/>
        <w:tab w:val="right" w:pos="8640"/>
      </w:tabs>
    </w:pPr>
  </w:style>
  <w:style w:type="character" w:customStyle="1" w:styleId="FooterChar">
    <w:name w:val="Footer Char"/>
    <w:basedOn w:val="DefaultParagraphFont"/>
    <w:link w:val="Footer"/>
    <w:uiPriority w:val="99"/>
    <w:rsid w:val="001A3AC8"/>
    <w:rPr>
      <w:rFonts w:ascii="Times New Roman" w:eastAsia="Yu Mincho" w:hAnsi="Times New Roman" w:cs="Angsana New"/>
      <w:kern w:val="0"/>
      <w:sz w:val="24"/>
      <w:szCs w:val="24"/>
      <w14:ligatures w14:val="none"/>
    </w:rPr>
  </w:style>
  <w:style w:type="character" w:styleId="PageNumber">
    <w:name w:val="page number"/>
    <w:basedOn w:val="DefaultParagraphFont"/>
    <w:rsid w:val="001A3AC8"/>
  </w:style>
  <w:style w:type="paragraph" w:customStyle="1" w:styleId="RNormal">
    <w:name w:val="RNormal"/>
    <w:basedOn w:val="Normal"/>
    <w:rsid w:val="001A3AC8"/>
    <w:pPr>
      <w:jc w:val="both"/>
    </w:pPr>
    <w:rPr>
      <w:rFonts w:cs="Times New Roman"/>
      <w:sz w:val="22"/>
      <w:lang w:bidi="ar-SA"/>
    </w:rPr>
  </w:style>
  <w:style w:type="paragraph" w:customStyle="1" w:styleId="FSKE2G2M0H2Reportheading">
    <w:name w:val="+FSKE2G2M0H2 Report heading"/>
    <w:basedOn w:val="Normal"/>
    <w:next w:val="Normal"/>
    <w:qFormat/>
    <w:rsid w:val="001A3AC8"/>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1A3AC8"/>
    <w:rPr>
      <w:rFonts w:eastAsia="Times New Roman" w:cs="Times New Roman"/>
      <w:szCs w:val="22"/>
    </w:rPr>
  </w:style>
  <w:style w:type="paragraph" w:customStyle="1" w:styleId="FSKE0G0M0H0Noindent-regular">
    <w:name w:val="+FSKE0G0M0H0 No indent - regular"/>
    <w:basedOn w:val="Normal"/>
    <w:link w:val="FSKE0G0M0H0Noindent-regularChar"/>
    <w:qFormat/>
    <w:rsid w:val="001A3AC8"/>
    <w:pPr>
      <w:keepLines/>
      <w:jc w:val="both"/>
    </w:pPr>
    <w:rPr>
      <w:rFonts w:asciiTheme="minorHAnsi" w:eastAsia="Times New Roman" w:hAnsiTheme="minorHAnsi" w:cs="Times New Roman"/>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1820</Words>
  <Characters>10377</Characters>
  <Application>Microsoft Office Word</Application>
  <DocSecurity>0</DocSecurity>
  <Lines>86</Lines>
  <Paragraphs>24</Paragraphs>
  <ScaleCrop>false</ScaleCrop>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Kasame, Thammakosol</dc:creator>
  <cp:keywords/>
  <dc:description/>
  <cp:lastModifiedBy>Kasame, Thammakosol</cp:lastModifiedBy>
  <cp:revision>1</cp:revision>
  <dcterms:created xsi:type="dcterms:W3CDTF">2025-02-28T02:54:00Z</dcterms:created>
  <dcterms:modified xsi:type="dcterms:W3CDTF">2025-02-28T02:55:00Z</dcterms:modified>
</cp:coreProperties>
</file>