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617FC8" w14:paraId="3E82C0BB" w14:textId="77777777" w:rsidTr="009D1239">
        <w:trPr>
          <w:trHeight w:val="2865"/>
        </w:trPr>
        <w:tc>
          <w:tcPr>
            <w:tcW w:w="2628" w:type="dxa"/>
          </w:tcPr>
          <w:p w14:paraId="0EEA2459" w14:textId="77777777" w:rsidR="00617FC8" w:rsidRPr="00B860E8" w:rsidRDefault="00617FC8" w:rsidP="00143BBC">
            <w:pPr>
              <w:spacing w:line="380" w:lineRule="exact"/>
              <w:rPr>
                <w:rFonts w:ascii="Angsana New" w:eastAsia="MS Mincho" w:hAnsi="Angsana New"/>
                <w:sz w:val="36"/>
                <w:szCs w:val="36"/>
              </w:rPr>
            </w:pPr>
          </w:p>
        </w:tc>
        <w:tc>
          <w:tcPr>
            <w:tcW w:w="6960" w:type="dxa"/>
            <w:vAlign w:val="center"/>
          </w:tcPr>
          <w:p w14:paraId="5957507A" w14:textId="7916D985" w:rsidR="00757DEA" w:rsidRDefault="00757DEA" w:rsidP="00143BBC">
            <w:pPr>
              <w:spacing w:line="380" w:lineRule="exact"/>
              <w:ind w:left="14"/>
              <w:rPr>
                <w:rFonts w:eastAsia="MS Mincho" w:cstheme="minorBidi"/>
                <w:color w:val="7F7E82"/>
                <w:sz w:val="28"/>
              </w:rPr>
            </w:pPr>
            <w:r>
              <w:rPr>
                <w:rFonts w:eastAsia="MS Mincho" w:cstheme="minorBidi"/>
                <w:color w:val="7F7E82"/>
                <w:sz w:val="28"/>
              </w:rPr>
              <w:t xml:space="preserve">CHIN HUAY PUBLIC COMPANY LIMITED </w:t>
            </w:r>
            <w:r w:rsidR="00397DA3">
              <w:rPr>
                <w:rFonts w:eastAsia="MS Mincho" w:cstheme="minorBidi"/>
                <w:color w:val="7F7E82"/>
                <w:sz w:val="28"/>
              </w:rPr>
              <w:t xml:space="preserve">                   </w:t>
            </w:r>
            <w:r>
              <w:rPr>
                <w:rFonts w:eastAsia="MS Mincho" w:cstheme="minorBidi"/>
                <w:color w:val="7F7E82"/>
                <w:sz w:val="28"/>
              </w:rPr>
              <w:t>and its subsidiaries</w:t>
            </w:r>
          </w:p>
          <w:p w14:paraId="6C7FEEFD" w14:textId="1A89BD39" w:rsidR="00617FC8" w:rsidRPr="00B860E8" w:rsidRDefault="00617FC8" w:rsidP="00143BBC">
            <w:pPr>
              <w:spacing w:line="380" w:lineRule="exact"/>
              <w:ind w:left="14"/>
              <w:rPr>
                <w:rFonts w:eastAsia="MS Mincho" w:cs="Times New Roman"/>
                <w:color w:val="7F7E82"/>
                <w:sz w:val="28"/>
              </w:rPr>
            </w:pPr>
            <w:r w:rsidRPr="00B860E8">
              <w:rPr>
                <w:rFonts w:eastAsia="MS Mincho" w:cs="Times New Roman"/>
                <w:color w:val="7F7E82"/>
                <w:sz w:val="28"/>
              </w:rPr>
              <w:t xml:space="preserve">Report and consolidated </w:t>
            </w:r>
            <w:r w:rsidR="007F616C">
              <w:rPr>
                <w:rFonts w:eastAsia="MS Mincho" w:cs="Times New Roman"/>
                <w:color w:val="7F7E82"/>
                <w:sz w:val="28"/>
              </w:rPr>
              <w:t xml:space="preserve">and separate </w:t>
            </w:r>
            <w:r w:rsidRPr="00B860E8">
              <w:rPr>
                <w:rFonts w:eastAsia="MS Mincho" w:cs="Times New Roman"/>
                <w:color w:val="7F7E82"/>
                <w:sz w:val="28"/>
              </w:rPr>
              <w:t>financial statements</w:t>
            </w:r>
          </w:p>
          <w:p w14:paraId="03005327" w14:textId="42F45CBC" w:rsidR="00617FC8" w:rsidRPr="00B92432" w:rsidRDefault="00617FC8" w:rsidP="00143BBC">
            <w:pPr>
              <w:spacing w:line="380" w:lineRule="exact"/>
              <w:ind w:left="14"/>
              <w:rPr>
                <w:rFonts w:eastAsia="MS Mincho" w:cstheme="minorBidi"/>
                <w:color w:val="7F7E82"/>
                <w:sz w:val="28"/>
              </w:rPr>
            </w:pPr>
            <w:r w:rsidRPr="00B860E8">
              <w:rPr>
                <w:rFonts w:eastAsia="MS Mincho" w:cs="Times New Roman"/>
                <w:color w:val="7F7E82"/>
                <w:sz w:val="28"/>
              </w:rPr>
              <w:t xml:space="preserve">31 December </w:t>
            </w:r>
            <w:r w:rsidR="00A56163">
              <w:rPr>
                <w:rFonts w:eastAsia="MS Mincho" w:cs="Times New Roman"/>
                <w:color w:val="7F7E82"/>
                <w:sz w:val="28"/>
              </w:rPr>
              <w:t>202</w:t>
            </w:r>
            <w:r w:rsidR="003B706C">
              <w:rPr>
                <w:rFonts w:eastAsia="MS Mincho" w:cs="Times New Roman"/>
                <w:color w:val="7F7E82"/>
                <w:sz w:val="28"/>
              </w:rPr>
              <w:t>4</w:t>
            </w:r>
          </w:p>
        </w:tc>
      </w:tr>
    </w:tbl>
    <w:p w14:paraId="39289D4E" w14:textId="77777777" w:rsidR="00617FC8" w:rsidRDefault="00617FC8" w:rsidP="00143BBC">
      <w:pPr>
        <w:spacing w:line="380" w:lineRule="exact"/>
        <w:sectPr w:rsidR="00617FC8" w:rsidSect="00B104C9">
          <w:footerReference w:type="even" r:id="rId8"/>
          <w:footerReference w:type="first" r:id="rId9"/>
          <w:pgSz w:w="11907" w:h="16840" w:code="9"/>
          <w:pgMar w:top="1728" w:right="1080" w:bottom="11520" w:left="360" w:header="720" w:footer="720" w:gutter="0"/>
          <w:cols w:space="720"/>
          <w:docGrid w:linePitch="360"/>
        </w:sectPr>
      </w:pPr>
    </w:p>
    <w:p w14:paraId="66277BDF" w14:textId="77777777" w:rsidR="006A2BBC" w:rsidRPr="006A2BBC" w:rsidRDefault="006A2BBC" w:rsidP="00143BBC">
      <w:pPr>
        <w:overflowPunct/>
        <w:autoSpaceDE/>
        <w:autoSpaceDN/>
        <w:adjustRightInd/>
        <w:spacing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Independent Auditor's Report</w:t>
      </w:r>
    </w:p>
    <w:p w14:paraId="13C7FF3E" w14:textId="292DE20F" w:rsid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To the Shareholders of </w:t>
      </w:r>
      <w:r w:rsidR="001E65F5">
        <w:rPr>
          <w:rFonts w:ascii="Arial" w:hAnsi="Arial" w:cs="Arial"/>
          <w:color w:val="000000"/>
          <w:sz w:val="22"/>
          <w:szCs w:val="22"/>
        </w:rPr>
        <w:t>CHIN HUAY PUBLIC COMPANY LIMITED</w:t>
      </w:r>
    </w:p>
    <w:p w14:paraId="7A97B035" w14:textId="77777777" w:rsidR="006A2BBC" w:rsidRPr="006A2BBC" w:rsidRDefault="006A2BBC" w:rsidP="00143BBC">
      <w:pPr>
        <w:overflowPunct/>
        <w:autoSpaceDE/>
        <w:autoSpaceDN/>
        <w:adjustRightInd/>
        <w:spacing w:before="36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Opinion</w:t>
      </w:r>
    </w:p>
    <w:p w14:paraId="284FD46C" w14:textId="53CAA0AF" w:rsidR="006A2BBC" w:rsidRPr="006A2BBC" w:rsidRDefault="006A2BBC" w:rsidP="00143BBC">
      <w:pPr>
        <w:spacing w:before="120" w:after="120" w:line="380" w:lineRule="exact"/>
        <w:ind w:right="-43"/>
        <w:rPr>
          <w:rFonts w:ascii="Arial" w:hAnsi="Arial" w:cs="Arial"/>
          <w:sz w:val="22"/>
          <w:szCs w:val="22"/>
        </w:rPr>
      </w:pPr>
      <w:r w:rsidRPr="006A2BBC">
        <w:rPr>
          <w:rFonts w:ascii="Arial" w:hAnsi="Arial" w:cs="Arial"/>
          <w:sz w:val="22"/>
          <w:szCs w:val="22"/>
        </w:rPr>
        <w:t xml:space="preserve">I have audited the accompanying consolidated financial statements of </w:t>
      </w:r>
      <w:r w:rsidR="001E65F5">
        <w:rPr>
          <w:rFonts w:ascii="Arial" w:hAnsi="Arial" w:cs="Arial"/>
          <w:color w:val="000000"/>
          <w:sz w:val="22"/>
          <w:szCs w:val="22"/>
        </w:rPr>
        <w:t>CHIN HUAY PUBLIC COMPANY LIMITED</w:t>
      </w:r>
      <w:r w:rsidR="001E65F5" w:rsidRPr="006A2BBC">
        <w:rPr>
          <w:rFonts w:ascii="Arial" w:hAnsi="Arial" w:cs="Arial"/>
          <w:sz w:val="22"/>
          <w:szCs w:val="22"/>
        </w:rPr>
        <w:t xml:space="preserve"> </w:t>
      </w:r>
      <w:r w:rsidRPr="006A2BBC">
        <w:rPr>
          <w:rFonts w:ascii="Arial" w:hAnsi="Arial" w:cs="Arial"/>
          <w:sz w:val="22"/>
          <w:szCs w:val="22"/>
        </w:rPr>
        <w:t xml:space="preserve">and </w:t>
      </w:r>
      <w:r w:rsidRPr="006A2BBC">
        <w:rPr>
          <w:rFonts w:ascii="Arial" w:hAnsi="Arial" w:cs="Arial"/>
          <w:spacing w:val="-3"/>
          <w:sz w:val="22"/>
          <w:szCs w:val="22"/>
        </w:rPr>
        <w:t>its subsidiar</w:t>
      </w:r>
      <w:r w:rsidR="008213DB">
        <w:rPr>
          <w:rFonts w:ascii="Arial" w:hAnsi="Arial" w:cs="Arial"/>
          <w:spacing w:val="-3"/>
          <w:sz w:val="22"/>
          <w:szCs w:val="22"/>
        </w:rPr>
        <w:t>ies</w:t>
      </w:r>
      <w:r w:rsidRPr="006A2BBC">
        <w:rPr>
          <w:rFonts w:ascii="Arial" w:hAnsi="Arial" w:cs="Arial"/>
          <w:spacing w:val="-3"/>
          <w:sz w:val="22"/>
          <w:szCs w:val="22"/>
        </w:rPr>
        <w:t xml:space="preserve"> (the Group)</w:t>
      </w:r>
      <w:r w:rsidRPr="006A2BBC">
        <w:rPr>
          <w:rFonts w:ascii="Arial" w:hAnsi="Arial" w:cs="Arial"/>
          <w:sz w:val="22"/>
          <w:szCs w:val="22"/>
        </w:rPr>
        <w:t xml:space="preserve">, which comprise the </w:t>
      </w:r>
      <w:r w:rsidRPr="006A2BBC">
        <w:rPr>
          <w:rFonts w:ascii="Arial" w:hAnsi="Arial" w:cs="Arial"/>
          <w:spacing w:val="-3"/>
          <w:sz w:val="22"/>
          <w:szCs w:val="22"/>
        </w:rPr>
        <w:t xml:space="preserve">consolidated statement </w:t>
      </w:r>
      <w:r w:rsidR="008213DB">
        <w:rPr>
          <w:rFonts w:ascii="Arial" w:hAnsi="Arial" w:cs="Arial"/>
          <w:spacing w:val="-3"/>
          <w:sz w:val="22"/>
          <w:szCs w:val="22"/>
        </w:rPr>
        <w:t xml:space="preserve"> </w:t>
      </w:r>
      <w:r w:rsidRPr="006A2BBC">
        <w:rPr>
          <w:rFonts w:ascii="Arial" w:hAnsi="Arial" w:cs="Arial"/>
          <w:spacing w:val="-3"/>
          <w:sz w:val="22"/>
          <w:szCs w:val="22"/>
        </w:rPr>
        <w:t>of financial position</w:t>
      </w:r>
      <w:r w:rsidRPr="006A2BBC">
        <w:rPr>
          <w:rFonts w:ascii="Arial" w:hAnsi="Arial" w:cs="Arial"/>
          <w:sz w:val="22"/>
          <w:szCs w:val="22"/>
        </w:rPr>
        <w:t xml:space="preserve"> as at 31 December </w:t>
      </w:r>
      <w:r w:rsidR="00A56163">
        <w:rPr>
          <w:rFonts w:ascii="Arial" w:hAnsi="Arial" w:cs="Arial"/>
          <w:sz w:val="22"/>
          <w:szCs w:val="22"/>
        </w:rPr>
        <w:t>202</w:t>
      </w:r>
      <w:r w:rsidR="003B706C">
        <w:rPr>
          <w:rFonts w:ascii="Arial" w:hAnsi="Arial" w:cs="Arial"/>
          <w:sz w:val="22"/>
          <w:szCs w:val="22"/>
        </w:rPr>
        <w:t>4</w:t>
      </w:r>
      <w:r w:rsidRPr="006A2BBC">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D51A6C">
        <w:rPr>
          <w:rFonts w:ascii="Arial" w:hAnsi="Arial" w:cs="Arial"/>
          <w:sz w:val="22"/>
          <w:szCs w:val="22"/>
        </w:rPr>
        <w:t>material</w:t>
      </w:r>
      <w:r w:rsidRPr="006A2BBC">
        <w:rPr>
          <w:rFonts w:ascii="Arial" w:hAnsi="Arial" w:cs="Arial"/>
          <w:sz w:val="22"/>
          <w:szCs w:val="22"/>
        </w:rPr>
        <w:t xml:space="preserve"> accounting polic</w:t>
      </w:r>
      <w:r w:rsidR="00D51A6C">
        <w:rPr>
          <w:rFonts w:ascii="Arial" w:hAnsi="Arial" w:cs="Arial"/>
          <w:sz w:val="22"/>
          <w:szCs w:val="22"/>
        </w:rPr>
        <w:t>y information</w:t>
      </w:r>
      <w:r w:rsidRPr="006A2BBC">
        <w:rPr>
          <w:rFonts w:ascii="Arial" w:hAnsi="Arial" w:cs="Arial"/>
          <w:sz w:val="22"/>
          <w:szCs w:val="22"/>
        </w:rPr>
        <w:t xml:space="preserve">, and have also audited the separate financial statements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for the same period</w:t>
      </w:r>
      <w:r w:rsidR="007F616C">
        <w:rPr>
          <w:rFonts w:ascii="Arial" w:hAnsi="Arial" w:cs="Arial"/>
          <w:sz w:val="22"/>
          <w:szCs w:val="22"/>
        </w:rPr>
        <w:t xml:space="preserve"> (collectively “the financial statements”)</w:t>
      </w:r>
      <w:r w:rsidRPr="006A2BBC">
        <w:rPr>
          <w:rFonts w:ascii="Arial" w:hAnsi="Arial" w:cs="Arial"/>
          <w:sz w:val="22"/>
          <w:szCs w:val="22"/>
        </w:rPr>
        <w:t>.</w:t>
      </w:r>
    </w:p>
    <w:p w14:paraId="1994EDC2" w14:textId="4C46999F" w:rsidR="006A2BBC" w:rsidRPr="006A2BBC" w:rsidRDefault="006A2BBC" w:rsidP="00143BBC">
      <w:pPr>
        <w:overflowPunct/>
        <w:autoSpaceDE/>
        <w:autoSpaceDN/>
        <w:adjustRightInd/>
        <w:spacing w:before="120" w:after="120" w:line="380" w:lineRule="exact"/>
        <w:textAlignment w:val="auto"/>
        <w:rPr>
          <w:rFonts w:ascii="Arial" w:hAnsi="Arial" w:cs="Arial"/>
          <w:sz w:val="22"/>
          <w:szCs w:val="22"/>
        </w:rPr>
      </w:pPr>
      <w:r w:rsidRPr="006A2BBC">
        <w:rPr>
          <w:rFonts w:ascii="Arial" w:hAnsi="Arial" w:cs="Arial"/>
          <w:sz w:val="22"/>
          <w:szCs w:val="22"/>
        </w:rPr>
        <w:t xml:space="preserve">In my opinion, the financial statements referred to above present fairly, in all material respects, the financial position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and its subsidiar</w:t>
      </w:r>
      <w:r w:rsidR="008213DB">
        <w:rPr>
          <w:rFonts w:ascii="Arial" w:hAnsi="Arial" w:cs="Arial"/>
          <w:sz w:val="22"/>
          <w:szCs w:val="22"/>
        </w:rPr>
        <w:t xml:space="preserve">ies </w:t>
      </w:r>
      <w:r w:rsidRPr="006A2BBC">
        <w:rPr>
          <w:rFonts w:ascii="Arial" w:hAnsi="Arial" w:cs="Arial"/>
          <w:sz w:val="22"/>
          <w:szCs w:val="22"/>
        </w:rPr>
        <w:t xml:space="preserve">and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 xml:space="preserve">as </w:t>
      </w:r>
      <w:proofErr w:type="gramStart"/>
      <w:r w:rsidRPr="006A2BBC">
        <w:rPr>
          <w:rFonts w:ascii="Arial" w:hAnsi="Arial" w:cs="Arial"/>
          <w:sz w:val="22"/>
          <w:szCs w:val="22"/>
        </w:rPr>
        <w:t>at</w:t>
      </w:r>
      <w:proofErr w:type="gramEnd"/>
      <w:r w:rsidRPr="006A2BBC">
        <w:rPr>
          <w:rFonts w:ascii="Arial" w:hAnsi="Arial" w:cs="Arial"/>
          <w:sz w:val="22"/>
          <w:szCs w:val="22"/>
        </w:rPr>
        <w:t xml:space="preserve"> 31 December </w:t>
      </w:r>
      <w:r w:rsidR="00A56163">
        <w:rPr>
          <w:rFonts w:ascii="Arial" w:hAnsi="Arial" w:cs="Arial"/>
          <w:sz w:val="22"/>
          <w:szCs w:val="22"/>
        </w:rPr>
        <w:t>202</w:t>
      </w:r>
      <w:r w:rsidR="003B706C">
        <w:rPr>
          <w:rFonts w:ascii="Arial" w:hAnsi="Arial" w:cs="Arial"/>
          <w:sz w:val="22"/>
          <w:szCs w:val="22"/>
        </w:rPr>
        <w:t>4</w:t>
      </w:r>
      <w:r w:rsidRPr="006A2BBC">
        <w:rPr>
          <w:rFonts w:ascii="Arial" w:hAnsi="Arial" w:cs="Arial"/>
          <w:sz w:val="22"/>
          <w:szCs w:val="22"/>
        </w:rPr>
        <w:t>, their financial performance and cash flows for the year then ended in accordance with Thai Financial Reporting Standards.</w:t>
      </w:r>
    </w:p>
    <w:p w14:paraId="0171D9A3"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Basis for Opinion</w:t>
      </w:r>
    </w:p>
    <w:p w14:paraId="07B6F180" w14:textId="3945D129" w:rsidR="006A2BBC" w:rsidRDefault="006A2BBC" w:rsidP="00143BBC">
      <w:pPr>
        <w:overflowPunct/>
        <w:autoSpaceDE/>
        <w:autoSpaceDN/>
        <w:adjustRightInd/>
        <w:spacing w:before="120" w:after="120" w:line="380" w:lineRule="exact"/>
        <w:textAlignment w:val="auto"/>
        <w:rPr>
          <w:rFonts w:ascii="Arial" w:hAnsi="Arial" w:cstheme="minorBidi"/>
          <w:color w:val="000000"/>
          <w:sz w:val="22"/>
          <w:szCs w:val="22"/>
        </w:rPr>
      </w:pPr>
      <w:r w:rsidRPr="006A2BBC">
        <w:rPr>
          <w:rFonts w:ascii="Arial" w:hAnsi="Arial" w:cs="Arial"/>
          <w:color w:val="000000"/>
          <w:sz w:val="22"/>
          <w:szCs w:val="22"/>
        </w:rPr>
        <w:t xml:space="preserve">I conducted my audit in accordance with Thai Standards on Auditing. My responsibilities under those standards are further described in the </w:t>
      </w:r>
      <w:r w:rsidRPr="006A2BBC">
        <w:rPr>
          <w:rFonts w:ascii="Arial" w:hAnsi="Arial" w:cs="Arial"/>
          <w:i/>
          <w:iCs/>
          <w:color w:val="000000"/>
          <w:sz w:val="22"/>
          <w:szCs w:val="22"/>
        </w:rPr>
        <w:t>Auditor’s Responsibilities for the Audit of the Financial Statements</w:t>
      </w:r>
      <w:r w:rsidRPr="006A2BBC">
        <w:rPr>
          <w:rFonts w:ascii="Arial" w:hAnsi="Arial" w:cs="Arial"/>
          <w:color w:val="000000"/>
          <w:sz w:val="22"/>
          <w:szCs w:val="22"/>
        </w:rPr>
        <w:t xml:space="preserve"> section of my report. I am independent of the Group in accordance with </w:t>
      </w:r>
      <w:r w:rsidR="007F616C">
        <w:rPr>
          <w:rFonts w:ascii="Arial" w:hAnsi="Arial" w:cs="Arial"/>
          <w:color w:val="000000"/>
          <w:sz w:val="22"/>
          <w:szCs w:val="22"/>
        </w:rPr>
        <w:t xml:space="preserve">           </w:t>
      </w:r>
      <w:r w:rsidR="007F616C" w:rsidRPr="007F616C">
        <w:rPr>
          <w:rFonts w:ascii="Arial" w:hAnsi="Arial" w:cs="Arial"/>
          <w:i/>
          <w:iCs/>
          <w:color w:val="000000"/>
          <w:sz w:val="22"/>
          <w:szCs w:val="22"/>
        </w:rPr>
        <w:t>the</w:t>
      </w:r>
      <w:r w:rsidR="007F616C">
        <w:rPr>
          <w:rFonts w:ascii="Arial" w:hAnsi="Arial" w:cs="Arial"/>
          <w:color w:val="000000"/>
          <w:sz w:val="22"/>
          <w:szCs w:val="22"/>
        </w:rPr>
        <w:t xml:space="preserve"> </w:t>
      </w:r>
      <w:r w:rsidRPr="006A2BBC">
        <w:rPr>
          <w:rFonts w:ascii="Arial" w:hAnsi="Arial" w:cs="Arial"/>
          <w:i/>
          <w:iCs/>
          <w:color w:val="000000"/>
          <w:sz w:val="22"/>
          <w:szCs w:val="22"/>
        </w:rPr>
        <w:t>Code of Ethics for Professional Accountants</w:t>
      </w:r>
      <w:r w:rsidR="002E6BBF">
        <w:rPr>
          <w:rFonts w:ascii="Arial" w:hAnsi="Arial" w:cs="Arial"/>
          <w:i/>
          <w:iCs/>
          <w:color w:val="000000"/>
          <w:sz w:val="22"/>
          <w:szCs w:val="22"/>
        </w:rPr>
        <w:t xml:space="preserve"> including Independence Standards </w:t>
      </w:r>
      <w:r w:rsidR="009948B8">
        <w:rPr>
          <w:rFonts w:ascii="Arial" w:hAnsi="Arial" w:cs="Arial"/>
          <w:color w:val="000000"/>
          <w:sz w:val="22"/>
          <w:szCs w:val="22"/>
        </w:rPr>
        <w:t>issued by the Federation of Accounting Professions (Code of Ethics for Professional Accountants) that are</w:t>
      </w:r>
      <w:r w:rsidRPr="006A2BBC">
        <w:rPr>
          <w:rFonts w:ascii="Arial" w:hAnsi="Arial" w:cs="Arial"/>
          <w:color w:val="000000"/>
          <w:sz w:val="22"/>
          <w:szCs w:val="22"/>
        </w:rPr>
        <w:t xml:space="preserve"> relevant to my audit of the financial statements, and I have fulfilled my other ethical responsibilities in accordance with the Code</w:t>
      </w:r>
      <w:r w:rsidR="00E2425C">
        <w:rPr>
          <w:rFonts w:ascii="Arial" w:hAnsi="Arial" w:cs="Arial"/>
          <w:color w:val="000000"/>
          <w:sz w:val="22"/>
          <w:szCs w:val="22"/>
        </w:rPr>
        <w:t xml:space="preserve"> of E</w:t>
      </w:r>
      <w:r w:rsidR="00853AF6">
        <w:rPr>
          <w:rFonts w:ascii="Arial" w:hAnsi="Arial" w:cs="Arial"/>
          <w:color w:val="000000"/>
          <w:sz w:val="22"/>
          <w:szCs w:val="22"/>
        </w:rPr>
        <w:t>thics for Professional Accountants</w:t>
      </w:r>
      <w:r w:rsidRPr="006A2BBC">
        <w:rPr>
          <w:rFonts w:ascii="Arial" w:hAnsi="Arial" w:cs="Arial"/>
          <w:color w:val="000000"/>
          <w:sz w:val="22"/>
          <w:szCs w:val="22"/>
        </w:rPr>
        <w:t>. I believe that the audit evidence I have obtained is sufficient and appropriate to provide a basis for my opinion.</w:t>
      </w:r>
    </w:p>
    <w:p w14:paraId="2E1B3E32" w14:textId="77777777" w:rsidR="00916E52" w:rsidRDefault="00916E52" w:rsidP="00143BBC">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62DDE3A" w14:textId="77777777" w:rsidR="00916E52" w:rsidRPr="00F80F6B" w:rsidRDefault="00916E52" w:rsidP="00143BBC">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statements as a whole, and in forming my opinion thereon, and I do not provide a separate opinion on these matters. </w:t>
      </w:r>
    </w:p>
    <w:p w14:paraId="105B6038" w14:textId="10B73E20" w:rsidR="00916E52" w:rsidRPr="00916E52" w:rsidRDefault="00916E52" w:rsidP="00143BBC">
      <w:pPr>
        <w:overflowPunct/>
        <w:autoSpaceDE/>
        <w:autoSpaceDN/>
        <w:adjustRightInd/>
        <w:spacing w:before="120" w:after="120" w:line="380" w:lineRule="exact"/>
        <w:textAlignment w:val="auto"/>
        <w:rPr>
          <w:rFonts w:ascii="Arial" w:hAnsi="Arial" w:cstheme="minorBidi"/>
          <w:b/>
          <w:bCs/>
          <w:color w:val="000000"/>
          <w:sz w:val="22"/>
          <w:szCs w:val="22"/>
          <w:cs/>
        </w:rPr>
        <w:sectPr w:rsidR="00916E52" w:rsidRPr="00916E52" w:rsidSect="00143BBC">
          <w:footerReference w:type="default" r:id="rId10"/>
          <w:pgSz w:w="11909" w:h="16834" w:code="9"/>
          <w:pgMar w:top="3168" w:right="1080" w:bottom="1080" w:left="1296" w:header="706" w:footer="706" w:gutter="0"/>
          <w:pgNumType w:start="1"/>
          <w:cols w:space="720"/>
          <w:titlePg/>
          <w:docGrid w:linePitch="326"/>
        </w:sectPr>
      </w:pPr>
    </w:p>
    <w:p w14:paraId="32363DB6" w14:textId="4B5F3A80" w:rsidR="00047574" w:rsidRDefault="00047574" w:rsidP="00143BBC">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F5427C1" w14:textId="6311A142" w:rsidR="00BD2B00" w:rsidRDefault="00BD2B00" w:rsidP="00143BBC">
      <w:pPr>
        <w:pStyle w:val="ps-000-normal"/>
        <w:spacing w:line="380" w:lineRule="exact"/>
        <w:rPr>
          <w:rFonts w:ascii="Arial" w:hAnsi="Arial" w:cs="Arial"/>
          <w:sz w:val="22"/>
          <w:szCs w:val="22"/>
        </w:rPr>
      </w:pPr>
      <w:r>
        <w:rPr>
          <w:rFonts w:ascii="Arial" w:hAnsi="Arial" w:cs="Arial"/>
          <w:sz w:val="22"/>
          <w:szCs w:val="22"/>
        </w:rPr>
        <w:t>Key audit matters and how audit procedures respond to each matter are described below.</w:t>
      </w:r>
    </w:p>
    <w:p w14:paraId="36643C3D" w14:textId="39EDF06D" w:rsidR="00BD2B00" w:rsidRDefault="00BD2B00" w:rsidP="00143BBC">
      <w:pPr>
        <w:overflowPunct/>
        <w:autoSpaceDE/>
        <w:autoSpaceDN/>
        <w:adjustRightInd/>
        <w:spacing w:before="240" w:after="120" w:line="380" w:lineRule="exact"/>
        <w:textAlignment w:val="auto"/>
        <w:rPr>
          <w:rFonts w:ascii="Arial" w:hAnsi="Arial" w:cs="Browallia New"/>
          <w:b/>
          <w:bCs/>
          <w:color w:val="000000"/>
          <w:sz w:val="22"/>
        </w:rPr>
      </w:pPr>
      <w:r w:rsidRPr="00BD2B00">
        <w:rPr>
          <w:rFonts w:ascii="Arial" w:hAnsi="Arial" w:cs="Arial"/>
          <w:b/>
          <w:bCs/>
          <w:color w:val="000000"/>
          <w:sz w:val="22"/>
          <w:szCs w:val="22"/>
        </w:rPr>
        <w:t>Rev</w:t>
      </w:r>
      <w:r w:rsidR="00902623">
        <w:rPr>
          <w:rFonts w:ascii="Arial" w:hAnsi="Arial" w:cs="Browallia New"/>
          <w:b/>
          <w:bCs/>
          <w:color w:val="000000"/>
          <w:sz w:val="22"/>
        </w:rPr>
        <w:t>enue recognition</w:t>
      </w:r>
    </w:p>
    <w:p w14:paraId="782D6308" w14:textId="72616178" w:rsidR="00902623" w:rsidRDefault="00902623"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Since the Group sells their goods to </w:t>
      </w:r>
      <w:r w:rsidR="00FD051F">
        <w:rPr>
          <w:rFonts w:ascii="Arial" w:hAnsi="Arial" w:cs="Browallia New"/>
          <w:color w:val="000000"/>
          <w:sz w:val="22"/>
        </w:rPr>
        <w:t xml:space="preserve">many </w:t>
      </w:r>
      <w:r>
        <w:rPr>
          <w:rFonts w:ascii="Arial" w:hAnsi="Arial" w:cs="Browallia New"/>
          <w:color w:val="000000"/>
          <w:sz w:val="22"/>
        </w:rPr>
        <w:t xml:space="preserve">customers under a </w:t>
      </w:r>
      <w:r w:rsidR="00A4490D">
        <w:rPr>
          <w:rFonts w:ascii="Arial" w:hAnsi="Arial" w:cs="Browallia New"/>
          <w:color w:val="000000"/>
          <w:sz w:val="22"/>
        </w:rPr>
        <w:t xml:space="preserve">variety of commercial terms. In addition, the economic environment has resulted in more intense competition in the </w:t>
      </w:r>
      <w:r w:rsidR="00DE6DF3">
        <w:rPr>
          <w:rFonts w:ascii="Arial" w:hAnsi="Arial" w:cs="Browallia New"/>
          <w:color w:val="000000"/>
          <w:sz w:val="22"/>
        </w:rPr>
        <w:t>foods manufacturing industry. Revenues</w:t>
      </w:r>
      <w:r w:rsidR="00854FE1">
        <w:rPr>
          <w:rFonts w:ascii="Arial" w:hAnsi="Arial" w:cs="Browallia New" w:hint="cs"/>
          <w:color w:val="000000"/>
          <w:sz w:val="22"/>
          <w:cs/>
        </w:rPr>
        <w:t xml:space="preserve"> </w:t>
      </w:r>
      <w:r w:rsidR="00854FE1">
        <w:rPr>
          <w:rFonts w:ascii="Arial" w:hAnsi="Arial" w:cs="Browallia New"/>
          <w:color w:val="000000"/>
          <w:sz w:val="22"/>
        </w:rPr>
        <w:t>from sales</w:t>
      </w:r>
      <w:r w:rsidR="00DE6DF3">
        <w:rPr>
          <w:rFonts w:ascii="Arial" w:hAnsi="Arial" w:cs="Browallia New"/>
          <w:color w:val="000000"/>
          <w:sz w:val="22"/>
        </w:rPr>
        <w:t xml:space="preserve"> are the key performance indicator to which users of financial statements focus. I therefore determined </w:t>
      </w:r>
      <w:r w:rsidR="00854FE1">
        <w:rPr>
          <w:rFonts w:ascii="Arial" w:hAnsi="Arial" w:cs="Browallia New"/>
          <w:color w:val="000000"/>
          <w:sz w:val="22"/>
        </w:rPr>
        <w:t xml:space="preserve">the revenue recognition </w:t>
      </w:r>
      <w:r w:rsidR="00DE6DF3">
        <w:rPr>
          <w:rFonts w:ascii="Arial" w:hAnsi="Arial" w:cs="Browallia New"/>
          <w:color w:val="000000"/>
          <w:sz w:val="22"/>
        </w:rPr>
        <w:t>as a key audit matter by focusing on the occurrence and timing of revenue recognition.</w:t>
      </w:r>
    </w:p>
    <w:p w14:paraId="1688660C" w14:textId="3ECE7AF8" w:rsidR="00DE6DF3" w:rsidRDefault="004332C8"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I examined the revenue recognition </w:t>
      </w:r>
      <w:r w:rsidR="007F616C">
        <w:rPr>
          <w:rFonts w:ascii="Arial" w:hAnsi="Arial" w:cs="Browallia New"/>
          <w:color w:val="000000"/>
          <w:sz w:val="22"/>
        </w:rPr>
        <w:t xml:space="preserve">from sales </w:t>
      </w:r>
      <w:r>
        <w:rPr>
          <w:rFonts w:ascii="Arial" w:hAnsi="Arial" w:cs="Browallia New"/>
          <w:color w:val="000000"/>
          <w:sz w:val="22"/>
        </w:rPr>
        <w:t>of the Group by</w:t>
      </w:r>
    </w:p>
    <w:p w14:paraId="066C9AD1" w14:textId="5B94F1DD" w:rsidR="004332C8" w:rsidRPr="00143BBC" w:rsidRDefault="004332C8"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7C0F9C59" w14:textId="6D7D33A3" w:rsidR="004332C8" w:rsidRPr="00143BBC" w:rsidRDefault="001D3195"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Applying a sampling method to select sales documents to assess whether revenue recognition was consistent with the conditions of the relevant agreement, and whether it was in compliance with the Group’s policy.</w:t>
      </w:r>
    </w:p>
    <w:p w14:paraId="7732D492" w14:textId="1DCE8EB3" w:rsidR="001D3195" w:rsidRPr="00143BBC" w:rsidRDefault="008C54A4"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On a sampling basis, examining supporting documents for actual sales transactions occurring during the year and near the end of the accounting period.</w:t>
      </w:r>
    </w:p>
    <w:p w14:paraId="18451816" w14:textId="65584E02" w:rsidR="008C54A4"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Reviewing credit notes issued after the period</w:t>
      </w:r>
      <w:r w:rsidR="00380F4D">
        <w:rPr>
          <w:rFonts w:ascii="Arial" w:hAnsi="Arial" w:cs="Arial"/>
          <w:color w:val="000000"/>
          <w:sz w:val="22"/>
          <w:szCs w:val="22"/>
        </w:rPr>
        <w:t xml:space="preserve"> </w:t>
      </w:r>
      <w:r w:rsidRPr="00143BBC">
        <w:rPr>
          <w:rFonts w:ascii="Arial" w:hAnsi="Arial" w:cs="Arial"/>
          <w:color w:val="000000"/>
          <w:sz w:val="22"/>
          <w:szCs w:val="22"/>
        </w:rPr>
        <w:t>end.</w:t>
      </w:r>
    </w:p>
    <w:p w14:paraId="5BECA9E8" w14:textId="7B9619C0" w:rsidR="00B95C13"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Performing analytical procedures on disaggregated data of sales transactions throughout the period.</w:t>
      </w:r>
    </w:p>
    <w:p w14:paraId="566A42A5" w14:textId="77777777" w:rsidR="00712985" w:rsidRDefault="00712985" w:rsidP="00143BBC">
      <w:pPr>
        <w:overflowPunct/>
        <w:autoSpaceDE/>
        <w:autoSpaceDN/>
        <w:adjustRightInd/>
        <w:spacing w:before="100" w:after="100" w:line="380" w:lineRule="exact"/>
        <w:ind w:right="-43"/>
        <w:jc w:val="both"/>
        <w:textAlignment w:val="auto"/>
        <w:rPr>
          <w:rFonts w:ascii="Arial" w:hAnsi="Arial" w:cs="Browallia New"/>
          <w:b/>
          <w:bCs/>
          <w:color w:val="000000"/>
          <w:sz w:val="22"/>
        </w:rPr>
      </w:pPr>
      <w:r>
        <w:rPr>
          <w:rFonts w:ascii="Arial" w:hAnsi="Arial" w:cs="Browallia New"/>
          <w:b/>
          <w:bCs/>
          <w:color w:val="000000"/>
          <w:sz w:val="22"/>
        </w:rPr>
        <w:br w:type="page"/>
      </w:r>
    </w:p>
    <w:p w14:paraId="4866CD77" w14:textId="5EE6C6EC" w:rsidR="00B95C13" w:rsidRPr="00712985" w:rsidRDefault="00C97FD6" w:rsidP="00143BBC">
      <w:pPr>
        <w:overflowPunct/>
        <w:autoSpaceDE/>
        <w:autoSpaceDN/>
        <w:adjustRightInd/>
        <w:spacing w:before="240" w:after="120" w:line="380" w:lineRule="exact"/>
        <w:textAlignment w:val="auto"/>
        <w:rPr>
          <w:rFonts w:ascii="Arial" w:hAnsi="Arial" w:cs="Browallia New"/>
          <w:b/>
          <w:bCs/>
          <w:color w:val="000000"/>
          <w:sz w:val="22"/>
        </w:rPr>
      </w:pPr>
      <w:r w:rsidRPr="00712985">
        <w:rPr>
          <w:rFonts w:ascii="Arial" w:hAnsi="Arial" w:cs="Browallia New"/>
          <w:b/>
          <w:bCs/>
          <w:color w:val="000000"/>
          <w:sz w:val="22"/>
        </w:rPr>
        <w:lastRenderedPageBreak/>
        <w:t>Impairment of investment in a subsidiary</w:t>
      </w:r>
    </w:p>
    <w:p w14:paraId="63F4E3E6" w14:textId="0D102B50"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 xml:space="preserve">As disclosed in Note </w:t>
      </w:r>
      <w:r w:rsidR="004E699A">
        <w:rPr>
          <w:rFonts w:ascii="Arial" w:hAnsi="Arial" w:cs="Arial"/>
          <w:sz w:val="22"/>
          <w:szCs w:val="22"/>
        </w:rPr>
        <w:t>11</w:t>
      </w:r>
      <w:r w:rsidRPr="00143BBC">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loss, the management had to exercise significant judgement with respect to its projections of future operating performance by using financial model to calculate for recoverable amount and identifying the cash generating units, and estimating the cashflows that are expected to be generated from that asset group, including setting an appropriate discount rate and long-term growth rate.</w:t>
      </w:r>
    </w:p>
    <w:p w14:paraId="5C111EF8" w14:textId="7F9F0290"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inquiring the responsible person to understand the process of getting such figures</w:t>
      </w:r>
      <w:r w:rsidR="00BB18A0">
        <w:rPr>
          <w:rFonts w:ascii="Arial" w:hAnsi="Arial" w:cs="Arial"/>
          <w:sz w:val="22"/>
          <w:szCs w:val="22"/>
        </w:rPr>
        <w:t>,</w:t>
      </w:r>
      <w:r w:rsidRPr="00143BBC">
        <w:rPr>
          <w:rFonts w:ascii="Arial" w:hAnsi="Arial" w:cs="Arial"/>
          <w:sz w:val="22"/>
          <w:szCs w:val="22"/>
        </w:rPr>
        <w:t xml:space="preserve"> </w:t>
      </w:r>
      <w:r w:rsidR="00BB18A0">
        <w:rPr>
          <w:rFonts w:ascii="Arial" w:hAnsi="Arial" w:cs="Arial"/>
          <w:sz w:val="22"/>
          <w:szCs w:val="22"/>
        </w:rPr>
        <w:t>and</w:t>
      </w:r>
      <w:r w:rsidRPr="00143BBC">
        <w:rPr>
          <w:rFonts w:ascii="Arial" w:hAnsi="Arial" w:cs="Arial"/>
          <w:sz w:val="22"/>
          <w:szCs w:val="22"/>
        </w:rPr>
        <w:t xml:space="preserve"> evaluate the exercise of management judgement in preparing the cash flow projection, including setting discount rate by assessing weighted average cost of capital and other information in comparable industries. Furthermore, I determined that the assumptions and information management used to estimate the allowance for impairment of investment in a subsidiary</w:t>
      </w:r>
      <w:r w:rsidR="00E97036">
        <w:rPr>
          <w:rFonts w:ascii="Arial" w:hAnsi="Arial" w:cs="Arial"/>
          <w:sz w:val="22"/>
          <w:szCs w:val="22"/>
        </w:rPr>
        <w:t xml:space="preserve"> </w:t>
      </w:r>
      <w:r w:rsidRPr="00143BBC">
        <w:rPr>
          <w:rFonts w:ascii="Arial" w:hAnsi="Arial" w:cs="Arial"/>
          <w:sz w:val="22"/>
          <w:szCs w:val="22"/>
        </w:rPr>
        <w:t>were reasonable based on</w:t>
      </w:r>
      <w:r w:rsidR="00BB18A0">
        <w:rPr>
          <w:rFonts w:ascii="Arial" w:hAnsi="Arial" w:cs="Arial"/>
          <w:sz w:val="22"/>
          <w:szCs w:val="22"/>
        </w:rPr>
        <w:t xml:space="preserve"> </w:t>
      </w:r>
      <w:r w:rsidRPr="00143BBC">
        <w:rPr>
          <w:rFonts w:ascii="Arial" w:hAnsi="Arial" w:cs="Arial"/>
          <w:sz w:val="22"/>
          <w:szCs w:val="22"/>
        </w:rPr>
        <w:t xml:space="preserve"> the available evidence.</w:t>
      </w:r>
    </w:p>
    <w:p w14:paraId="4CEAA1BB" w14:textId="677058F2" w:rsidR="000E14E6" w:rsidRPr="000E14E6" w:rsidRDefault="000E14E6" w:rsidP="00143BBC">
      <w:pPr>
        <w:overflowPunct/>
        <w:autoSpaceDE/>
        <w:autoSpaceDN/>
        <w:adjustRightInd/>
        <w:spacing w:before="240" w:after="120" w:line="380" w:lineRule="exact"/>
        <w:textAlignment w:val="auto"/>
        <w:rPr>
          <w:rFonts w:ascii="Arial" w:hAnsi="Arial" w:cs="Arial"/>
          <w:b/>
          <w:bCs/>
          <w:color w:val="000000"/>
          <w:sz w:val="22"/>
          <w:szCs w:val="22"/>
        </w:rPr>
      </w:pPr>
      <w:r w:rsidRPr="000E14E6">
        <w:rPr>
          <w:rFonts w:ascii="Arial" w:hAnsi="Arial" w:cs="Arial"/>
          <w:b/>
          <w:bCs/>
          <w:color w:val="000000"/>
          <w:sz w:val="22"/>
          <w:szCs w:val="22"/>
        </w:rPr>
        <w:t>Other information</w:t>
      </w:r>
    </w:p>
    <w:p w14:paraId="61E4AF5C"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1D28538F"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F1A6772"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487017E" w14:textId="77777777" w:rsidR="00E97036" w:rsidRDefault="00E97036">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2FF59BB" w14:textId="192AA84B"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315CDA3C" w14:textId="2D26E96A"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Responsibilities of Management</w:t>
      </w:r>
      <w:r w:rsidR="000E14E6">
        <w:rPr>
          <w:rFonts w:ascii="Arial" w:hAnsi="Arial" w:cs="Arial"/>
          <w:b/>
          <w:bCs/>
          <w:color w:val="000000"/>
          <w:sz w:val="22"/>
          <w:szCs w:val="22"/>
        </w:rPr>
        <w:t xml:space="preserve"> and Those Charged with Governance </w:t>
      </w:r>
      <w:r w:rsidRPr="006A2BBC">
        <w:rPr>
          <w:rFonts w:ascii="Arial" w:hAnsi="Arial" w:cs="Arial"/>
          <w:b/>
          <w:bCs/>
          <w:color w:val="000000"/>
          <w:sz w:val="22"/>
          <w:szCs w:val="22"/>
        </w:rPr>
        <w:t>for the Financial Statements</w:t>
      </w:r>
    </w:p>
    <w:p w14:paraId="522D07FD" w14:textId="77777777"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Management is responsible for the preparation and fairly presentation of the financial statements in accordance with </w:t>
      </w:r>
      <w:r w:rsidRPr="006A2BBC">
        <w:rPr>
          <w:rFonts w:ascii="Arial" w:hAnsi="Arial" w:cs="Arial"/>
          <w:sz w:val="22"/>
          <w:szCs w:val="22"/>
        </w:rPr>
        <w:t>Thai Financial Reporting Standards</w:t>
      </w:r>
      <w:r w:rsidRPr="006A2BBC">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49846BC" w14:textId="5C299573"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F0994F" w14:textId="520ECA9F" w:rsidR="00A83728" w:rsidRDefault="00A83728"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Those charged with governance are responsible for overseeing the Group’s financial reporting process.</w:t>
      </w:r>
    </w:p>
    <w:p w14:paraId="00DE5B44"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Auditor’s Responsibilities for the Audit of the Financial Statements</w:t>
      </w:r>
    </w:p>
    <w:p w14:paraId="6D5FDF52" w14:textId="77777777" w:rsidR="006A2BBC" w:rsidRPr="006A2BBC" w:rsidRDefault="006A2BBC" w:rsidP="00143BB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6A2BBC">
        <w:rPr>
          <w:rFonts w:ascii="Arial" w:hAnsi="Arial" w:cs="Arial"/>
          <w:color w:val="000000"/>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2073FA9" w14:textId="51069B7B"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3B21E094"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171B9"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3B648586"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appropriateness of accounting policies used and the reasonableness of accounting estimates and related disclosures made by management.</w:t>
      </w:r>
    </w:p>
    <w:p w14:paraId="1A632BD1" w14:textId="7BF48A4C"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380F4D">
        <w:rPr>
          <w:rFonts w:ascii="Arial" w:hAnsi="Arial" w:cs="Arial"/>
          <w:color w:val="000000"/>
          <w:sz w:val="22"/>
          <w:szCs w:val="22"/>
        </w:rPr>
        <w:t xml:space="preserve"> </w:t>
      </w:r>
      <w:r w:rsidRPr="006A2BBC">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6994A500"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68AD40F"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6F5FBE0" w14:textId="7504BA80"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 communicate with </w:t>
      </w:r>
      <w:r w:rsidR="00AD6ADD">
        <w:rPr>
          <w:rFonts w:ascii="Arial" w:hAnsi="Arial" w:cs="Arial"/>
          <w:color w:val="000000"/>
          <w:sz w:val="22"/>
          <w:szCs w:val="22"/>
        </w:rPr>
        <w:t>those charged with governance</w:t>
      </w:r>
      <w:r w:rsidRPr="006A2BBC">
        <w:rPr>
          <w:rFonts w:ascii="Arial" w:hAnsi="Arial" w:cs="Arial"/>
          <w:b/>
          <w:bCs/>
          <w:color w:val="FF0000"/>
          <w:sz w:val="22"/>
          <w:szCs w:val="22"/>
        </w:rPr>
        <w:t xml:space="preserve"> </w:t>
      </w:r>
      <w:r w:rsidRPr="006A2BBC">
        <w:rPr>
          <w:rFonts w:ascii="Arial" w:hAnsi="Arial" w:cs="Arial"/>
          <w:color w:val="000000"/>
          <w:sz w:val="22"/>
          <w:szCs w:val="22"/>
        </w:rPr>
        <w:t>regarding, among other matters, the planned scope and timing of the audit and significant audit findings, including any significant deficiencies in internal control that I identify during my audit.</w:t>
      </w:r>
    </w:p>
    <w:p w14:paraId="5173C379" w14:textId="1CA826ED" w:rsidR="00D93881" w:rsidRDefault="00A80E0D"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C21EDF">
        <w:rPr>
          <w:rFonts w:ascii="Arial" w:hAnsi="Arial" w:cs="Arial"/>
          <w:color w:val="000000"/>
          <w:sz w:val="22"/>
          <w:szCs w:val="22"/>
        </w:rPr>
        <w:t xml:space="preserve"> (if any)</w:t>
      </w:r>
      <w:r>
        <w:rPr>
          <w:rFonts w:ascii="Arial" w:hAnsi="Arial" w:cs="Arial"/>
          <w:color w:val="000000"/>
          <w:sz w:val="22"/>
          <w:szCs w:val="22"/>
        </w:rPr>
        <w:t>.</w:t>
      </w:r>
    </w:p>
    <w:p w14:paraId="3BFF6532" w14:textId="77777777" w:rsidR="00712985" w:rsidRDefault="00712985" w:rsidP="00143BBC">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2E85D34" w14:textId="397AEDBE" w:rsidR="00A80E0D" w:rsidRDefault="00A80E0D" w:rsidP="00143BBC">
      <w:pPr>
        <w:overflowPunct/>
        <w:autoSpaceDE/>
        <w:autoSpaceDN/>
        <w:adjustRightInd/>
        <w:spacing w:before="120" w:after="360" w:line="380" w:lineRule="exact"/>
        <w:textAlignment w:val="auto"/>
        <w:rPr>
          <w:rFonts w:ascii="Arial" w:hAnsi="Arial" w:cs="Arial"/>
          <w:color w:val="000000"/>
          <w:sz w:val="22"/>
          <w:szCs w:val="22"/>
        </w:rPr>
      </w:pPr>
      <w:r>
        <w:rPr>
          <w:rFonts w:ascii="Arial" w:hAnsi="Arial" w:cs="Arial"/>
          <w:color w:val="000000"/>
          <w:sz w:val="22"/>
          <w:szCs w:val="22"/>
        </w:rPr>
        <w:lastRenderedPageBreak/>
        <w:t>From the matters communicated with those charged with governance, I determine those matters that were of most significance in the audit of the fina</w:t>
      </w:r>
      <w:r w:rsidR="008C3A52">
        <w:rPr>
          <w:rFonts w:ascii="Arial" w:hAnsi="Arial" w:cs="Arial"/>
          <w:color w:val="000000"/>
          <w:sz w:val="22"/>
          <w:szCs w:val="22"/>
        </w:rPr>
        <w:t xml:space="preserve">ncial statements of the current period and are therefore the key audit matters. I describe these matters in my auditor’s report unless law or regulation precludes public disclosure about the matter </w:t>
      </w:r>
      <w:r w:rsidR="00A56890">
        <w:rPr>
          <w:rFonts w:ascii="Arial" w:hAnsi="Arial" w:cs="Arial"/>
          <w:color w:val="000000"/>
          <w:sz w:val="22"/>
          <w:szCs w:val="22"/>
        </w:rPr>
        <w:t>or when, in extremely rare circumstances, I determine that a matter should not be communicated in my report because the adverse consequences of doing so would reasonably be expected to outweigh the public interest benefits of such communication.</w:t>
      </w:r>
    </w:p>
    <w:p w14:paraId="75CC6B3B" w14:textId="52DDB46F" w:rsidR="006A2BBC" w:rsidRPr="006A2BBC" w:rsidRDefault="00272784"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 xml:space="preserve">I am responsible for </w:t>
      </w:r>
      <w:r w:rsidR="006A2BBC" w:rsidRPr="006A2BBC">
        <w:rPr>
          <w:rFonts w:ascii="Arial" w:hAnsi="Arial" w:cs="Arial"/>
          <w:color w:val="000000"/>
          <w:sz w:val="22"/>
          <w:szCs w:val="22"/>
        </w:rPr>
        <w:t>the audit resulting in this independent auditor’s report.</w:t>
      </w:r>
    </w:p>
    <w:p w14:paraId="3E3AB2BD" w14:textId="52B8FD9A" w:rsidR="006A2BBC" w:rsidRPr="006A2BBC" w:rsidRDefault="007F616C" w:rsidP="00143BBC">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Rosaporn Decharkom</w:t>
      </w:r>
    </w:p>
    <w:p w14:paraId="6CE7E3AF" w14:textId="3E295B7F" w:rsidR="006A2BBC" w:rsidRPr="006A2BBC" w:rsidRDefault="006A2BBC" w:rsidP="00143BBC">
      <w:pPr>
        <w:tabs>
          <w:tab w:val="left" w:pos="720"/>
          <w:tab w:val="center" w:pos="6300"/>
        </w:tabs>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Certified Public Accountant (Thailand) No. </w:t>
      </w:r>
      <w:r w:rsidR="007F616C">
        <w:rPr>
          <w:rFonts w:ascii="Arial" w:hAnsi="Arial" w:cs="Arial"/>
          <w:color w:val="000000"/>
          <w:sz w:val="22"/>
          <w:szCs w:val="22"/>
        </w:rPr>
        <w:t>5659</w:t>
      </w:r>
    </w:p>
    <w:p w14:paraId="1716A76A" w14:textId="77777777" w:rsidR="006A2BBC" w:rsidRPr="006A2BBC" w:rsidRDefault="006A2BBC" w:rsidP="00143BBC">
      <w:pPr>
        <w:overflowPunct/>
        <w:autoSpaceDE/>
        <w:autoSpaceDN/>
        <w:adjustRightInd/>
        <w:spacing w:before="240" w:line="380" w:lineRule="exact"/>
        <w:textAlignment w:val="auto"/>
        <w:rPr>
          <w:rFonts w:ascii="Arial" w:hAnsi="Arial" w:cs="Arial"/>
          <w:color w:val="000000"/>
          <w:sz w:val="22"/>
          <w:szCs w:val="22"/>
        </w:rPr>
      </w:pPr>
      <w:r w:rsidRPr="006A2BBC">
        <w:rPr>
          <w:rFonts w:ascii="Arial" w:hAnsi="Arial" w:cs="Arial"/>
          <w:color w:val="000000"/>
          <w:sz w:val="22"/>
          <w:szCs w:val="22"/>
        </w:rPr>
        <w:t>EY Office Limited</w:t>
      </w:r>
    </w:p>
    <w:p w14:paraId="5B214447" w14:textId="4F4FF3F0" w:rsidR="006A2BBC" w:rsidRP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Bangkok:</w:t>
      </w:r>
      <w:r w:rsidR="008F7D40">
        <w:rPr>
          <w:rFonts w:ascii="Arial" w:hAnsi="Arial" w:cs="Arial"/>
          <w:color w:val="000000"/>
          <w:sz w:val="22"/>
          <w:szCs w:val="22"/>
        </w:rPr>
        <w:t xml:space="preserve"> </w:t>
      </w:r>
      <w:r w:rsidR="009708AB">
        <w:rPr>
          <w:rFonts w:ascii="Arial" w:hAnsi="Arial" w:cs="Arial"/>
          <w:color w:val="000000"/>
          <w:sz w:val="22"/>
          <w:szCs w:val="22"/>
        </w:rPr>
        <w:t>25</w:t>
      </w:r>
      <w:r w:rsidR="007C743E">
        <w:rPr>
          <w:rFonts w:ascii="Arial" w:hAnsi="Arial" w:cstheme="minorBidi"/>
          <w:color w:val="000000"/>
          <w:sz w:val="22"/>
          <w:szCs w:val="22"/>
        </w:rPr>
        <w:t xml:space="preserve"> February</w:t>
      </w:r>
      <w:r w:rsidR="0010645A">
        <w:rPr>
          <w:rFonts w:ascii="Arial" w:hAnsi="Arial" w:cstheme="minorBidi"/>
          <w:color w:val="000000"/>
          <w:sz w:val="22"/>
          <w:szCs w:val="22"/>
        </w:rPr>
        <w:t xml:space="preserve"> </w:t>
      </w:r>
      <w:r w:rsidR="007441CA">
        <w:rPr>
          <w:rFonts w:ascii="Arial" w:hAnsi="Arial" w:cstheme="minorBidi"/>
          <w:color w:val="000000"/>
          <w:sz w:val="22"/>
          <w:szCs w:val="22"/>
        </w:rPr>
        <w:t>202</w:t>
      </w:r>
      <w:r w:rsidR="003B706C">
        <w:rPr>
          <w:rFonts w:ascii="Arial" w:hAnsi="Arial" w:cstheme="minorBidi"/>
          <w:color w:val="000000"/>
          <w:sz w:val="22"/>
          <w:szCs w:val="22"/>
        </w:rPr>
        <w:t>5</w:t>
      </w:r>
    </w:p>
    <w:p w14:paraId="26454F88" w14:textId="77777777" w:rsidR="00003F09" w:rsidRDefault="00003F09" w:rsidP="00143BBC">
      <w:pPr>
        <w:spacing w:line="380" w:lineRule="exact"/>
        <w:ind w:right="-45"/>
      </w:pPr>
    </w:p>
    <w:sectPr w:rsidR="00003F09" w:rsidSect="003C6639">
      <w:footerReference w:type="first" r:id="rId11"/>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9804" w14:textId="77777777" w:rsidR="00BE7EE6" w:rsidRDefault="00BE7EE6" w:rsidP="00773BA2">
      <w:r>
        <w:separator/>
      </w:r>
    </w:p>
  </w:endnote>
  <w:endnote w:type="continuationSeparator" w:id="0">
    <w:p w14:paraId="7C7A726D" w14:textId="77777777" w:rsidR="00BE7EE6" w:rsidRDefault="00BE7EE6" w:rsidP="007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BB38" w14:textId="77777777" w:rsidR="009D1239" w:rsidRDefault="004E59A0" w:rsidP="009D1239">
    <w:pPr>
      <w:pStyle w:val="Footer"/>
      <w:framePr w:wrap="around" w:vAnchor="text" w:hAnchor="margin" w:xAlign="right" w:y="1"/>
      <w:rPr>
        <w:rStyle w:val="PageNumber"/>
      </w:rPr>
    </w:pPr>
    <w:r>
      <w:rPr>
        <w:rStyle w:val="PageNumber"/>
      </w:rPr>
      <w:fldChar w:fldCharType="begin"/>
    </w:r>
    <w:r w:rsidR="009D1239">
      <w:rPr>
        <w:rStyle w:val="PageNumber"/>
      </w:rPr>
      <w:instrText xml:space="preserve">PAGE  </w:instrText>
    </w:r>
    <w:r>
      <w:rPr>
        <w:rStyle w:val="PageNumber"/>
      </w:rPr>
      <w:fldChar w:fldCharType="end"/>
    </w:r>
  </w:p>
  <w:p w14:paraId="599631C1" w14:textId="77777777" w:rsidR="009D1239" w:rsidRDefault="009D1239" w:rsidP="009D12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656331"/>
      <w:docPartObj>
        <w:docPartGallery w:val="Page Numbers (Bottom of Page)"/>
        <w:docPartUnique/>
      </w:docPartObj>
    </w:sdtPr>
    <w:sdtEndPr>
      <w:rPr>
        <w:rFonts w:ascii="Arial" w:hAnsi="Arial" w:cs="Arial"/>
        <w:noProof/>
        <w:sz w:val="22"/>
        <w:szCs w:val="24"/>
      </w:rPr>
    </w:sdtEndPr>
    <w:sdtContent>
      <w:p w14:paraId="266F758E" w14:textId="77777777" w:rsidR="006D4EAF" w:rsidRPr="006A2BBC" w:rsidRDefault="00C21EDF" w:rsidP="006D4EAF">
        <w:pPr>
          <w:pStyle w:val="Footer"/>
          <w:jc w:val="right"/>
          <w:rPr>
            <w:rFonts w:ascii="Arial" w:hAnsi="Arial" w:cs="Arial"/>
            <w:sz w:val="22"/>
            <w:szCs w:val="24"/>
          </w:rPr>
        </w:pPr>
      </w:p>
    </w:sdtContent>
  </w:sdt>
  <w:p w14:paraId="1CFD9684" w14:textId="77777777" w:rsidR="006D4EAF" w:rsidRDefault="006D4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044995"/>
      <w:docPartObj>
        <w:docPartGallery w:val="Page Numbers (Bottom of Page)"/>
        <w:docPartUnique/>
      </w:docPartObj>
    </w:sdtPr>
    <w:sdtEndPr>
      <w:rPr>
        <w:rFonts w:ascii="Arial" w:hAnsi="Arial" w:cs="Arial"/>
        <w:noProof/>
        <w:sz w:val="22"/>
        <w:szCs w:val="24"/>
      </w:rPr>
    </w:sdtEndPr>
    <w:sdtContent>
      <w:p w14:paraId="2C7AC8D8" w14:textId="0D97B414" w:rsidR="006D4EAF" w:rsidRPr="003C6639" w:rsidRDefault="003C6639">
        <w:pPr>
          <w:pStyle w:val="Footer"/>
          <w:jc w:val="right"/>
          <w:rPr>
            <w:rFonts w:ascii="Arial" w:hAnsi="Arial" w:cs="Arial"/>
            <w:sz w:val="22"/>
            <w:szCs w:val="24"/>
          </w:rPr>
        </w:pPr>
        <w:r w:rsidRPr="003C6639">
          <w:rPr>
            <w:rFonts w:ascii="Arial" w:hAnsi="Arial" w:cs="Arial"/>
            <w:sz w:val="22"/>
            <w:szCs w:val="24"/>
          </w:rPr>
          <w:fldChar w:fldCharType="begin"/>
        </w:r>
        <w:r w:rsidRPr="003C6639">
          <w:rPr>
            <w:rFonts w:ascii="Arial" w:hAnsi="Arial" w:cs="Arial"/>
            <w:sz w:val="22"/>
            <w:szCs w:val="24"/>
          </w:rPr>
          <w:instrText xml:space="preserve"> PAGE   \* MERGEFORMAT </w:instrText>
        </w:r>
        <w:r w:rsidRPr="003C6639">
          <w:rPr>
            <w:rFonts w:ascii="Arial" w:hAnsi="Arial" w:cs="Arial"/>
            <w:sz w:val="22"/>
            <w:szCs w:val="24"/>
          </w:rPr>
          <w:fldChar w:fldCharType="separate"/>
        </w:r>
        <w:r w:rsidRPr="003C6639">
          <w:rPr>
            <w:rFonts w:ascii="Arial" w:hAnsi="Arial" w:cs="Arial"/>
            <w:noProof/>
            <w:sz w:val="22"/>
            <w:szCs w:val="24"/>
          </w:rPr>
          <w:t>2</w:t>
        </w:r>
        <w:r w:rsidRPr="003C6639">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136711"/>
      <w:docPartObj>
        <w:docPartGallery w:val="Page Numbers (Bottom of Page)"/>
        <w:docPartUnique/>
      </w:docPartObj>
    </w:sdtPr>
    <w:sdtEndPr>
      <w:rPr>
        <w:rFonts w:ascii="Arial" w:hAnsi="Arial" w:cs="Arial"/>
        <w:noProof/>
        <w:sz w:val="22"/>
        <w:szCs w:val="24"/>
      </w:rPr>
    </w:sdtEndPr>
    <w:sdtContent>
      <w:p w14:paraId="614E1C68" w14:textId="0B1D3F63" w:rsidR="006D4EAF" w:rsidRPr="003B6233" w:rsidRDefault="006D4EAF" w:rsidP="003B6233">
        <w:pPr>
          <w:pStyle w:val="Footer"/>
          <w:jc w:val="right"/>
          <w:rPr>
            <w:rFonts w:ascii="Arial" w:hAnsi="Arial" w:cs="Arial"/>
            <w:sz w:val="22"/>
            <w:szCs w:val="24"/>
          </w:rPr>
        </w:pPr>
        <w:r>
          <w:rPr>
            <w:rFonts w:ascii="Arial" w:hAnsi="Arial" w:cs="Arial"/>
            <w:sz w:val="22"/>
            <w:szCs w:val="24"/>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574A" w14:textId="77777777" w:rsidR="00BE7EE6" w:rsidRDefault="00BE7EE6" w:rsidP="00773BA2">
      <w:r>
        <w:separator/>
      </w:r>
    </w:p>
  </w:footnote>
  <w:footnote w:type="continuationSeparator" w:id="0">
    <w:p w14:paraId="5E3B4B0F" w14:textId="77777777" w:rsidR="00BE7EE6" w:rsidRDefault="00BE7EE6" w:rsidP="00773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B2366"/>
    <w:multiLevelType w:val="hybridMultilevel"/>
    <w:tmpl w:val="AD40DBA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3F37BC"/>
    <w:multiLevelType w:val="hybridMultilevel"/>
    <w:tmpl w:val="6392747E"/>
    <w:lvl w:ilvl="0" w:tplc="04090017">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num w:numId="1" w16cid:durableId="1485195521">
    <w:abstractNumId w:val="1"/>
  </w:num>
  <w:num w:numId="2" w16cid:durableId="118494617">
    <w:abstractNumId w:val="2"/>
  </w:num>
  <w:num w:numId="3" w16cid:durableId="1964383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8"/>
    <w:rsid w:val="00003F09"/>
    <w:rsid w:val="00013EB8"/>
    <w:rsid w:val="00020B84"/>
    <w:rsid w:val="000234F0"/>
    <w:rsid w:val="00047574"/>
    <w:rsid w:val="00091597"/>
    <w:rsid w:val="000973BA"/>
    <w:rsid w:val="000C6194"/>
    <w:rsid w:val="000E14E6"/>
    <w:rsid w:val="000F322D"/>
    <w:rsid w:val="00103777"/>
    <w:rsid w:val="0010645A"/>
    <w:rsid w:val="00127F39"/>
    <w:rsid w:val="0013610B"/>
    <w:rsid w:val="001423F8"/>
    <w:rsid w:val="00143BBC"/>
    <w:rsid w:val="001624F3"/>
    <w:rsid w:val="0018190D"/>
    <w:rsid w:val="001A0D46"/>
    <w:rsid w:val="001D22D3"/>
    <w:rsid w:val="001D3195"/>
    <w:rsid w:val="001E65F5"/>
    <w:rsid w:val="001E6914"/>
    <w:rsid w:val="001F4858"/>
    <w:rsid w:val="002323D5"/>
    <w:rsid w:val="00272784"/>
    <w:rsid w:val="00272960"/>
    <w:rsid w:val="002969B0"/>
    <w:rsid w:val="002A1969"/>
    <w:rsid w:val="002A6F1E"/>
    <w:rsid w:val="002C44C9"/>
    <w:rsid w:val="002E6BBF"/>
    <w:rsid w:val="00315176"/>
    <w:rsid w:val="003326F7"/>
    <w:rsid w:val="00357BDE"/>
    <w:rsid w:val="00380F4D"/>
    <w:rsid w:val="003917B8"/>
    <w:rsid w:val="00397DA3"/>
    <w:rsid w:val="003A0912"/>
    <w:rsid w:val="003B6233"/>
    <w:rsid w:val="003B706C"/>
    <w:rsid w:val="003C07D4"/>
    <w:rsid w:val="003C6639"/>
    <w:rsid w:val="00417775"/>
    <w:rsid w:val="004332C8"/>
    <w:rsid w:val="00486A12"/>
    <w:rsid w:val="004A218C"/>
    <w:rsid w:val="004A7BF6"/>
    <w:rsid w:val="004E59A0"/>
    <w:rsid w:val="004E699A"/>
    <w:rsid w:val="00521309"/>
    <w:rsid w:val="00543D4F"/>
    <w:rsid w:val="00545C6A"/>
    <w:rsid w:val="005525C3"/>
    <w:rsid w:val="00560016"/>
    <w:rsid w:val="00561753"/>
    <w:rsid w:val="005811E8"/>
    <w:rsid w:val="005B3AC9"/>
    <w:rsid w:val="005C06F7"/>
    <w:rsid w:val="005C0BF7"/>
    <w:rsid w:val="005F4F70"/>
    <w:rsid w:val="0061503B"/>
    <w:rsid w:val="00617FC8"/>
    <w:rsid w:val="0062674B"/>
    <w:rsid w:val="0066292E"/>
    <w:rsid w:val="00672937"/>
    <w:rsid w:val="00691DDD"/>
    <w:rsid w:val="006A2BBC"/>
    <w:rsid w:val="006C4910"/>
    <w:rsid w:val="006C7565"/>
    <w:rsid w:val="006D4EAF"/>
    <w:rsid w:val="00711E75"/>
    <w:rsid w:val="00712985"/>
    <w:rsid w:val="007215CE"/>
    <w:rsid w:val="00733E19"/>
    <w:rsid w:val="00737348"/>
    <w:rsid w:val="007441CA"/>
    <w:rsid w:val="0075301F"/>
    <w:rsid w:val="007572BB"/>
    <w:rsid w:val="00757DEA"/>
    <w:rsid w:val="00773BA2"/>
    <w:rsid w:val="007815FC"/>
    <w:rsid w:val="007A2D2E"/>
    <w:rsid w:val="007A3CA5"/>
    <w:rsid w:val="007C743E"/>
    <w:rsid w:val="007D2647"/>
    <w:rsid w:val="007F1D92"/>
    <w:rsid w:val="007F616C"/>
    <w:rsid w:val="00813284"/>
    <w:rsid w:val="008213DB"/>
    <w:rsid w:val="00853AF6"/>
    <w:rsid w:val="00854FE1"/>
    <w:rsid w:val="00897625"/>
    <w:rsid w:val="008C2A1C"/>
    <w:rsid w:val="008C3A52"/>
    <w:rsid w:val="008C54A4"/>
    <w:rsid w:val="008F463B"/>
    <w:rsid w:val="008F7D40"/>
    <w:rsid w:val="00902623"/>
    <w:rsid w:val="00913D54"/>
    <w:rsid w:val="00916E52"/>
    <w:rsid w:val="00941119"/>
    <w:rsid w:val="00953586"/>
    <w:rsid w:val="00954093"/>
    <w:rsid w:val="009708AB"/>
    <w:rsid w:val="00980C44"/>
    <w:rsid w:val="009948B8"/>
    <w:rsid w:val="009A0E40"/>
    <w:rsid w:val="009D1239"/>
    <w:rsid w:val="009D5F4E"/>
    <w:rsid w:val="00A01100"/>
    <w:rsid w:val="00A4490D"/>
    <w:rsid w:val="00A56163"/>
    <w:rsid w:val="00A56890"/>
    <w:rsid w:val="00A80E0D"/>
    <w:rsid w:val="00A83728"/>
    <w:rsid w:val="00AA082F"/>
    <w:rsid w:val="00AA454B"/>
    <w:rsid w:val="00AB5C5D"/>
    <w:rsid w:val="00AD6ADD"/>
    <w:rsid w:val="00B104C9"/>
    <w:rsid w:val="00B422A1"/>
    <w:rsid w:val="00B92432"/>
    <w:rsid w:val="00B95C13"/>
    <w:rsid w:val="00BB18A0"/>
    <w:rsid w:val="00BB2C8E"/>
    <w:rsid w:val="00BD2B00"/>
    <w:rsid w:val="00BD69A0"/>
    <w:rsid w:val="00BE0F9D"/>
    <w:rsid w:val="00BE7EE6"/>
    <w:rsid w:val="00BF275F"/>
    <w:rsid w:val="00C07155"/>
    <w:rsid w:val="00C21EDF"/>
    <w:rsid w:val="00C56968"/>
    <w:rsid w:val="00C63F77"/>
    <w:rsid w:val="00C6677C"/>
    <w:rsid w:val="00C74137"/>
    <w:rsid w:val="00C93EC7"/>
    <w:rsid w:val="00C95E67"/>
    <w:rsid w:val="00C97FD6"/>
    <w:rsid w:val="00CA5E94"/>
    <w:rsid w:val="00CC24FA"/>
    <w:rsid w:val="00CC37C4"/>
    <w:rsid w:val="00CF51D6"/>
    <w:rsid w:val="00D060C3"/>
    <w:rsid w:val="00D15F0B"/>
    <w:rsid w:val="00D25C5F"/>
    <w:rsid w:val="00D51A6C"/>
    <w:rsid w:val="00D93881"/>
    <w:rsid w:val="00DA71F9"/>
    <w:rsid w:val="00DB350F"/>
    <w:rsid w:val="00DD4716"/>
    <w:rsid w:val="00DE6DF3"/>
    <w:rsid w:val="00E07917"/>
    <w:rsid w:val="00E2425C"/>
    <w:rsid w:val="00E66ABF"/>
    <w:rsid w:val="00E97036"/>
    <w:rsid w:val="00EA30D2"/>
    <w:rsid w:val="00EA3379"/>
    <w:rsid w:val="00EA7DF5"/>
    <w:rsid w:val="00EF0C5A"/>
    <w:rsid w:val="00EF2B0E"/>
    <w:rsid w:val="00EF3C9C"/>
    <w:rsid w:val="00EF633A"/>
    <w:rsid w:val="00F00796"/>
    <w:rsid w:val="00F008C2"/>
    <w:rsid w:val="00F037F6"/>
    <w:rsid w:val="00F224DF"/>
    <w:rsid w:val="00F77393"/>
    <w:rsid w:val="00FA0A8E"/>
    <w:rsid w:val="00FA53CD"/>
    <w:rsid w:val="00FC0BA3"/>
    <w:rsid w:val="00FC5A75"/>
    <w:rsid w:val="00FD051F"/>
    <w:rsid w:val="00FE1B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EFF1"/>
  <w15:docId w15:val="{F843FB64-69C2-4B43-888B-A1EFBB0E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FC8"/>
    <w:pPr>
      <w:overflowPunct w:val="0"/>
      <w:autoSpaceDE w:val="0"/>
      <w:autoSpaceDN w:val="0"/>
      <w:adjustRightInd w:val="0"/>
      <w:spacing w:before="0" w:after="0" w:line="240" w:lineRule="auto"/>
      <w:ind w:right="0"/>
      <w:jc w:val="left"/>
      <w:textAlignment w:val="baseline"/>
    </w:pPr>
    <w:rPr>
      <w:rFonts w:ascii="Times New Roman" w:eastAsia="Times New Roman" w:hAnsi="CordiaUPC" w:cs="CordiaUP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7FC8"/>
    <w:pPr>
      <w:jc w:val="both"/>
    </w:pPr>
    <w:rPr>
      <w:szCs w:val="24"/>
    </w:rPr>
  </w:style>
  <w:style w:type="character" w:customStyle="1" w:styleId="BodyTextChar">
    <w:name w:val="Body Text Char"/>
    <w:basedOn w:val="DefaultParagraphFont"/>
    <w:link w:val="BodyText"/>
    <w:rsid w:val="00617FC8"/>
    <w:rPr>
      <w:rFonts w:ascii="Times New Roman" w:eastAsia="Times New Roman" w:hAnsi="CordiaUPC" w:cs="CordiaUPC"/>
      <w:sz w:val="24"/>
      <w:szCs w:val="24"/>
    </w:rPr>
  </w:style>
  <w:style w:type="paragraph" w:styleId="Footer">
    <w:name w:val="footer"/>
    <w:basedOn w:val="Normal"/>
    <w:link w:val="FooterChar"/>
    <w:uiPriority w:val="99"/>
    <w:rsid w:val="00617FC8"/>
    <w:pPr>
      <w:tabs>
        <w:tab w:val="center" w:pos="4153"/>
        <w:tab w:val="right" w:pos="8306"/>
      </w:tabs>
    </w:pPr>
  </w:style>
  <w:style w:type="character" w:customStyle="1" w:styleId="FooterChar">
    <w:name w:val="Footer Char"/>
    <w:basedOn w:val="DefaultParagraphFont"/>
    <w:link w:val="Footer"/>
    <w:uiPriority w:val="99"/>
    <w:rsid w:val="00617FC8"/>
    <w:rPr>
      <w:rFonts w:ascii="Times New Roman" w:eastAsia="Times New Roman" w:hAnsi="CordiaUPC" w:cs="CordiaUPC"/>
      <w:sz w:val="24"/>
    </w:rPr>
  </w:style>
  <w:style w:type="character" w:styleId="PageNumber">
    <w:name w:val="page number"/>
    <w:basedOn w:val="DefaultParagraphFont"/>
    <w:rsid w:val="00617FC8"/>
    <w:rPr>
      <w:rFonts w:cs="Times New Roman"/>
    </w:rPr>
  </w:style>
  <w:style w:type="paragraph" w:styleId="BodyTextIndent">
    <w:name w:val="Body Text Indent"/>
    <w:basedOn w:val="Normal"/>
    <w:link w:val="BodyTextIndentChar"/>
    <w:rsid w:val="00617FC8"/>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17FC8"/>
    <w:rPr>
      <w:rFonts w:ascii="Angsana New" w:eastAsia="Times New Roman" w:hAnsi="Angsana New" w:cs="Angsana New"/>
      <w:sz w:val="34"/>
      <w:szCs w:val="34"/>
    </w:rPr>
  </w:style>
  <w:style w:type="paragraph" w:customStyle="1" w:styleId="ps-000-normal">
    <w:name w:val="ps-000-normal"/>
    <w:basedOn w:val="Normal"/>
    <w:rsid w:val="005B3AC9"/>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B104C9"/>
    <w:pPr>
      <w:tabs>
        <w:tab w:val="center" w:pos="4680"/>
        <w:tab w:val="right" w:pos="9360"/>
      </w:tabs>
    </w:pPr>
    <w:rPr>
      <w:rFonts w:cs="Angsana New"/>
    </w:rPr>
  </w:style>
  <w:style w:type="character" w:customStyle="1" w:styleId="HeaderChar">
    <w:name w:val="Header Char"/>
    <w:basedOn w:val="DefaultParagraphFont"/>
    <w:link w:val="Header"/>
    <w:uiPriority w:val="99"/>
    <w:rsid w:val="00B104C9"/>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F7739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77393"/>
    <w:rPr>
      <w:rFonts w:ascii="Segoe UI" w:eastAsia="Times New Roman" w:hAnsi="Segoe UI" w:cs="Angsana New"/>
      <w:sz w:val="18"/>
      <w:szCs w:val="22"/>
    </w:rPr>
  </w:style>
  <w:style w:type="paragraph" w:styleId="ListParagraph">
    <w:name w:val="List Paragraph"/>
    <w:basedOn w:val="Normal"/>
    <w:uiPriority w:val="34"/>
    <w:qFormat/>
    <w:rsid w:val="00CC24FA"/>
    <w:pPr>
      <w:ind w:left="720"/>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2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1B7A-B639-4026-BC93-305405FF1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11</cp:revision>
  <cp:lastPrinted>2025-02-25T08:48:00Z</cp:lastPrinted>
  <dcterms:created xsi:type="dcterms:W3CDTF">2023-12-29T05:40:00Z</dcterms:created>
  <dcterms:modified xsi:type="dcterms:W3CDTF">2025-02-25T08:49:00Z</dcterms:modified>
</cp:coreProperties>
</file>