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628"/>
        <w:gridCol w:w="7110"/>
      </w:tblGrid>
      <w:tr w:rsidR="00821C7A" w14:paraId="0D786F13" w14:textId="77777777" w:rsidTr="00E5561D">
        <w:trPr>
          <w:trHeight w:val="2865"/>
        </w:trPr>
        <w:tc>
          <w:tcPr>
            <w:tcW w:w="2628" w:type="dxa"/>
          </w:tcPr>
          <w:p w14:paraId="104B7959" w14:textId="77777777" w:rsidR="00821C7A" w:rsidRPr="00224A29" w:rsidRDefault="00821C7A" w:rsidP="00E5561D">
            <w:pPr>
              <w:pStyle w:val="Heading2"/>
              <w:rPr>
                <w:sz w:val="30"/>
                <w:szCs w:val="30"/>
                <w:cs/>
              </w:rPr>
            </w:pPr>
          </w:p>
        </w:tc>
        <w:tc>
          <w:tcPr>
            <w:tcW w:w="7110" w:type="dxa"/>
            <w:vAlign w:val="center"/>
          </w:tcPr>
          <w:p w14:paraId="3A7B149D" w14:textId="77777777" w:rsidR="00821C7A" w:rsidRPr="00BD0977" w:rsidRDefault="00821C7A" w:rsidP="00E5561D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Cal-Comp Electronics (Thailand) Public Company Limited</w:t>
            </w:r>
          </w:p>
          <w:p w14:paraId="1ED2973D" w14:textId="77777777" w:rsidR="00821C7A" w:rsidRPr="00BD0977" w:rsidRDefault="00821C7A" w:rsidP="00E5561D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and its subsidia</w:t>
            </w:r>
            <w:r>
              <w:rPr>
                <w:rFonts w:hAnsi="Times New Roman"/>
                <w:color w:val="7F7E82"/>
                <w:sz w:val="26"/>
                <w:szCs w:val="26"/>
              </w:rPr>
              <w:t>ries</w:t>
            </w:r>
          </w:p>
          <w:p w14:paraId="1000CE96" w14:textId="77777777" w:rsidR="00821C7A" w:rsidRPr="00BD0977" w:rsidRDefault="00821C7A" w:rsidP="00E5561D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Review report and </w:t>
            </w:r>
            <w:r>
              <w:rPr>
                <w:rFonts w:hAnsi="Times New Roman"/>
                <w:color w:val="7F7E82"/>
                <w:sz w:val="26"/>
                <w:szCs w:val="26"/>
              </w:rPr>
              <w:t>consolidated and separate financial information</w:t>
            </w:r>
          </w:p>
          <w:p w14:paraId="0A0218A7" w14:textId="77777777" w:rsidR="00821C7A" w:rsidRPr="00346CEE" w:rsidRDefault="00821C7A" w:rsidP="00E5561D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>
              <w:rPr>
                <w:rFonts w:hAnsi="Times New Roman"/>
                <w:color w:val="7F7E82"/>
                <w:sz w:val="26"/>
                <w:szCs w:val="26"/>
              </w:rPr>
              <w:t>and six-month periods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  <w:r>
              <w:rPr>
                <w:rFonts w:hAnsi="Times New Roman"/>
                <w:color w:val="7F7E82"/>
                <w:sz w:val="26"/>
                <w:szCs w:val="26"/>
              </w:rPr>
              <w:t>30 June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>
              <w:rPr>
                <w:rFonts w:hAnsi="Times New Roman"/>
                <w:color w:val="7F7E82"/>
                <w:sz w:val="26"/>
                <w:szCs w:val="26"/>
              </w:rPr>
              <w:t>2025</w:t>
            </w:r>
          </w:p>
        </w:tc>
      </w:tr>
    </w:tbl>
    <w:p w14:paraId="3FC97D5E" w14:textId="77777777" w:rsidR="006C1634" w:rsidRDefault="006C1634" w:rsidP="00821C7A">
      <w:pPr>
        <w:spacing w:line="380" w:lineRule="exact"/>
        <w:rPr>
          <w:rFonts w:ascii="Arial" w:hAnsi="Arial"/>
          <w:b/>
          <w:bCs/>
          <w:sz w:val="22"/>
          <w:szCs w:val="22"/>
        </w:rPr>
        <w:sectPr w:rsidR="006C1634" w:rsidSect="00701C05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0EFF8769" w14:textId="77777777" w:rsidR="00821C7A" w:rsidRPr="005F6E3F" w:rsidRDefault="00821C7A" w:rsidP="00821C7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7BFA8602" w14:textId="77777777" w:rsidR="00821C7A" w:rsidRPr="005F6E3F" w:rsidRDefault="00821C7A" w:rsidP="00821C7A">
      <w:pPr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>hareholders of Cal-Comp Electronics (Thailand) Public Company Limited</w:t>
      </w:r>
    </w:p>
    <w:p w14:paraId="54F3E3C6" w14:textId="58D956FA" w:rsidR="00821C7A" w:rsidRPr="005F6E3F" w:rsidRDefault="00821C7A" w:rsidP="00821C7A">
      <w:pPr>
        <w:pStyle w:val="BodyTextIndent3"/>
        <w:spacing w:before="3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financial information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Cal-Comp Electronics (Thailand) Public Company Limited and its subsidiaries </w:t>
      </w:r>
      <w:r>
        <w:rPr>
          <w:rFonts w:ascii="Arial" w:hAnsi="Arial"/>
          <w:sz w:val="22"/>
          <w:szCs w:val="22"/>
        </w:rPr>
        <w:t xml:space="preserve">(“the Group”), which comprises </w:t>
      </w:r>
      <w:r w:rsidR="007D18C4">
        <w:rPr>
          <w:rFonts w:ascii="Arial" w:hAnsi="Arial" w:hint="cs"/>
          <w:sz w:val="22"/>
          <w:szCs w:val="22"/>
          <w:cs/>
        </w:rPr>
        <w:t xml:space="preserve">                                  </w:t>
      </w:r>
      <w:r>
        <w:rPr>
          <w:rFonts w:ascii="Arial" w:hAnsi="Arial"/>
          <w:sz w:val="22"/>
          <w:szCs w:val="22"/>
        </w:rPr>
        <w:t xml:space="preserve">the consolidated statement of financial position </w:t>
      </w:r>
      <w:r w:rsidRPr="005F6E3F">
        <w:rPr>
          <w:rFonts w:ascii="Arial" w:hAnsi="Arial"/>
          <w:sz w:val="22"/>
          <w:szCs w:val="22"/>
        </w:rPr>
        <w:t>as at</w:t>
      </w:r>
      <w:r>
        <w:rPr>
          <w:rFonts w:ascii="Arial" w:hAnsi="Arial"/>
          <w:sz w:val="22"/>
          <w:szCs w:val="22"/>
        </w:rPr>
        <w:t xml:space="preserve"> 30 June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</w:t>
      </w:r>
      <w:r w:rsidRPr="005F6E3F">
        <w:rPr>
          <w:rFonts w:ascii="Arial" w:hAnsi="Arial"/>
          <w:sz w:val="22"/>
          <w:szCs w:val="22"/>
        </w:rPr>
        <w:t>,</w:t>
      </w:r>
      <w:r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>the related consolidated statements of income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/>
          <w:sz w:val="22"/>
          <w:szCs w:val="22"/>
        </w:rPr>
        <w:t xml:space="preserve">and comprehensive income for the three-month and six-month periods then ended, and the related consolidated statements of </w:t>
      </w:r>
      <w:r w:rsidRPr="005F6E3F">
        <w:rPr>
          <w:rFonts w:ascii="Arial" w:hAnsi="Arial"/>
          <w:sz w:val="22"/>
          <w:szCs w:val="22"/>
        </w:rPr>
        <w:t xml:space="preserve">changes in shareholders’ equity and cash flows for the </w:t>
      </w:r>
      <w:r>
        <w:rPr>
          <w:rFonts w:ascii="Arial" w:hAnsi="Arial"/>
          <w:sz w:val="22"/>
          <w:szCs w:val="22"/>
        </w:rPr>
        <w:t>six</w:t>
      </w:r>
      <w:r w:rsidRPr="005F6E3F">
        <w:rPr>
          <w:rFonts w:ascii="Arial" w:hAnsi="Arial"/>
          <w:sz w:val="22"/>
          <w:szCs w:val="22"/>
        </w:rPr>
        <w:t>-month period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which are presented in US Dollar and Baht,</w:t>
      </w:r>
      <w:r>
        <w:rPr>
          <w:rFonts w:ascii="Arial" w:hAnsi="Arial"/>
          <w:sz w:val="22"/>
          <w:szCs w:val="22"/>
        </w:rPr>
        <w:t xml:space="preserve"> as well as                  the condensed notes to the interim consolidated financial statements. I have also reviewed            </w:t>
      </w:r>
      <w:r w:rsidRPr="005F6E3F">
        <w:rPr>
          <w:rFonts w:ascii="Arial" w:hAnsi="Arial"/>
          <w:sz w:val="22"/>
          <w:szCs w:val="22"/>
        </w:rPr>
        <w:t>the separate</w:t>
      </w:r>
      <w:r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 Cal-Comp Electronics (Thailand) Public Company Limited</w:t>
      </w:r>
      <w:r>
        <w:rPr>
          <w:rFonts w:ascii="Arial" w:hAnsi="Arial"/>
          <w:sz w:val="22"/>
          <w:szCs w:val="22"/>
        </w:rPr>
        <w:t xml:space="preserve">                            </w:t>
      </w:r>
      <w:r w:rsidRPr="005F6E3F">
        <w:rPr>
          <w:rFonts w:ascii="Arial" w:hAnsi="Arial"/>
          <w:sz w:val="22"/>
          <w:szCs w:val="22"/>
        </w:rPr>
        <w:t>for the same period</w:t>
      </w:r>
      <w:r>
        <w:rPr>
          <w:rFonts w:ascii="Arial" w:hAnsi="Arial"/>
          <w:sz w:val="22"/>
          <w:szCs w:val="22"/>
        </w:rPr>
        <w:t xml:space="preserve">s (collectively “the interim financial information”). Management is responsible    for the preparation and presentation of this interim financial information in accordance with        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 is</w:t>
      </w:r>
      <w:r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r>
        <w:rPr>
          <w:rFonts w:ascii="Arial" w:hAnsi="Arial"/>
          <w:sz w:val="22"/>
          <w:szCs w:val="22"/>
        </w:rPr>
        <w:t>express                        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2B76163F" w14:textId="77777777" w:rsidR="00821C7A" w:rsidRPr="00333710" w:rsidRDefault="00821C7A" w:rsidP="00821C7A">
      <w:pPr>
        <w:spacing w:before="120" w:after="120" w:line="380" w:lineRule="exact"/>
        <w:ind w:left="547" w:hanging="547"/>
        <w:jc w:val="both"/>
        <w:rPr>
          <w:rFonts w:ascii="Arial" w:eastAsia="Arial Unicode MS" w:hAnsi="Arial" w:cs="Browallia New"/>
          <w:b/>
          <w:bCs/>
          <w:sz w:val="22"/>
          <w:szCs w:val="28"/>
        </w:rPr>
      </w:pPr>
      <w:r w:rsidRPr="00333710">
        <w:rPr>
          <w:rFonts w:ascii="Arial" w:eastAsia="Arial Unicode MS" w:hAnsi="Arial" w:cs="Browallia New"/>
          <w:b/>
          <w:bCs/>
          <w:sz w:val="22"/>
          <w:szCs w:val="28"/>
        </w:rPr>
        <w:t>Scope of review</w:t>
      </w:r>
    </w:p>
    <w:p w14:paraId="6C403744" w14:textId="77777777" w:rsidR="00821C7A" w:rsidRPr="00C76E85" w:rsidRDefault="00821C7A" w:rsidP="00821C7A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</w:t>
      </w:r>
      <w:r>
        <w:rPr>
          <w:rFonts w:ascii="Arial" w:hAnsi="Arial" w:cs="Arial"/>
          <w:sz w:val="22"/>
          <w:szCs w:val="22"/>
        </w:rPr>
        <w:t xml:space="preserve">e </w:t>
      </w:r>
      <w:r w:rsidRPr="00C76E85">
        <w:rPr>
          <w:rFonts w:ascii="Arial" w:hAnsi="Arial" w:cs="Arial"/>
          <w:sz w:val="22"/>
          <w:szCs w:val="22"/>
        </w:rPr>
        <w:t xml:space="preserve">with </w:t>
      </w:r>
      <w:r>
        <w:rPr>
          <w:rFonts w:ascii="Arial" w:hAnsi="Arial" w:cs="Arial"/>
          <w:sz w:val="22"/>
          <w:szCs w:val="22"/>
        </w:rPr>
        <w:t xml:space="preserve">              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r>
        <w:rPr>
          <w:rFonts w:ascii="Arial" w:hAnsi="Arial" w:cs="Arial"/>
          <w:sz w:val="22"/>
          <w:szCs w:val="22"/>
        </w:rPr>
        <w:t xml:space="preserve">        </w:t>
      </w:r>
      <w:r w:rsidRPr="00C76E85">
        <w:rPr>
          <w:rFonts w:ascii="Arial" w:hAnsi="Arial" w:cs="Arial"/>
          <w:sz w:val="22"/>
          <w:szCs w:val="22"/>
        </w:rPr>
        <w:t>Accordingly,</w:t>
      </w:r>
      <w:r>
        <w:rPr>
          <w:rFonts w:ascii="Arial" w:hAnsi="Arial" w:cs="Arial"/>
          <w:sz w:val="22"/>
          <w:szCs w:val="22"/>
        </w:rPr>
        <w:t xml:space="preserve">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7695175F" w14:textId="77777777" w:rsidR="00821C7A" w:rsidRPr="00C76E85" w:rsidRDefault="00821C7A" w:rsidP="00821C7A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0AE9876" w14:textId="77777777" w:rsidR="00821C7A" w:rsidRPr="00C76E85" w:rsidRDefault="00821C7A" w:rsidP="00821C7A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C76E85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C76E85">
        <w:rPr>
          <w:rFonts w:ascii="Arial" w:hAnsi="Arial" w:cs="Arial"/>
          <w:sz w:val="22"/>
          <w:szCs w:val="22"/>
        </w:rPr>
        <w:t>respects,</w:t>
      </w:r>
      <w:r>
        <w:rPr>
          <w:rFonts w:ascii="Arial" w:hAnsi="Arial" w:cs="Arial"/>
          <w:sz w:val="22"/>
          <w:szCs w:val="22"/>
        </w:rPr>
        <w:t xml:space="preserve">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551BD7EF" w14:textId="77777777" w:rsidR="00821C7A" w:rsidRDefault="00821C7A" w:rsidP="00821C7A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  <w:sectPr w:rsidR="00821C7A" w:rsidSect="00821C7A">
          <w:pgSz w:w="11909" w:h="16834" w:code="9"/>
          <w:pgMar w:top="3600" w:right="1080" w:bottom="1080" w:left="1152" w:header="706" w:footer="706" w:gutter="0"/>
          <w:pgNumType w:start="1"/>
          <w:cols w:space="720"/>
          <w:titlePg/>
        </w:sectPr>
      </w:pPr>
    </w:p>
    <w:p w14:paraId="2837C956" w14:textId="77777777" w:rsidR="00821C7A" w:rsidRPr="0053147B" w:rsidRDefault="00821C7A" w:rsidP="00821C7A">
      <w:pPr>
        <w:spacing w:before="80" w:after="80" w:line="360" w:lineRule="exact"/>
        <w:rPr>
          <w:rFonts w:ascii="Arial" w:hAnsi="Arial" w:cs="Cordia New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</w:p>
    <w:p w14:paraId="7F33B617" w14:textId="0CEEC272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 draw attention to </w:t>
      </w:r>
      <w:proofErr w:type="gramStart"/>
      <w:r>
        <w:rPr>
          <w:rFonts w:ascii="Arial" w:hAnsi="Arial"/>
          <w:sz w:val="22"/>
          <w:szCs w:val="22"/>
        </w:rPr>
        <w:t>the condensed</w:t>
      </w:r>
      <w:proofErr w:type="gramEnd"/>
      <w:r>
        <w:rPr>
          <w:rFonts w:ascii="Arial" w:hAnsi="Arial"/>
          <w:sz w:val="22"/>
          <w:szCs w:val="22"/>
        </w:rPr>
        <w:t xml:space="preserve"> </w:t>
      </w:r>
      <w:r w:rsidRPr="004709CC">
        <w:rPr>
          <w:rFonts w:ascii="Arial" w:hAnsi="Arial"/>
          <w:sz w:val="22"/>
          <w:szCs w:val="22"/>
        </w:rPr>
        <w:t xml:space="preserve">Note </w:t>
      </w:r>
      <w:r>
        <w:rPr>
          <w:rFonts w:ascii="Arial" w:hAnsi="Arial"/>
          <w:sz w:val="22"/>
          <w:szCs w:val="22"/>
        </w:rPr>
        <w:t>2</w:t>
      </w:r>
      <w:r w:rsidRPr="004709CC">
        <w:rPr>
          <w:rFonts w:ascii="Arial" w:hAnsi="Arial"/>
          <w:sz w:val="22"/>
          <w:szCs w:val="22"/>
        </w:rPr>
        <w:t xml:space="preserve"> to the </w:t>
      </w:r>
      <w:r>
        <w:rPr>
          <w:rFonts w:ascii="Arial" w:hAnsi="Arial"/>
          <w:sz w:val="22"/>
          <w:szCs w:val="22"/>
        </w:rPr>
        <w:t xml:space="preserve">interim financial </w:t>
      </w:r>
      <w:proofErr w:type="gramStart"/>
      <w:r>
        <w:rPr>
          <w:rFonts w:ascii="Arial" w:hAnsi="Arial"/>
          <w:sz w:val="22"/>
          <w:szCs w:val="22"/>
        </w:rPr>
        <w:t>statements,</w:t>
      </w:r>
      <w:proofErr w:type="gramEnd"/>
      <w:r>
        <w:rPr>
          <w:rFonts w:ascii="Arial" w:hAnsi="Arial"/>
          <w:sz w:val="22"/>
          <w:szCs w:val="22"/>
        </w:rPr>
        <w:t xml:space="preserve"> </w:t>
      </w:r>
      <w:r w:rsidRPr="004709CC">
        <w:rPr>
          <w:rFonts w:ascii="Arial" w:hAnsi="Arial"/>
          <w:sz w:val="22"/>
          <w:szCs w:val="22"/>
        </w:rPr>
        <w:t>the Company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 w:hint="cs"/>
          <w:sz w:val="22"/>
          <w:szCs w:val="22"/>
          <w:cs/>
        </w:rPr>
        <w:t xml:space="preserve">            </w:t>
      </w:r>
      <w:r>
        <w:rPr>
          <w:rFonts w:ascii="Arial" w:hAnsi="Arial"/>
          <w:sz w:val="22"/>
          <w:szCs w:val="22"/>
        </w:rPr>
        <w:t xml:space="preserve">has </w:t>
      </w:r>
      <w:r w:rsidRPr="004709CC">
        <w:rPr>
          <w:rFonts w:ascii="Arial" w:hAnsi="Arial"/>
          <w:sz w:val="22"/>
          <w:szCs w:val="22"/>
        </w:rPr>
        <w:t>substantial product sale</w:t>
      </w:r>
      <w:r w:rsidR="007D18C4">
        <w:rPr>
          <w:rFonts w:ascii="Arial" w:hAnsi="Arial"/>
          <w:sz w:val="22"/>
          <w:szCs w:val="22"/>
        </w:rPr>
        <w:t>s</w:t>
      </w:r>
      <w:r w:rsidRPr="004709CC">
        <w:rPr>
          <w:rFonts w:ascii="Arial" w:hAnsi="Arial"/>
          <w:sz w:val="22"/>
          <w:szCs w:val="22"/>
        </w:rPr>
        <w:t xml:space="preserve"> and raw material purchase</w:t>
      </w:r>
      <w:r w:rsidR="007D18C4">
        <w:rPr>
          <w:rFonts w:ascii="Arial" w:hAnsi="Arial"/>
          <w:sz w:val="22"/>
          <w:szCs w:val="22"/>
        </w:rPr>
        <w:t>s</w:t>
      </w:r>
      <w:r w:rsidRPr="004709CC">
        <w:rPr>
          <w:rFonts w:ascii="Arial" w:hAnsi="Arial"/>
          <w:sz w:val="22"/>
          <w:szCs w:val="22"/>
        </w:rPr>
        <w:t xml:space="preserve"> transactions with its sub</w:t>
      </w:r>
      <w:r>
        <w:rPr>
          <w:rFonts w:ascii="Arial" w:hAnsi="Arial"/>
          <w:sz w:val="22"/>
          <w:szCs w:val="22"/>
        </w:rPr>
        <w:t xml:space="preserve">sidiaries and related companies. </w:t>
      </w:r>
      <w:r>
        <w:rPr>
          <w:rFonts w:ascii="Arial" w:hAnsi="Arial" w:cs="Arial"/>
          <w:sz w:val="22"/>
          <w:szCs w:val="22"/>
        </w:rPr>
        <w:t>My conclusion is not modified in respect of this matter.</w:t>
      </w:r>
    </w:p>
    <w:p w14:paraId="7DDD85FD" w14:textId="77777777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</w:p>
    <w:p w14:paraId="366A4202" w14:textId="77777777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</w:p>
    <w:p w14:paraId="25730D63" w14:textId="77777777" w:rsidR="00821C7A" w:rsidRDefault="00821C7A" w:rsidP="00821C7A">
      <w:pPr>
        <w:spacing w:before="80" w:after="80" w:line="360" w:lineRule="exact"/>
        <w:rPr>
          <w:rFonts w:ascii="Arial" w:hAnsi="Arial"/>
          <w:sz w:val="22"/>
          <w:szCs w:val="22"/>
        </w:rPr>
      </w:pPr>
    </w:p>
    <w:p w14:paraId="49D54D74" w14:textId="77777777" w:rsidR="00821C7A" w:rsidRPr="005F6E3F" w:rsidRDefault="00821C7A" w:rsidP="00821C7A">
      <w:pPr>
        <w:tabs>
          <w:tab w:val="left" w:pos="720"/>
          <w:tab w:val="center" w:pos="6120"/>
        </w:tabs>
        <w:spacing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Naraya Srisukh</w:t>
      </w:r>
    </w:p>
    <w:p w14:paraId="170947B7" w14:textId="77777777" w:rsidR="00821C7A" w:rsidRPr="00FD0F71" w:rsidRDefault="00821C7A" w:rsidP="006C1634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0"/>
          <w:szCs w:val="20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Pr="00A97801">
        <w:rPr>
          <w:rFonts w:ascii="Arial" w:hAnsi="Arial"/>
          <w:sz w:val="22"/>
          <w:szCs w:val="22"/>
        </w:rPr>
        <w:t>9188</w:t>
      </w:r>
    </w:p>
    <w:p w14:paraId="5A10F286" w14:textId="77777777" w:rsidR="00821C7A" w:rsidRPr="006D15C9" w:rsidRDefault="00821C7A" w:rsidP="00821C7A">
      <w:pPr>
        <w:spacing w:before="12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5734DD9D" w14:textId="77777777" w:rsidR="00821C7A" w:rsidRPr="00124FCF" w:rsidRDefault="00821C7A" w:rsidP="00821C7A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>
        <w:rPr>
          <w:rFonts w:ascii="Arial" w:hAnsi="Arial"/>
          <w:sz w:val="22"/>
          <w:szCs w:val="22"/>
        </w:rPr>
        <w:t>13 August 2025</w:t>
      </w:r>
    </w:p>
    <w:p w14:paraId="2DAFE8E4" w14:textId="77777777" w:rsidR="00821C7A" w:rsidRPr="00821C7A" w:rsidRDefault="00821C7A"/>
    <w:sectPr w:rsidR="00821C7A" w:rsidRPr="00821C7A" w:rsidSect="00821C7A">
      <w:headerReference w:type="default" r:id="rId8"/>
      <w:footerReference w:type="even" r:id="rId9"/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8C23" w14:textId="77777777" w:rsidR="006C1634" w:rsidRDefault="006C1634">
      <w:r>
        <w:separator/>
      </w:r>
    </w:p>
  </w:endnote>
  <w:endnote w:type="continuationSeparator" w:id="0">
    <w:p w14:paraId="2425D1EF" w14:textId="77777777" w:rsidR="006C1634" w:rsidRDefault="006C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ABFC" w14:textId="77777777" w:rsidR="006C1634" w:rsidRDefault="006C1634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36FCB60" w14:textId="77777777" w:rsidR="006C1634" w:rsidRDefault="006C1634">
    <w:pPr>
      <w:pStyle w:val="Footer"/>
      <w:framePr w:wrap="around" w:vAnchor="text" w:hAnchor="margin" w:xAlign="center" w:y="1"/>
      <w:ind w:right="360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12D9D9C6" w14:textId="77777777" w:rsidR="006C1634" w:rsidRDefault="006C1634">
    <w:pPr>
      <w:pStyle w:val="Footer"/>
      <w:framePr w:wrap="around" w:vAnchor="text" w:hAnchor="margin" w:xAlign="center" w:y="1"/>
      <w:ind w:right="360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4A8447BD" w14:textId="77777777" w:rsidR="006C1634" w:rsidRDefault="006C1634">
    <w:pPr>
      <w:pStyle w:val="Footer"/>
      <w:framePr w:wrap="around" w:vAnchor="text" w:hAnchor="margin" w:xAlign="center" w:y="1"/>
      <w:ind w:right="360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4FC0EA16" w14:textId="77777777" w:rsidR="006C1634" w:rsidRDefault="006C16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55F1" w14:textId="77777777" w:rsidR="006C1634" w:rsidRPr="00984F0D" w:rsidRDefault="006C1634" w:rsidP="00984F0D">
    <w:pPr>
      <w:pStyle w:val="Footer"/>
      <w:framePr w:wrap="around" w:vAnchor="text" w:hAnchor="margin" w:xAlign="center" w:y="1"/>
      <w:jc w:val="right"/>
      <w:rPr>
        <w:rStyle w:val="PageNumber"/>
        <w:rFonts w:ascii="Arial" w:eastAsiaTheme="majorEastAsia" w:hAnsi="Arial"/>
        <w:sz w:val="22"/>
        <w:szCs w:val="22"/>
      </w:rPr>
    </w:pPr>
    <w:r w:rsidRPr="00984F0D">
      <w:rPr>
        <w:rStyle w:val="PageNumber"/>
        <w:rFonts w:ascii="Arial" w:eastAsiaTheme="majorEastAsia" w:hAnsi="Arial"/>
        <w:sz w:val="22"/>
        <w:szCs w:val="22"/>
      </w:rPr>
      <w:fldChar w:fldCharType="begin"/>
    </w:r>
    <w:r w:rsidRPr="00984F0D">
      <w:rPr>
        <w:rStyle w:val="PageNumber"/>
        <w:rFonts w:ascii="Arial" w:eastAsiaTheme="majorEastAsia" w:hAnsi="Arial"/>
        <w:sz w:val="22"/>
        <w:szCs w:val="22"/>
      </w:rPr>
      <w:instrText xml:space="preserve">PAGE  </w:instrText>
    </w:r>
    <w:r w:rsidRPr="00984F0D">
      <w:rPr>
        <w:rStyle w:val="PageNumber"/>
        <w:rFonts w:ascii="Arial" w:eastAsiaTheme="majorEastAsia" w:hAnsi="Arial"/>
        <w:sz w:val="22"/>
        <w:szCs w:val="22"/>
      </w:rPr>
      <w:fldChar w:fldCharType="separate"/>
    </w:r>
    <w:r>
      <w:rPr>
        <w:rStyle w:val="PageNumber"/>
        <w:rFonts w:ascii="Arial" w:eastAsiaTheme="majorEastAsia" w:hAnsi="Arial"/>
        <w:noProof/>
        <w:sz w:val="22"/>
        <w:szCs w:val="22"/>
      </w:rPr>
      <w:t>2</w:t>
    </w:r>
    <w:r w:rsidRPr="00984F0D">
      <w:rPr>
        <w:rStyle w:val="PageNumber"/>
        <w:rFonts w:ascii="Arial" w:eastAsiaTheme="majorEastAsia" w:hAnsi="Arial"/>
        <w:sz w:val="22"/>
        <w:szCs w:val="22"/>
      </w:rPr>
      <w:fldChar w:fldCharType="end"/>
    </w:r>
    <w:r w:rsidRPr="00984F0D">
      <w:rPr>
        <w:rStyle w:val="PageNumber"/>
        <w:rFonts w:ascii="Arial" w:eastAsiaTheme="majorEastAsia" w:hAnsi="Arial"/>
        <w:sz w:val="22"/>
        <w:szCs w:val="22"/>
      </w:rPr>
      <w:t xml:space="preserve">  </w:t>
    </w:r>
  </w:p>
  <w:p w14:paraId="5671FCCE" w14:textId="77777777" w:rsidR="006C1634" w:rsidRDefault="006C1634" w:rsidP="00984F0D">
    <w:pPr>
      <w:pStyle w:val="Footer"/>
      <w:framePr w:wrap="around" w:vAnchor="text" w:hAnchor="margin" w:xAlign="center" w:y="1"/>
      <w:ind w:right="-60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3F048" w14:textId="77777777" w:rsidR="006C1634" w:rsidRDefault="006C1634" w:rsidP="0089558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0255CEE7" w14:textId="77777777" w:rsidR="006C1634" w:rsidRDefault="006C1634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2286" w14:textId="77777777" w:rsidR="006C1634" w:rsidRPr="00D75A7B" w:rsidRDefault="006C1634" w:rsidP="00895583">
    <w:pPr>
      <w:pStyle w:val="Footer"/>
      <w:framePr w:wrap="around" w:vAnchor="text" w:hAnchor="margin" w:xAlign="right" w:y="1"/>
      <w:jc w:val="center"/>
      <w:rPr>
        <w:rStyle w:val="PageNumber"/>
        <w:rFonts w:ascii="Arial" w:eastAsia="Arial Unicode MS" w:hAnsi="Arial" w:cs="Arial Unicode MS"/>
        <w:sz w:val="22"/>
        <w:szCs w:val="22"/>
      </w:rPr>
    </w:pPr>
    <w:r w:rsidRPr="00D75A7B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fldChar w:fldCharType="begin"/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instrText xml:space="preserve">PAGE  </w:instrText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fldChar w:fldCharType="separate"/>
    </w:r>
    <w:r>
      <w:rPr>
        <w:rStyle w:val="PageNumber"/>
        <w:rFonts w:ascii="Arial" w:eastAsia="Arial Unicode MS" w:hAnsi="Arial" w:cs="Arial Unicode MS"/>
        <w:noProof/>
        <w:sz w:val="22"/>
        <w:szCs w:val="22"/>
      </w:rPr>
      <w:t>2</w:t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fldChar w:fldCharType="end"/>
    </w:r>
    <w:r w:rsidRPr="00D75A7B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3E6160CC" w14:textId="77777777" w:rsidR="006C1634" w:rsidRDefault="006C1634">
    <w:pPr>
      <w:pStyle w:val="Footer"/>
      <w:ind w:right="360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B2DF" w14:textId="77777777" w:rsidR="006C1634" w:rsidRPr="00270F16" w:rsidRDefault="006C1634">
    <w:pPr>
      <w:pStyle w:val="Foot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2</w:t>
    </w:r>
  </w:p>
  <w:p w14:paraId="3CF00FE5" w14:textId="77777777" w:rsidR="006C1634" w:rsidRDefault="006C1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1DC9" w14:textId="77777777" w:rsidR="006C1634" w:rsidRDefault="006C1634">
      <w:r>
        <w:separator/>
      </w:r>
    </w:p>
  </w:footnote>
  <w:footnote w:type="continuationSeparator" w:id="0">
    <w:p w14:paraId="1EF5DBE7" w14:textId="77777777" w:rsidR="006C1634" w:rsidRDefault="006C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61E0" w14:textId="77777777" w:rsidR="006C1634" w:rsidRPr="00547F23" w:rsidRDefault="006C1634" w:rsidP="00895583">
    <w:pPr>
      <w:pStyle w:val="Header"/>
      <w:jc w:val="right"/>
      <w:rPr>
        <w:rFonts w:ascii="Arial" w:hAnsi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7A"/>
    <w:rsid w:val="00255488"/>
    <w:rsid w:val="0048212E"/>
    <w:rsid w:val="006C1634"/>
    <w:rsid w:val="00701C05"/>
    <w:rsid w:val="00731134"/>
    <w:rsid w:val="0077294E"/>
    <w:rsid w:val="007D18C4"/>
    <w:rsid w:val="00821C7A"/>
    <w:rsid w:val="009A3C32"/>
    <w:rsid w:val="00CF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716AB"/>
  <w15:chartTrackingRefBased/>
  <w15:docId w15:val="{566209C6-A997-4293-884D-410B63EE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C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1C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821C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C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1C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1C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1C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1C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1C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1C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1C7A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1C7A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1C7A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1C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1C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1C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1C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1C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1C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1C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21C7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1C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21C7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21C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1C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1C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1C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1C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1C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1C7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821C7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1C7A"/>
    <w:rPr>
      <w:rFonts w:ascii="Times New Roman" w:eastAsia="Times New Roman" w:hAnsi="Tms Rmn" w:cs="Angsana New"/>
      <w:kern w:val="0"/>
      <w:szCs w:val="24"/>
      <w14:ligatures w14:val="none"/>
    </w:rPr>
  </w:style>
  <w:style w:type="character" w:styleId="PageNumber">
    <w:name w:val="page number"/>
    <w:basedOn w:val="DefaultParagraphFont"/>
    <w:rsid w:val="00821C7A"/>
  </w:style>
  <w:style w:type="paragraph" w:styleId="Header">
    <w:name w:val="header"/>
    <w:basedOn w:val="Normal"/>
    <w:link w:val="HeaderChar"/>
    <w:rsid w:val="00821C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21C7A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BodyTextIndent3">
    <w:name w:val="Body Text Indent 3"/>
    <w:basedOn w:val="Normal"/>
    <w:link w:val="BodyTextIndent3Char"/>
    <w:rsid w:val="00821C7A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21C7A"/>
    <w:rPr>
      <w:rFonts w:ascii="Angsana New" w:eastAsia="Times New Roman" w:hAnsi="Angsana New" w:cs="Angsana New"/>
      <w:kern w:val="0"/>
      <w:sz w:val="34"/>
      <w:szCs w:val="34"/>
      <w14:ligatures w14:val="none"/>
    </w:rPr>
  </w:style>
  <w:style w:type="paragraph" w:customStyle="1" w:styleId="ps-000-normal">
    <w:name w:val="ps-000-normal"/>
    <w:basedOn w:val="Normal"/>
    <w:rsid w:val="00821C7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Sunantha Sawandwangkung</cp:lastModifiedBy>
  <cp:revision>6</cp:revision>
  <cp:lastPrinted>2025-07-30T14:02:00Z</cp:lastPrinted>
  <dcterms:created xsi:type="dcterms:W3CDTF">2025-07-02T07:48:00Z</dcterms:created>
  <dcterms:modified xsi:type="dcterms:W3CDTF">2025-07-30T14:02:00Z</dcterms:modified>
</cp:coreProperties>
</file>