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4DCE4" w14:textId="2F754D16" w:rsidR="00DB308D" w:rsidRPr="00C00DA9" w:rsidRDefault="00DB308D" w:rsidP="004C2111">
      <w:pPr>
        <w:pStyle w:val="Reference"/>
        <w:rPr>
          <w:rFonts w:cstheme="minorBidi"/>
          <w:lang w:val="en-US" w:bidi="th-TH"/>
        </w:rPr>
      </w:pPr>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989D240" w14:textId="77777777" w:rsidR="00D35E12" w:rsidRDefault="00D35E12" w:rsidP="003A0DF7">
      <w:pPr>
        <w:spacing w:after="0" w:line="360" w:lineRule="auto"/>
        <w:rPr>
          <w:rFonts w:ascii="Arial" w:hAnsi="Arial"/>
          <w:b/>
          <w:bCs/>
          <w:sz w:val="19"/>
          <w:szCs w:val="19"/>
        </w:rPr>
      </w:pPr>
    </w:p>
    <w:p w14:paraId="51598590" w14:textId="77777777" w:rsidR="00D35E12" w:rsidRDefault="00D35E12" w:rsidP="00D35E12">
      <w:pPr>
        <w:spacing w:after="0" w:line="360" w:lineRule="auto"/>
        <w:rPr>
          <w:rFonts w:ascii="Arial" w:hAnsi="Arial"/>
          <w:b/>
          <w:bCs/>
          <w:sz w:val="19"/>
          <w:szCs w:val="19"/>
        </w:rPr>
      </w:pPr>
    </w:p>
    <w:p w14:paraId="64A4DB86" w14:textId="58C91AA5" w:rsidR="006932D7" w:rsidRPr="00656078" w:rsidRDefault="006932D7" w:rsidP="00656078">
      <w:pPr>
        <w:spacing w:after="0" w:line="360" w:lineRule="auto"/>
        <w:rPr>
          <w:rFonts w:ascii="Arial" w:hAnsi="Arial"/>
          <w:b/>
          <w:bCs/>
          <w:sz w:val="19"/>
          <w:szCs w:val="19"/>
          <w:lang w:val="en-US"/>
        </w:rPr>
      </w:pPr>
      <w:r w:rsidRPr="00656078">
        <w:rPr>
          <w:rFonts w:ascii="Arial" w:hAnsi="Arial"/>
          <w:b/>
          <w:bCs/>
          <w:sz w:val="19"/>
          <w:szCs w:val="19"/>
        </w:rPr>
        <w:t xml:space="preserve">To </w:t>
      </w:r>
      <w:r w:rsidR="009F4C7B" w:rsidRPr="00656078">
        <w:rPr>
          <w:rFonts w:ascii="Arial" w:hAnsi="Arial"/>
          <w:b/>
          <w:bCs/>
          <w:sz w:val="19"/>
          <w:szCs w:val="19"/>
        </w:rPr>
        <w:t xml:space="preserve">the </w:t>
      </w:r>
      <w:r w:rsidR="00CF3776" w:rsidRPr="00656078">
        <w:rPr>
          <w:rFonts w:ascii="Arial" w:hAnsi="Arial"/>
          <w:b/>
          <w:bCs/>
          <w:sz w:val="19"/>
          <w:szCs w:val="19"/>
          <w:lang w:bidi="th-TH"/>
        </w:rPr>
        <w:t>Shareholders</w:t>
      </w:r>
      <w:r w:rsidR="009F4C7B" w:rsidRPr="00656078">
        <w:rPr>
          <w:rFonts w:ascii="Arial" w:hAnsi="Arial"/>
          <w:b/>
          <w:bCs/>
          <w:sz w:val="19"/>
          <w:szCs w:val="19"/>
        </w:rPr>
        <w:t xml:space="preserve"> </w:t>
      </w:r>
      <w:r w:rsidR="009534C6" w:rsidRPr="00656078">
        <w:rPr>
          <w:rFonts w:ascii="Arial" w:hAnsi="Arial" w:cs="Browallia New"/>
          <w:b/>
          <w:bCs/>
          <w:sz w:val="19"/>
          <w:szCs w:val="24"/>
          <w:lang w:val="en-US" w:bidi="th-TH"/>
        </w:rPr>
        <w:t xml:space="preserve">and the </w:t>
      </w:r>
      <w:r w:rsidR="009F4C7B" w:rsidRPr="00656078">
        <w:rPr>
          <w:rFonts w:ascii="Arial" w:hAnsi="Arial"/>
          <w:b/>
          <w:bCs/>
          <w:sz w:val="19"/>
          <w:szCs w:val="19"/>
          <w:lang w:val="en-US" w:bidi="th-TH"/>
        </w:rPr>
        <w:t>Board of Director</w:t>
      </w:r>
      <w:r w:rsidR="00380FA7" w:rsidRPr="00656078">
        <w:rPr>
          <w:rFonts w:ascii="Arial" w:hAnsi="Arial"/>
          <w:b/>
          <w:bCs/>
          <w:sz w:val="19"/>
          <w:szCs w:val="19"/>
          <w:lang w:val="en-US" w:bidi="th-TH"/>
        </w:rPr>
        <w:t>s</w:t>
      </w:r>
      <w:r w:rsidR="00CF3776" w:rsidRPr="00656078">
        <w:rPr>
          <w:rFonts w:ascii="Arial" w:hAnsi="Arial"/>
          <w:b/>
          <w:bCs/>
          <w:sz w:val="19"/>
          <w:szCs w:val="19"/>
          <w:lang w:bidi="th-TH"/>
        </w:rPr>
        <w:t xml:space="preserve"> </w:t>
      </w:r>
      <w:r w:rsidRPr="00656078">
        <w:rPr>
          <w:rFonts w:ascii="Arial" w:hAnsi="Arial"/>
          <w:b/>
          <w:bCs/>
          <w:sz w:val="19"/>
          <w:szCs w:val="19"/>
        </w:rPr>
        <w:t xml:space="preserve">of </w:t>
      </w:r>
      <w:r w:rsidR="00656078" w:rsidRPr="00656078">
        <w:rPr>
          <w:rFonts w:ascii="Arial" w:hAnsi="Arial"/>
          <w:b/>
          <w:bCs/>
          <w:sz w:val="19"/>
          <w:szCs w:val="19"/>
          <w:lang w:val="en-US"/>
        </w:rPr>
        <w:t>RSXYZ Public Company Limited</w:t>
      </w:r>
    </w:p>
    <w:p w14:paraId="0E14A70E" w14:textId="77777777" w:rsidR="00656078" w:rsidRPr="0055164B" w:rsidRDefault="00656078" w:rsidP="00656078">
      <w:pPr>
        <w:spacing w:after="0" w:line="360" w:lineRule="auto"/>
        <w:rPr>
          <w:rFonts w:ascii="Arial" w:hAnsi="Arial"/>
          <w:sz w:val="19"/>
          <w:szCs w:val="19"/>
          <w:rtl/>
          <w:cs/>
        </w:rPr>
      </w:pPr>
    </w:p>
    <w:p w14:paraId="2C50D065" w14:textId="29079BDC" w:rsidR="009F4C7B" w:rsidRPr="00FE6083" w:rsidRDefault="00963958" w:rsidP="00F17584">
      <w:pPr>
        <w:pStyle w:val="BodyText"/>
        <w:spacing w:after="0" w:line="360" w:lineRule="auto"/>
        <w:jc w:val="thaiDistribute"/>
        <w:rPr>
          <w:rFonts w:ascii="Arial" w:hAnsi="Arial"/>
          <w:sz w:val="19"/>
          <w:szCs w:val="19"/>
        </w:rPr>
      </w:pPr>
      <w:bookmarkStart w:id="1" w:name="_Hlk186221416"/>
      <w:bookmarkStart w:id="2" w:name="_Hlk187150995"/>
      <w:r w:rsidRPr="004D2CC3">
        <w:rPr>
          <w:rFonts w:ascii="Arial" w:hAnsi="Arial"/>
          <w:sz w:val="19"/>
          <w:szCs w:val="19"/>
        </w:rPr>
        <w:t>I have reviewed the interim consolidated and separate financial information of</w:t>
      </w:r>
      <w:r w:rsidRPr="004D2CC3">
        <w:rPr>
          <w:rFonts w:ascii="Arial" w:hAnsi="Arial" w:cstheme="minorBidi" w:hint="cs"/>
          <w:sz w:val="19"/>
          <w:szCs w:val="19"/>
          <w:cs/>
          <w:lang w:bidi="th-TH"/>
        </w:rPr>
        <w:t xml:space="preserve"> </w:t>
      </w:r>
      <w:r w:rsidR="00656078" w:rsidRPr="00656078">
        <w:rPr>
          <w:rFonts w:ascii="Arial" w:hAnsi="Arial" w:cstheme="minorBidi"/>
          <w:sz w:val="19"/>
          <w:szCs w:val="19"/>
          <w:lang w:val="en-US" w:bidi="th-TH"/>
        </w:rPr>
        <w:t>RSXYZ Public Company Limited</w:t>
      </w:r>
      <w:bookmarkEnd w:id="1"/>
      <w:bookmarkEnd w:id="2"/>
      <w:r w:rsidRPr="004D2CC3">
        <w:rPr>
          <w:rFonts w:ascii="Arial" w:hAnsi="Arial"/>
          <w:sz w:val="19"/>
          <w:szCs w:val="19"/>
        </w:rPr>
        <w:t xml:space="preserve"> </w:t>
      </w:r>
      <w:r>
        <w:rPr>
          <w:rFonts w:ascii="Arial" w:hAnsi="Arial"/>
          <w:sz w:val="19"/>
          <w:szCs w:val="19"/>
        </w:rPr>
        <w:t xml:space="preserve">(the Company) </w:t>
      </w:r>
      <w:r w:rsidRPr="004D2CC3">
        <w:rPr>
          <w:rFonts w:ascii="Arial" w:hAnsi="Arial"/>
          <w:sz w:val="19"/>
          <w:szCs w:val="19"/>
        </w:rPr>
        <w:t>and</w:t>
      </w:r>
      <w:r w:rsidRPr="004D2CC3">
        <w:rPr>
          <w:rFonts w:ascii="Arial" w:hAnsi="Arial" w:cstheme="minorBidi" w:hint="cs"/>
          <w:sz w:val="19"/>
          <w:szCs w:val="24"/>
          <w:cs/>
          <w:lang w:bidi="th-TH"/>
        </w:rPr>
        <w:t xml:space="preserve"> </w:t>
      </w:r>
      <w:r w:rsidRPr="004D2CC3">
        <w:rPr>
          <w:rFonts w:ascii="Arial" w:hAnsi="Arial" w:cstheme="minorBidi"/>
          <w:sz w:val="19"/>
          <w:szCs w:val="24"/>
          <w:lang w:val="en-US" w:bidi="th-TH"/>
        </w:rPr>
        <w:t>its</w:t>
      </w:r>
      <w:r w:rsidRPr="004D2CC3">
        <w:rPr>
          <w:rFonts w:ascii="Arial" w:hAnsi="Arial"/>
          <w:sz w:val="19"/>
          <w:szCs w:val="19"/>
        </w:rPr>
        <w:t xml:space="preserve"> subsidiaries</w:t>
      </w:r>
      <w:r w:rsidRPr="004D2CC3">
        <w:rPr>
          <w:rFonts w:ascii="Arial" w:hAnsi="Arial" w:cstheme="minorBidi" w:hint="cs"/>
          <w:sz w:val="19"/>
          <w:szCs w:val="24"/>
          <w:cs/>
          <w:lang w:bidi="th-TH"/>
        </w:rPr>
        <w:t xml:space="preserve"> </w:t>
      </w:r>
      <w:r w:rsidRPr="004D2CC3">
        <w:rPr>
          <w:rFonts w:ascii="Arial" w:hAnsi="Arial"/>
          <w:sz w:val="19"/>
          <w:szCs w:val="19"/>
        </w:rPr>
        <w:t>(</w:t>
      </w:r>
      <w:r>
        <w:rPr>
          <w:rFonts w:ascii="Arial" w:hAnsi="Arial"/>
          <w:sz w:val="19"/>
          <w:szCs w:val="19"/>
        </w:rPr>
        <w:t>t</w:t>
      </w:r>
      <w:r w:rsidRPr="004D2CC3">
        <w:rPr>
          <w:rFonts w:ascii="Arial" w:hAnsi="Arial"/>
          <w:sz w:val="19"/>
          <w:szCs w:val="19"/>
        </w:rPr>
        <w:t xml:space="preserve">he Group). These comprise the consolidated and separate statements of financial position as </w:t>
      </w:r>
      <w:proofErr w:type="gramStart"/>
      <w:r w:rsidRPr="004D2CC3">
        <w:rPr>
          <w:rFonts w:ascii="Arial" w:hAnsi="Arial"/>
          <w:sz w:val="19"/>
          <w:szCs w:val="19"/>
        </w:rPr>
        <w:t>at</w:t>
      </w:r>
      <w:proofErr w:type="gramEnd"/>
      <w:r w:rsidRPr="004D2CC3">
        <w:rPr>
          <w:rFonts w:ascii="Arial" w:hAnsi="Arial" w:cstheme="minorBidi" w:hint="cs"/>
          <w:sz w:val="19"/>
          <w:szCs w:val="24"/>
          <w:cs/>
          <w:lang w:bidi="th-TH"/>
        </w:rPr>
        <w:t xml:space="preserve"> </w:t>
      </w:r>
      <w:r w:rsidRPr="00452FF2">
        <w:rPr>
          <w:rFonts w:ascii="Arial" w:hAnsi="Arial" w:cstheme="minorBidi"/>
          <w:sz w:val="19"/>
          <w:szCs w:val="24"/>
          <w:lang w:val="en-US" w:bidi="th-TH"/>
        </w:rPr>
        <w:t>3</w:t>
      </w:r>
      <w:r w:rsidR="00927E89">
        <w:rPr>
          <w:rFonts w:ascii="Arial" w:hAnsi="Arial" w:cstheme="minorBidi"/>
          <w:sz w:val="19"/>
          <w:szCs w:val="24"/>
          <w:lang w:val="en-US" w:bidi="th-TH"/>
        </w:rPr>
        <w:t>0</w:t>
      </w:r>
      <w:r w:rsidRPr="00452FF2">
        <w:rPr>
          <w:rFonts w:ascii="Arial" w:hAnsi="Arial" w:cstheme="minorBidi"/>
          <w:sz w:val="19"/>
          <w:szCs w:val="24"/>
          <w:lang w:val="en-US" w:bidi="th-TH"/>
        </w:rPr>
        <w:t xml:space="preserve"> </w:t>
      </w:r>
      <w:r w:rsidR="00F63175">
        <w:rPr>
          <w:rFonts w:ascii="Arial" w:hAnsi="Arial" w:cstheme="minorBidi"/>
          <w:sz w:val="19"/>
          <w:szCs w:val="24"/>
          <w:lang w:val="en-US" w:bidi="th-TH"/>
        </w:rPr>
        <w:t>September</w:t>
      </w:r>
      <w:r>
        <w:rPr>
          <w:rFonts w:ascii="Arial" w:hAnsi="Arial" w:cstheme="minorBidi"/>
          <w:sz w:val="19"/>
          <w:szCs w:val="24"/>
          <w:lang w:val="en-US" w:bidi="th-TH"/>
        </w:rPr>
        <w:t xml:space="preserve"> </w:t>
      </w:r>
      <w:r w:rsidRPr="004D2CC3">
        <w:rPr>
          <w:rFonts w:ascii="Arial" w:hAnsi="Arial"/>
          <w:sz w:val="19"/>
          <w:szCs w:val="19"/>
          <w:lang w:val="en-US"/>
        </w:rPr>
        <w:t>202</w:t>
      </w:r>
      <w:r w:rsidR="00E56DF4">
        <w:rPr>
          <w:rFonts w:ascii="Arial" w:hAnsi="Arial"/>
          <w:sz w:val="19"/>
          <w:szCs w:val="19"/>
          <w:lang w:val="en-US"/>
        </w:rPr>
        <w:t>5</w:t>
      </w:r>
      <w:r w:rsidRPr="004D2CC3">
        <w:rPr>
          <w:rFonts w:ascii="Arial" w:hAnsi="Arial"/>
          <w:sz w:val="19"/>
          <w:szCs w:val="19"/>
        </w:rPr>
        <w:t>, the related consolidated and separate statements of comprehensive income</w:t>
      </w:r>
      <w:r w:rsidR="00507317">
        <w:rPr>
          <w:rFonts w:ascii="Arial" w:hAnsi="Arial"/>
          <w:sz w:val="19"/>
          <w:szCs w:val="19"/>
        </w:rPr>
        <w:t xml:space="preserve"> for </w:t>
      </w:r>
      <w:proofErr w:type="spellStart"/>
      <w:r w:rsidR="00BF2B91">
        <w:rPr>
          <w:rFonts w:ascii="Arial" w:hAnsi="Arial"/>
          <w:sz w:val="19"/>
          <w:szCs w:val="19"/>
        </w:rPr>
        <w:t>th</w:t>
      </w:r>
      <w:proofErr w:type="spellEnd"/>
      <w:r w:rsidR="00FE651C">
        <w:rPr>
          <w:rFonts w:ascii="Arial" w:hAnsi="Arial" w:cs="Browallia New"/>
          <w:sz w:val="19"/>
          <w:szCs w:val="24"/>
          <w:lang w:val="en-US" w:bidi="th-TH"/>
        </w:rPr>
        <w:t>r</w:t>
      </w:r>
      <w:r w:rsidR="00BF2B91">
        <w:rPr>
          <w:rFonts w:ascii="Arial" w:hAnsi="Arial"/>
          <w:sz w:val="19"/>
          <w:szCs w:val="19"/>
        </w:rPr>
        <w:t xml:space="preserve">ee-month and </w:t>
      </w:r>
      <w:r w:rsidR="00F63175">
        <w:rPr>
          <w:rFonts w:ascii="Arial" w:hAnsi="Arial"/>
          <w:sz w:val="19"/>
          <w:szCs w:val="19"/>
        </w:rPr>
        <w:t>nine</w:t>
      </w:r>
      <w:r w:rsidR="00BF2B91">
        <w:rPr>
          <w:rFonts w:ascii="Arial" w:hAnsi="Arial"/>
          <w:sz w:val="19"/>
          <w:szCs w:val="19"/>
        </w:rPr>
        <w:t xml:space="preserve">-month </w:t>
      </w:r>
      <w:r w:rsidR="00481630">
        <w:rPr>
          <w:rFonts w:ascii="Arial" w:hAnsi="Arial"/>
          <w:sz w:val="19"/>
          <w:szCs w:val="19"/>
        </w:rPr>
        <w:t>period</w:t>
      </w:r>
      <w:r w:rsidR="00BF2B91">
        <w:rPr>
          <w:rFonts w:ascii="Arial" w:hAnsi="Arial"/>
          <w:sz w:val="19"/>
          <w:szCs w:val="19"/>
        </w:rPr>
        <w:t xml:space="preserve"> end</w:t>
      </w:r>
      <w:r w:rsidR="001A56F6">
        <w:rPr>
          <w:rFonts w:ascii="Arial" w:hAnsi="Arial"/>
          <w:sz w:val="19"/>
          <w:szCs w:val="19"/>
        </w:rPr>
        <w:t>ed</w:t>
      </w:r>
      <w:r w:rsidR="00B16278">
        <w:rPr>
          <w:rFonts w:ascii="Arial" w:hAnsi="Arial"/>
          <w:sz w:val="19"/>
          <w:szCs w:val="19"/>
        </w:rPr>
        <w:t xml:space="preserve"> </w:t>
      </w:r>
      <w:r w:rsidR="00FE6083">
        <w:rPr>
          <w:rFonts w:ascii="Arial" w:hAnsi="Arial"/>
          <w:sz w:val="19"/>
          <w:szCs w:val="19"/>
        </w:rPr>
        <w:t xml:space="preserve">           </w:t>
      </w:r>
      <w:r w:rsidR="00B16278">
        <w:rPr>
          <w:rFonts w:ascii="Arial" w:hAnsi="Arial"/>
          <w:sz w:val="19"/>
          <w:szCs w:val="19"/>
        </w:rPr>
        <w:t>30 September 2025</w:t>
      </w:r>
      <w:r w:rsidR="00A0276B">
        <w:rPr>
          <w:rFonts w:ascii="Arial" w:hAnsi="Arial"/>
          <w:sz w:val="19"/>
          <w:szCs w:val="19"/>
        </w:rPr>
        <w:t>,</w:t>
      </w:r>
      <w:r w:rsidRPr="004D2CC3">
        <w:rPr>
          <w:rFonts w:ascii="Arial" w:hAnsi="Arial"/>
          <w:sz w:val="19"/>
          <w:szCs w:val="19"/>
        </w:rPr>
        <w:t xml:space="preserve"> </w:t>
      </w:r>
      <w:r w:rsidR="00B16278">
        <w:rPr>
          <w:rFonts w:ascii="Arial" w:hAnsi="Arial"/>
          <w:sz w:val="19"/>
          <w:szCs w:val="19"/>
        </w:rPr>
        <w:t>the consolidated</w:t>
      </w:r>
      <w:r w:rsidR="00D93DC5">
        <w:rPr>
          <w:rFonts w:ascii="Arial" w:hAnsi="Arial"/>
          <w:sz w:val="19"/>
          <w:szCs w:val="19"/>
        </w:rPr>
        <w:t xml:space="preserve"> and separate statement of</w:t>
      </w:r>
      <w:r w:rsidRPr="004D2CC3">
        <w:rPr>
          <w:rFonts w:ascii="Arial" w:hAnsi="Arial"/>
          <w:sz w:val="19"/>
          <w:szCs w:val="19"/>
        </w:rPr>
        <w:t xml:space="preserve"> changes in</w:t>
      </w:r>
      <w:r>
        <w:rPr>
          <w:rFonts w:ascii="Arial" w:hAnsi="Arial"/>
          <w:sz w:val="19"/>
          <w:szCs w:val="19"/>
        </w:rPr>
        <w:t xml:space="preserve"> </w:t>
      </w:r>
      <w:r w:rsidRPr="004D2CC3">
        <w:rPr>
          <w:rFonts w:ascii="Arial" w:hAnsi="Arial"/>
          <w:sz w:val="19"/>
          <w:szCs w:val="19"/>
          <w:lang w:val="en-US"/>
        </w:rPr>
        <w:t xml:space="preserve">shareholders’ </w:t>
      </w:r>
      <w:r w:rsidRPr="004D2CC3">
        <w:rPr>
          <w:rFonts w:ascii="Arial" w:hAnsi="Arial"/>
          <w:sz w:val="19"/>
          <w:szCs w:val="19"/>
        </w:rPr>
        <w:t xml:space="preserve">equity, and cash flows </w:t>
      </w:r>
      <w:r w:rsidRPr="00C804CB">
        <w:rPr>
          <w:rFonts w:ascii="Arial" w:hAnsi="Arial"/>
          <w:sz w:val="19"/>
          <w:szCs w:val="19"/>
        </w:rPr>
        <w:t xml:space="preserve">for the </w:t>
      </w:r>
      <w:r w:rsidR="00F63175">
        <w:rPr>
          <w:rFonts w:ascii="Arial" w:hAnsi="Arial"/>
          <w:sz w:val="19"/>
          <w:szCs w:val="19"/>
        </w:rPr>
        <w:t>nine</w:t>
      </w:r>
      <w:r w:rsidRPr="00C804CB">
        <w:rPr>
          <w:rFonts w:ascii="Arial" w:hAnsi="Arial"/>
          <w:sz w:val="19"/>
          <w:szCs w:val="19"/>
        </w:rPr>
        <w:t xml:space="preserve">-month </w:t>
      </w:r>
      <w:r w:rsidRPr="00655FFC">
        <w:rPr>
          <w:rFonts w:ascii="Arial" w:hAnsi="Arial"/>
          <w:sz w:val="19"/>
          <w:szCs w:val="19"/>
        </w:rPr>
        <w:t>period then ended</w:t>
      </w:r>
      <w:r w:rsidRPr="004D2CC3">
        <w:rPr>
          <w:rFonts w:ascii="Arial" w:hAnsi="Arial"/>
          <w:sz w:val="19"/>
          <w:szCs w:val="19"/>
        </w:rPr>
        <w:t>,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A15DCB7" w14:textId="77777777" w:rsidR="0003082D" w:rsidRDefault="0003082D" w:rsidP="00C050FF">
      <w:pPr>
        <w:spacing w:after="0" w:line="360" w:lineRule="auto"/>
        <w:jc w:val="thaiDistribute"/>
        <w:rPr>
          <w:rFonts w:ascii="Arial" w:hAnsi="Arial"/>
          <w:sz w:val="20"/>
        </w:rPr>
      </w:pPr>
    </w:p>
    <w:p w14:paraId="52C83F5F" w14:textId="77777777" w:rsidR="004C5E6C" w:rsidRPr="00142432" w:rsidRDefault="004C5E6C" w:rsidP="00C050FF">
      <w:pPr>
        <w:spacing w:after="0" w:line="360" w:lineRule="auto"/>
        <w:jc w:val="thaiDistribute"/>
        <w:rPr>
          <w:rFonts w:ascii="Arial" w:hAnsi="Arial"/>
          <w:sz w:val="20"/>
        </w:rPr>
      </w:pPr>
    </w:p>
    <w:p w14:paraId="76DC61E1" w14:textId="77777777" w:rsidR="009F4C7B" w:rsidRPr="00656078" w:rsidRDefault="009F4C7B" w:rsidP="00D35E12">
      <w:pPr>
        <w:spacing w:after="0" w:line="360" w:lineRule="auto"/>
        <w:jc w:val="thaiDistribute"/>
        <w:rPr>
          <w:rFonts w:ascii="Arial" w:hAnsi="Arial"/>
          <w:b/>
          <w:bCs/>
          <w:sz w:val="19"/>
          <w:szCs w:val="19"/>
        </w:rPr>
      </w:pPr>
      <w:r w:rsidRPr="00656078">
        <w:rPr>
          <w:rFonts w:ascii="Arial" w:hAnsi="Arial"/>
          <w:b/>
          <w:bCs/>
          <w:sz w:val="19"/>
          <w:szCs w:val="19"/>
        </w:rPr>
        <w:t>Scope of Review</w:t>
      </w:r>
    </w:p>
    <w:p w14:paraId="7FA3F2D7" w14:textId="77777777" w:rsidR="009F4C7B" w:rsidRPr="004C5E6C" w:rsidRDefault="009F4C7B" w:rsidP="00D35E12">
      <w:pPr>
        <w:spacing w:after="0" w:line="360" w:lineRule="auto"/>
        <w:jc w:val="thaiDistribute"/>
        <w:rPr>
          <w:rFonts w:ascii="Arial" w:hAnsi="Arial"/>
          <w:sz w:val="28"/>
          <w:szCs w:val="28"/>
        </w:rPr>
      </w:pPr>
    </w:p>
    <w:p w14:paraId="3BA901BF" w14:textId="77777777" w:rsidR="00963958" w:rsidRPr="004D2CC3" w:rsidRDefault="00963958" w:rsidP="00963958">
      <w:pPr>
        <w:pStyle w:val="BodyText"/>
        <w:spacing w:after="0" w:line="360" w:lineRule="auto"/>
        <w:jc w:val="thaiDistribute"/>
        <w:rPr>
          <w:rFonts w:ascii="Arial" w:hAnsi="Arial"/>
          <w:sz w:val="19"/>
          <w:szCs w:val="19"/>
        </w:rPr>
      </w:pPr>
      <w:r w:rsidRPr="004D2CC3">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AFC16C3" w14:textId="3279E3B6" w:rsidR="0050782C" w:rsidRDefault="0050782C" w:rsidP="00D35E12">
      <w:pPr>
        <w:spacing w:after="0" w:line="360" w:lineRule="auto"/>
        <w:jc w:val="thaiDistribute"/>
        <w:rPr>
          <w:rFonts w:ascii="Arial" w:hAnsi="Arial"/>
          <w:sz w:val="19"/>
          <w:szCs w:val="19"/>
        </w:rPr>
      </w:pPr>
    </w:p>
    <w:p w14:paraId="21D9284D" w14:textId="77777777" w:rsidR="00197765" w:rsidRDefault="00197765" w:rsidP="00D35E12">
      <w:pPr>
        <w:spacing w:after="0" w:line="360" w:lineRule="auto"/>
        <w:jc w:val="thaiDistribute"/>
        <w:rPr>
          <w:rFonts w:ascii="Arial" w:hAnsi="Arial"/>
          <w:sz w:val="19"/>
          <w:szCs w:val="19"/>
        </w:rPr>
      </w:pPr>
    </w:p>
    <w:p w14:paraId="548892AE" w14:textId="77777777" w:rsidR="00FD324B" w:rsidRDefault="00FD324B" w:rsidP="00D35E12">
      <w:pPr>
        <w:spacing w:after="0" w:line="360" w:lineRule="auto"/>
        <w:jc w:val="thaiDistribute"/>
        <w:rPr>
          <w:rFonts w:ascii="Arial" w:hAnsi="Arial"/>
          <w:sz w:val="19"/>
          <w:szCs w:val="19"/>
        </w:rPr>
      </w:pPr>
    </w:p>
    <w:p w14:paraId="60F538ED" w14:textId="77777777" w:rsidR="00FD324B" w:rsidRDefault="00FD324B" w:rsidP="00D35E12">
      <w:pPr>
        <w:spacing w:after="0" w:line="360" w:lineRule="auto"/>
        <w:jc w:val="thaiDistribute"/>
        <w:rPr>
          <w:rFonts w:ascii="Arial" w:hAnsi="Arial"/>
          <w:sz w:val="19"/>
          <w:szCs w:val="19"/>
        </w:rPr>
      </w:pPr>
    </w:p>
    <w:p w14:paraId="1FFDE0FF" w14:textId="77777777" w:rsidR="00FD324B" w:rsidRDefault="00FD324B" w:rsidP="00D35E12">
      <w:pPr>
        <w:spacing w:after="0" w:line="360" w:lineRule="auto"/>
        <w:jc w:val="thaiDistribute"/>
        <w:rPr>
          <w:rFonts w:ascii="Arial" w:hAnsi="Arial"/>
          <w:sz w:val="19"/>
          <w:szCs w:val="19"/>
        </w:rPr>
      </w:pPr>
    </w:p>
    <w:p w14:paraId="3840495D" w14:textId="77777777" w:rsidR="00FD324B" w:rsidRDefault="00FD324B" w:rsidP="00D35E12">
      <w:pPr>
        <w:spacing w:after="0" w:line="360" w:lineRule="auto"/>
        <w:jc w:val="thaiDistribute"/>
        <w:rPr>
          <w:rFonts w:ascii="Arial" w:hAnsi="Arial"/>
          <w:sz w:val="19"/>
          <w:szCs w:val="19"/>
        </w:rPr>
      </w:pPr>
    </w:p>
    <w:p w14:paraId="7C8B9A18" w14:textId="77777777" w:rsidR="00197765" w:rsidRDefault="00197765" w:rsidP="006A118A">
      <w:pPr>
        <w:pStyle w:val="BodyText"/>
        <w:spacing w:after="0" w:line="360" w:lineRule="auto"/>
        <w:rPr>
          <w:rFonts w:ascii="Arial" w:hAnsi="Arial"/>
          <w:b/>
          <w:bCs/>
          <w:sz w:val="19"/>
          <w:szCs w:val="19"/>
        </w:rPr>
      </w:pPr>
    </w:p>
    <w:p w14:paraId="08E6D051" w14:textId="17AA5500" w:rsidR="006A118A" w:rsidRPr="00656078" w:rsidRDefault="006A118A" w:rsidP="006A118A">
      <w:pPr>
        <w:pStyle w:val="BodyText"/>
        <w:spacing w:after="0" w:line="360" w:lineRule="auto"/>
        <w:rPr>
          <w:rFonts w:ascii="Arial" w:hAnsi="Arial"/>
          <w:b/>
          <w:bCs/>
          <w:sz w:val="19"/>
          <w:szCs w:val="19"/>
        </w:rPr>
      </w:pPr>
      <w:r w:rsidRPr="00656078">
        <w:rPr>
          <w:rFonts w:ascii="Arial" w:hAnsi="Arial"/>
          <w:b/>
          <w:bCs/>
          <w:sz w:val="19"/>
          <w:szCs w:val="19"/>
        </w:rPr>
        <w:lastRenderedPageBreak/>
        <w:t>Conclusion</w:t>
      </w:r>
    </w:p>
    <w:p w14:paraId="19D27AE9" w14:textId="77777777" w:rsidR="006A118A" w:rsidRPr="00655DDC" w:rsidRDefault="006A118A" w:rsidP="006A118A">
      <w:pPr>
        <w:pStyle w:val="BodyText"/>
        <w:spacing w:after="0" w:line="360" w:lineRule="auto"/>
        <w:rPr>
          <w:rFonts w:ascii="Arial" w:hAnsi="Arial"/>
          <w:sz w:val="20"/>
        </w:rPr>
      </w:pPr>
    </w:p>
    <w:p w14:paraId="3AC1FB0F" w14:textId="77777777" w:rsidR="006A118A" w:rsidRPr="004D2CC3" w:rsidRDefault="006A118A" w:rsidP="006A118A">
      <w:pPr>
        <w:pStyle w:val="BodyText"/>
        <w:spacing w:after="0" w:line="360" w:lineRule="auto"/>
        <w:jc w:val="thaiDistribute"/>
        <w:rPr>
          <w:rFonts w:ascii="Arial" w:hAnsi="Arial"/>
          <w:sz w:val="19"/>
          <w:szCs w:val="19"/>
        </w:rPr>
      </w:pPr>
      <w:r w:rsidRPr="004D2CC3">
        <w:rPr>
          <w:rFonts w:ascii="Arial" w:hAnsi="Arial"/>
          <w:sz w:val="19"/>
          <w:szCs w:val="19"/>
        </w:rPr>
        <w:t>Based on my review, nothing has come to my attention that causes me to believe that the accompanying interim consolidated, and separate financial information is not prepared, in all material respects, in accordance with Thai Accounting Standard No. 34 “Interim Financial Reporting”.</w:t>
      </w:r>
    </w:p>
    <w:p w14:paraId="4C5235CD" w14:textId="77777777" w:rsidR="006A118A" w:rsidRPr="00655DDC" w:rsidRDefault="006A118A" w:rsidP="004273E7">
      <w:pPr>
        <w:pStyle w:val="BodyText"/>
        <w:spacing w:after="0" w:line="360" w:lineRule="auto"/>
        <w:rPr>
          <w:rFonts w:ascii="Arial" w:hAnsi="Arial"/>
          <w:b/>
          <w:bCs/>
          <w:sz w:val="20"/>
        </w:rPr>
      </w:pPr>
    </w:p>
    <w:p w14:paraId="75102297" w14:textId="77777777" w:rsidR="006A118A" w:rsidRDefault="006A118A" w:rsidP="006A118A">
      <w:pPr>
        <w:pStyle w:val="BodyText"/>
        <w:spacing w:after="0" w:line="360" w:lineRule="auto"/>
        <w:jc w:val="thaiDistribute"/>
        <w:rPr>
          <w:rFonts w:ascii="Arial" w:hAnsi="Arial"/>
          <w:sz w:val="19"/>
          <w:szCs w:val="19"/>
        </w:rPr>
      </w:pPr>
      <w:r>
        <w:rPr>
          <w:rFonts w:ascii="Arial" w:hAnsi="Arial"/>
          <w:b/>
          <w:bCs/>
          <w:sz w:val="19"/>
          <w:szCs w:val="19"/>
        </w:rPr>
        <w:t>Emphasis of Matters</w:t>
      </w:r>
    </w:p>
    <w:p w14:paraId="070BF00C" w14:textId="77777777" w:rsidR="006A118A" w:rsidRPr="00655DDC" w:rsidRDefault="006A118A" w:rsidP="006A118A">
      <w:pPr>
        <w:spacing w:after="0" w:line="360" w:lineRule="auto"/>
        <w:rPr>
          <w:rFonts w:ascii="Arial" w:hAnsi="Arial"/>
          <w:sz w:val="20"/>
        </w:rPr>
      </w:pPr>
    </w:p>
    <w:p w14:paraId="7004B321" w14:textId="25D40444" w:rsidR="006A118A" w:rsidRPr="002C137E" w:rsidRDefault="00DA288D" w:rsidP="006A118A">
      <w:pPr>
        <w:pStyle w:val="BodyText"/>
        <w:spacing w:after="0" w:line="360" w:lineRule="auto"/>
        <w:jc w:val="thaiDistribute"/>
        <w:rPr>
          <w:rFonts w:ascii="Arial" w:hAnsi="Arial" w:cstheme="minorBidi"/>
          <w:sz w:val="19"/>
          <w:szCs w:val="24"/>
          <w:lang w:bidi="th-TH"/>
        </w:rPr>
      </w:pPr>
      <w:r w:rsidRPr="00DA288D">
        <w:rPr>
          <w:rFonts w:ascii="Arial" w:hAnsi="Arial"/>
          <w:sz w:val="19"/>
          <w:szCs w:val="19"/>
        </w:rPr>
        <w:t>I draw attention to Note 5 to the interim financial information</w:t>
      </w:r>
      <w:r w:rsidR="00462034" w:rsidRPr="00462034">
        <w:rPr>
          <w:rFonts w:ascii="Arial" w:hAnsi="Arial"/>
          <w:sz w:val="19"/>
          <w:szCs w:val="19"/>
        </w:rPr>
        <w:t>,</w:t>
      </w:r>
      <w:r w:rsidR="00205828" w:rsidRPr="00462034">
        <w:rPr>
          <w:rFonts w:ascii="Arial" w:hAnsi="Arial"/>
          <w:sz w:val="19"/>
          <w:szCs w:val="19"/>
        </w:rPr>
        <w:t xml:space="preserve"> </w:t>
      </w:r>
      <w:r w:rsidR="00205828" w:rsidRPr="00205828">
        <w:rPr>
          <w:rFonts w:ascii="Arial" w:hAnsi="Arial"/>
          <w:sz w:val="19"/>
          <w:szCs w:val="19"/>
        </w:rPr>
        <w:t xml:space="preserve">which describes the impact </w:t>
      </w:r>
      <w:r w:rsidR="00462034" w:rsidRPr="00462034">
        <w:rPr>
          <w:rFonts w:ascii="Arial" w:hAnsi="Arial"/>
          <w:sz w:val="19"/>
          <w:szCs w:val="19"/>
        </w:rPr>
        <w:t>arising from</w:t>
      </w:r>
      <w:r w:rsidR="00205828" w:rsidRPr="00205828">
        <w:rPr>
          <w:rFonts w:ascii="Arial" w:hAnsi="Arial"/>
          <w:sz w:val="19"/>
          <w:szCs w:val="19"/>
        </w:rPr>
        <w:t xml:space="preserve"> the subsidiary’s acquisition of assets from another company </w:t>
      </w:r>
      <w:r w:rsidR="00462034" w:rsidRPr="00462034">
        <w:rPr>
          <w:rFonts w:ascii="Arial" w:hAnsi="Arial"/>
          <w:sz w:val="19"/>
          <w:szCs w:val="19"/>
        </w:rPr>
        <w:t xml:space="preserve">that meets the definition of </w:t>
      </w:r>
      <w:r w:rsidR="00C33812">
        <w:rPr>
          <w:rFonts w:ascii="Arial" w:hAnsi="Arial" w:cstheme="minorBidi"/>
          <w:sz w:val="19"/>
          <w:szCs w:val="24"/>
          <w:lang w:val="en-US" w:bidi="th-TH"/>
        </w:rPr>
        <w:t>“</w:t>
      </w:r>
      <w:r w:rsidR="006B5A23">
        <w:rPr>
          <w:rFonts w:ascii="Arial" w:hAnsi="Arial"/>
          <w:sz w:val="19"/>
          <w:szCs w:val="19"/>
        </w:rPr>
        <w:t>B</w:t>
      </w:r>
      <w:r w:rsidR="00462034" w:rsidRPr="00462034">
        <w:rPr>
          <w:rFonts w:ascii="Arial" w:hAnsi="Arial"/>
          <w:sz w:val="19"/>
          <w:szCs w:val="19"/>
        </w:rPr>
        <w:t>usiness</w:t>
      </w:r>
      <w:r w:rsidR="00D3346B">
        <w:rPr>
          <w:rFonts w:ascii="Arial" w:hAnsi="Arial"/>
          <w:sz w:val="19"/>
          <w:szCs w:val="19"/>
        </w:rPr>
        <w:t>”</w:t>
      </w:r>
      <w:r w:rsidR="00462034" w:rsidRPr="00462034">
        <w:rPr>
          <w:rFonts w:ascii="Arial" w:hAnsi="Arial"/>
          <w:sz w:val="19"/>
          <w:szCs w:val="19"/>
        </w:rPr>
        <w:t xml:space="preserve"> under the </w:t>
      </w:r>
      <w:r w:rsidR="006B5A23">
        <w:rPr>
          <w:rFonts w:ascii="Arial" w:hAnsi="Arial"/>
          <w:sz w:val="19"/>
          <w:szCs w:val="19"/>
        </w:rPr>
        <w:t>F</w:t>
      </w:r>
      <w:r w:rsidR="00462034" w:rsidRPr="00462034">
        <w:rPr>
          <w:rFonts w:ascii="Arial" w:hAnsi="Arial"/>
          <w:sz w:val="19"/>
          <w:szCs w:val="19"/>
        </w:rPr>
        <w:t xml:space="preserve">inancial </w:t>
      </w:r>
      <w:r w:rsidR="006B5A23">
        <w:rPr>
          <w:rFonts w:ascii="Arial" w:hAnsi="Arial"/>
          <w:sz w:val="19"/>
          <w:szCs w:val="19"/>
        </w:rPr>
        <w:t>R</w:t>
      </w:r>
      <w:r w:rsidR="00462034" w:rsidRPr="00462034">
        <w:rPr>
          <w:rFonts w:ascii="Arial" w:hAnsi="Arial"/>
          <w:sz w:val="19"/>
          <w:szCs w:val="19"/>
        </w:rPr>
        <w:t xml:space="preserve">eporting </w:t>
      </w:r>
      <w:r w:rsidR="006B5A23">
        <w:rPr>
          <w:rFonts w:ascii="Arial" w:hAnsi="Arial"/>
          <w:sz w:val="19"/>
          <w:szCs w:val="19"/>
        </w:rPr>
        <w:t>S</w:t>
      </w:r>
      <w:r w:rsidR="00462034" w:rsidRPr="00462034">
        <w:rPr>
          <w:rFonts w:ascii="Arial" w:hAnsi="Arial"/>
          <w:sz w:val="19"/>
          <w:szCs w:val="19"/>
        </w:rPr>
        <w:t xml:space="preserve">tandards. In addition, the </w:t>
      </w:r>
      <w:r w:rsidR="00B93F4A">
        <w:rPr>
          <w:rFonts w:ascii="Arial" w:hAnsi="Arial"/>
          <w:sz w:val="19"/>
          <w:szCs w:val="19"/>
        </w:rPr>
        <w:t>acquirer</w:t>
      </w:r>
      <w:r w:rsidR="00462034" w:rsidRPr="00462034">
        <w:rPr>
          <w:rFonts w:ascii="Arial" w:hAnsi="Arial"/>
          <w:sz w:val="19"/>
          <w:szCs w:val="19"/>
        </w:rPr>
        <w:t>, the seller,</w:t>
      </w:r>
      <w:r w:rsidR="00205828" w:rsidRPr="00205828">
        <w:rPr>
          <w:rFonts w:ascii="Arial" w:hAnsi="Arial"/>
          <w:sz w:val="19"/>
          <w:szCs w:val="19"/>
        </w:rPr>
        <w:t xml:space="preserve"> and </w:t>
      </w:r>
      <w:r w:rsidR="00462034" w:rsidRPr="00462034">
        <w:rPr>
          <w:rFonts w:ascii="Arial" w:hAnsi="Arial"/>
          <w:sz w:val="19"/>
          <w:szCs w:val="19"/>
        </w:rPr>
        <w:t>the parent company</w:t>
      </w:r>
      <w:r w:rsidR="00205828" w:rsidRPr="00205828">
        <w:rPr>
          <w:rFonts w:ascii="Arial" w:hAnsi="Arial"/>
          <w:sz w:val="19"/>
          <w:szCs w:val="19"/>
        </w:rPr>
        <w:t xml:space="preserve"> are </w:t>
      </w:r>
      <w:r w:rsidR="00462034" w:rsidRPr="00462034">
        <w:rPr>
          <w:rFonts w:ascii="Arial" w:hAnsi="Arial"/>
          <w:sz w:val="19"/>
          <w:szCs w:val="19"/>
        </w:rPr>
        <w:t xml:space="preserve">under the common control of the </w:t>
      </w:r>
      <w:r w:rsidR="00205828" w:rsidRPr="00205828">
        <w:rPr>
          <w:rFonts w:ascii="Arial" w:hAnsi="Arial"/>
          <w:sz w:val="19"/>
          <w:szCs w:val="19"/>
        </w:rPr>
        <w:t xml:space="preserve">same group </w:t>
      </w:r>
      <w:r w:rsidRPr="00DA288D">
        <w:rPr>
          <w:rFonts w:ascii="Arial" w:hAnsi="Arial"/>
          <w:sz w:val="19"/>
          <w:szCs w:val="19"/>
        </w:rPr>
        <w:t xml:space="preserve">of </w:t>
      </w:r>
      <w:r w:rsidR="00462034" w:rsidRPr="00462034">
        <w:rPr>
          <w:rFonts w:ascii="Arial" w:hAnsi="Arial"/>
          <w:sz w:val="19"/>
          <w:szCs w:val="19"/>
        </w:rPr>
        <w:t xml:space="preserve">individuals. Accordingly, the transaction is considered a business combination under common control. The Company has </w:t>
      </w:r>
      <w:r w:rsidR="00B376DA">
        <w:rPr>
          <w:rFonts w:ascii="Arial" w:hAnsi="Arial" w:cs="Browallia New"/>
          <w:sz w:val="19"/>
          <w:szCs w:val="24"/>
          <w:lang w:val="en-US" w:bidi="th-TH"/>
        </w:rPr>
        <w:t>adjusted</w:t>
      </w:r>
      <w:r w:rsidR="00462034" w:rsidRPr="00462034">
        <w:rPr>
          <w:rFonts w:ascii="Arial" w:hAnsi="Arial"/>
          <w:sz w:val="19"/>
          <w:szCs w:val="19"/>
        </w:rPr>
        <w:t xml:space="preserve"> the financial statements for comparative purposes as described in the notes to the interim financial information. My conclusion is not modified in respect of this matter.</w:t>
      </w:r>
    </w:p>
    <w:p w14:paraId="475A7A3C" w14:textId="77777777" w:rsidR="006A118A" w:rsidRPr="00655DDC" w:rsidRDefault="006A118A" w:rsidP="004273E7">
      <w:pPr>
        <w:pStyle w:val="BodyText"/>
        <w:spacing w:after="0" w:line="360" w:lineRule="auto"/>
        <w:rPr>
          <w:rFonts w:ascii="Arial" w:hAnsi="Arial"/>
          <w:b/>
          <w:bCs/>
          <w:sz w:val="20"/>
        </w:rPr>
      </w:pPr>
    </w:p>
    <w:p w14:paraId="5DBDD24E" w14:textId="30FBCFAA" w:rsidR="004273E7" w:rsidRPr="00E85FF4" w:rsidRDefault="004273E7" w:rsidP="004273E7">
      <w:pPr>
        <w:pStyle w:val="BodyText"/>
        <w:spacing w:after="0" w:line="360" w:lineRule="auto"/>
        <w:rPr>
          <w:rFonts w:ascii="Arial" w:hAnsi="Arial"/>
          <w:b/>
          <w:bCs/>
          <w:sz w:val="19"/>
          <w:szCs w:val="19"/>
        </w:rPr>
      </w:pPr>
      <w:r w:rsidRPr="00E85FF4">
        <w:rPr>
          <w:rFonts w:ascii="Arial" w:hAnsi="Arial"/>
          <w:b/>
          <w:bCs/>
          <w:sz w:val="19"/>
          <w:szCs w:val="19"/>
        </w:rPr>
        <w:t>Other Matter</w:t>
      </w:r>
    </w:p>
    <w:p w14:paraId="5639EAE1" w14:textId="77777777" w:rsidR="004273E7" w:rsidRPr="00655DDC" w:rsidRDefault="004273E7" w:rsidP="004273E7">
      <w:pPr>
        <w:pStyle w:val="BodyText"/>
        <w:spacing w:after="0" w:line="360" w:lineRule="auto"/>
        <w:rPr>
          <w:rFonts w:ascii="Arial" w:hAnsi="Arial"/>
          <w:b/>
          <w:bCs/>
          <w:sz w:val="20"/>
        </w:rPr>
      </w:pPr>
    </w:p>
    <w:p w14:paraId="26F3457F" w14:textId="3B9724CE" w:rsidR="004273E7" w:rsidRPr="000D2E70" w:rsidRDefault="00460860" w:rsidP="000D2E70">
      <w:pPr>
        <w:pStyle w:val="BodyText"/>
        <w:spacing w:after="0" w:line="360" w:lineRule="auto"/>
        <w:jc w:val="thaiDistribute"/>
        <w:rPr>
          <w:rFonts w:ascii="Arial" w:hAnsi="Arial"/>
          <w:sz w:val="19"/>
          <w:szCs w:val="19"/>
        </w:rPr>
      </w:pPr>
      <w:r w:rsidRPr="00E238A5">
        <w:rPr>
          <w:rFonts w:ascii="Arial" w:hAnsi="Arial"/>
          <w:sz w:val="19"/>
          <w:szCs w:val="19"/>
        </w:rPr>
        <w:t xml:space="preserve">The </w:t>
      </w:r>
      <w:r w:rsidRPr="00167732">
        <w:rPr>
          <w:rFonts w:ascii="Arial" w:hAnsi="Arial"/>
          <w:sz w:val="19"/>
          <w:szCs w:val="19"/>
        </w:rPr>
        <w:t xml:space="preserve">consolidated and separate </w:t>
      </w:r>
      <w:r>
        <w:rPr>
          <w:rFonts w:ascii="Arial" w:hAnsi="Arial"/>
          <w:sz w:val="19"/>
          <w:szCs w:val="19"/>
        </w:rPr>
        <w:t>statements</w:t>
      </w:r>
      <w:r w:rsidRPr="002C2FB7">
        <w:rPr>
          <w:rFonts w:ascii="Arial" w:hAnsi="Arial"/>
          <w:sz w:val="19"/>
          <w:szCs w:val="19"/>
        </w:rPr>
        <w:t xml:space="preserve"> of financial position</w:t>
      </w:r>
      <w:r>
        <w:rPr>
          <w:rFonts w:ascii="Arial" w:hAnsi="Arial"/>
          <w:sz w:val="19"/>
          <w:szCs w:val="19"/>
        </w:rPr>
        <w:t xml:space="preserve"> of </w:t>
      </w:r>
      <w:r w:rsidRPr="00656078">
        <w:rPr>
          <w:rFonts w:ascii="Arial" w:hAnsi="Arial" w:cstheme="minorBidi"/>
          <w:sz w:val="19"/>
          <w:szCs w:val="19"/>
          <w:lang w:val="en-US" w:bidi="th-TH"/>
        </w:rPr>
        <w:t>RSXYZ Public Company Limited</w:t>
      </w:r>
      <w:r>
        <w:rPr>
          <w:rFonts w:ascii="Arial" w:hAnsi="Arial"/>
          <w:sz w:val="19"/>
          <w:szCs w:val="19"/>
        </w:rPr>
        <w:t xml:space="preserve"> </w:t>
      </w:r>
      <w:r w:rsidRPr="004D2CC3">
        <w:rPr>
          <w:rFonts w:ascii="Arial" w:hAnsi="Arial"/>
          <w:sz w:val="19"/>
          <w:szCs w:val="19"/>
        </w:rPr>
        <w:t>and</w:t>
      </w:r>
      <w:r w:rsidRPr="004D2CC3">
        <w:rPr>
          <w:rFonts w:ascii="Arial" w:hAnsi="Arial" w:cstheme="minorBidi" w:hint="cs"/>
          <w:sz w:val="19"/>
          <w:szCs w:val="24"/>
          <w:cs/>
          <w:lang w:bidi="th-TH"/>
        </w:rPr>
        <w:t xml:space="preserve"> </w:t>
      </w:r>
      <w:r w:rsidRPr="004D2CC3">
        <w:rPr>
          <w:rFonts w:ascii="Arial" w:hAnsi="Arial" w:cstheme="minorBidi"/>
          <w:sz w:val="19"/>
          <w:szCs w:val="24"/>
          <w:lang w:val="en-US" w:bidi="th-TH"/>
        </w:rPr>
        <w:t>its</w:t>
      </w:r>
      <w:r w:rsidRPr="004D2CC3">
        <w:rPr>
          <w:rFonts w:ascii="Arial" w:hAnsi="Arial"/>
          <w:sz w:val="19"/>
          <w:szCs w:val="19"/>
        </w:rPr>
        <w:t xml:space="preserve"> subsidiaries</w:t>
      </w:r>
      <w:r w:rsidRPr="00731148">
        <w:rPr>
          <w:rFonts w:ascii="Arial" w:hAnsi="Arial"/>
          <w:sz w:val="19"/>
          <w:szCs w:val="19"/>
        </w:rPr>
        <w:t xml:space="preserve"> as </w:t>
      </w:r>
      <w:proofErr w:type="gramStart"/>
      <w:r w:rsidRPr="00731148">
        <w:rPr>
          <w:rFonts w:ascii="Arial" w:hAnsi="Arial"/>
          <w:sz w:val="19"/>
          <w:szCs w:val="19"/>
        </w:rPr>
        <w:t>at</w:t>
      </w:r>
      <w:proofErr w:type="gramEnd"/>
      <w:r w:rsidRPr="00731148">
        <w:rPr>
          <w:rFonts w:ascii="Arial" w:hAnsi="Arial"/>
          <w:sz w:val="19"/>
          <w:szCs w:val="19"/>
        </w:rPr>
        <w:t xml:space="preserve"> 31 December 202</w:t>
      </w:r>
      <w:r>
        <w:rPr>
          <w:rFonts w:ascii="Arial" w:hAnsi="Arial"/>
          <w:sz w:val="19"/>
          <w:szCs w:val="19"/>
        </w:rPr>
        <w:t>4</w:t>
      </w:r>
      <w:r w:rsidRPr="002C2FB7">
        <w:rPr>
          <w:rFonts w:ascii="Arial" w:hAnsi="Arial"/>
          <w:sz w:val="19"/>
          <w:szCs w:val="19"/>
        </w:rPr>
        <w:t>,</w:t>
      </w:r>
      <w:r>
        <w:rPr>
          <w:rFonts w:ascii="Arial" w:hAnsi="Arial"/>
          <w:sz w:val="19"/>
          <w:szCs w:val="19"/>
        </w:rPr>
        <w:t xml:space="preserve"> presented as</w:t>
      </w:r>
      <w:r w:rsidRPr="002C2FB7">
        <w:rPr>
          <w:rFonts w:ascii="Arial" w:hAnsi="Arial"/>
          <w:sz w:val="19"/>
          <w:szCs w:val="19"/>
        </w:rPr>
        <w:t xml:space="preserve"> </w:t>
      </w:r>
      <w:r w:rsidRPr="00731148">
        <w:rPr>
          <w:rFonts w:ascii="Arial" w:hAnsi="Arial" w:cstheme="minorBidi"/>
          <w:sz w:val="19"/>
          <w:szCs w:val="24"/>
          <w:lang w:bidi="th-TH"/>
        </w:rPr>
        <w:t>comparative information</w:t>
      </w:r>
      <w:r w:rsidRPr="002C2FB7">
        <w:rPr>
          <w:rFonts w:ascii="Arial" w:hAnsi="Arial" w:cstheme="minorBidi"/>
          <w:sz w:val="19"/>
          <w:szCs w:val="24"/>
          <w:lang w:bidi="th-TH"/>
        </w:rPr>
        <w:t xml:space="preserve">, </w:t>
      </w:r>
      <w:r w:rsidRPr="002C2FB7">
        <w:rPr>
          <w:rFonts w:ascii="Arial" w:hAnsi="Arial"/>
          <w:sz w:val="19"/>
          <w:szCs w:val="19"/>
        </w:rPr>
        <w:t xml:space="preserve">were audited by another auditor who expressed </w:t>
      </w:r>
      <w:r w:rsidRPr="00731148">
        <w:rPr>
          <w:rFonts w:ascii="Arial" w:hAnsi="Arial"/>
          <w:sz w:val="19"/>
          <w:szCs w:val="19"/>
        </w:rPr>
        <w:t>an u</w:t>
      </w:r>
      <w:r>
        <w:rPr>
          <w:rFonts w:ascii="Arial" w:hAnsi="Arial"/>
          <w:sz w:val="19"/>
          <w:szCs w:val="19"/>
        </w:rPr>
        <w:t>nmodified</w:t>
      </w:r>
      <w:r w:rsidRPr="00731148">
        <w:rPr>
          <w:rFonts w:ascii="Arial" w:hAnsi="Arial"/>
          <w:sz w:val="19"/>
          <w:szCs w:val="19"/>
        </w:rPr>
        <w:t xml:space="preserve"> opinion</w:t>
      </w:r>
      <w:r>
        <w:rPr>
          <w:rFonts w:ascii="Arial" w:hAnsi="Arial"/>
          <w:sz w:val="19"/>
          <w:szCs w:val="19"/>
        </w:rPr>
        <w:t xml:space="preserve"> thereon in her report </w:t>
      </w:r>
      <w:r w:rsidRPr="00731148">
        <w:rPr>
          <w:rFonts w:ascii="Arial" w:hAnsi="Arial"/>
          <w:sz w:val="19"/>
          <w:szCs w:val="19"/>
        </w:rPr>
        <w:t>dated</w:t>
      </w:r>
      <w:r w:rsidRPr="002C2FB7">
        <w:rPr>
          <w:rFonts w:ascii="Arial" w:hAnsi="Arial"/>
          <w:sz w:val="19"/>
          <w:szCs w:val="19"/>
        </w:rPr>
        <w:t xml:space="preserve"> 2</w:t>
      </w:r>
      <w:r>
        <w:rPr>
          <w:rFonts w:ascii="Arial" w:hAnsi="Arial"/>
          <w:sz w:val="19"/>
          <w:szCs w:val="19"/>
        </w:rPr>
        <w:t>8</w:t>
      </w:r>
      <w:r w:rsidRPr="002C2FB7">
        <w:rPr>
          <w:rFonts w:ascii="Arial" w:hAnsi="Arial"/>
          <w:sz w:val="19"/>
          <w:szCs w:val="19"/>
        </w:rPr>
        <w:t xml:space="preserve"> February 202</w:t>
      </w:r>
      <w:r>
        <w:rPr>
          <w:rFonts w:ascii="Arial" w:hAnsi="Arial"/>
          <w:sz w:val="19"/>
          <w:szCs w:val="19"/>
        </w:rPr>
        <w:t>5</w:t>
      </w:r>
      <w:r w:rsidRPr="00731148">
        <w:rPr>
          <w:rFonts w:ascii="Arial" w:hAnsi="Arial"/>
          <w:sz w:val="19"/>
          <w:szCs w:val="19"/>
        </w:rPr>
        <w:t>.</w:t>
      </w:r>
      <w:r w:rsidRPr="002C2FB7">
        <w:rPr>
          <w:rFonts w:ascii="Arial" w:hAnsi="Arial"/>
          <w:sz w:val="19"/>
          <w:szCs w:val="19"/>
        </w:rPr>
        <w:t xml:space="preserve"> </w:t>
      </w:r>
      <w:r>
        <w:rPr>
          <w:rFonts w:ascii="Arial" w:hAnsi="Arial"/>
          <w:sz w:val="19"/>
          <w:szCs w:val="19"/>
        </w:rPr>
        <w:t xml:space="preserve">Furthermore, the related </w:t>
      </w:r>
      <w:r w:rsidRPr="009B0C28">
        <w:rPr>
          <w:rFonts w:ascii="Arial" w:hAnsi="Arial"/>
          <w:sz w:val="19"/>
          <w:szCs w:val="19"/>
        </w:rPr>
        <w:t xml:space="preserve">consolidated and separate </w:t>
      </w:r>
      <w:r>
        <w:rPr>
          <w:rFonts w:ascii="Arial" w:hAnsi="Arial"/>
          <w:sz w:val="19"/>
          <w:szCs w:val="19"/>
        </w:rPr>
        <w:t>statements of comprehensive income</w:t>
      </w:r>
      <w:r w:rsidRPr="00A47CCA">
        <w:rPr>
          <w:rFonts w:ascii="Arial" w:hAnsi="Arial"/>
          <w:sz w:val="19"/>
          <w:szCs w:val="19"/>
        </w:rPr>
        <w:t xml:space="preserve"> </w:t>
      </w:r>
      <w:r>
        <w:rPr>
          <w:rFonts w:ascii="Arial" w:hAnsi="Arial"/>
          <w:sz w:val="19"/>
          <w:szCs w:val="19"/>
        </w:rPr>
        <w:t xml:space="preserve">for the three-month and </w:t>
      </w:r>
      <w:r w:rsidR="00EB07A6">
        <w:rPr>
          <w:rFonts w:ascii="Arial" w:hAnsi="Arial"/>
          <w:sz w:val="19"/>
          <w:szCs w:val="19"/>
          <w:lang w:val="en-US"/>
        </w:rPr>
        <w:t>nine</w:t>
      </w:r>
      <w:r>
        <w:rPr>
          <w:rFonts w:ascii="Arial" w:hAnsi="Arial"/>
          <w:sz w:val="19"/>
          <w:szCs w:val="19"/>
        </w:rPr>
        <w:t xml:space="preserve">-month periods ended 30 </w:t>
      </w:r>
      <w:r w:rsidR="00EB07A6">
        <w:rPr>
          <w:rFonts w:ascii="Arial" w:hAnsi="Arial"/>
          <w:sz w:val="19"/>
          <w:szCs w:val="19"/>
        </w:rPr>
        <w:t>September</w:t>
      </w:r>
      <w:r>
        <w:rPr>
          <w:rFonts w:ascii="Arial" w:hAnsi="Arial"/>
          <w:sz w:val="19"/>
          <w:szCs w:val="19"/>
        </w:rPr>
        <w:t xml:space="preserve"> 2024, the consolidated and separate statements of </w:t>
      </w:r>
      <w:r w:rsidRPr="00042707">
        <w:rPr>
          <w:rFonts w:ascii="Arial" w:hAnsi="Arial"/>
          <w:sz w:val="19"/>
          <w:szCs w:val="19"/>
        </w:rPr>
        <w:t>changes in shareholders’</w:t>
      </w:r>
      <w:r>
        <w:rPr>
          <w:rFonts w:ascii="Arial" w:hAnsi="Arial"/>
          <w:sz w:val="19"/>
          <w:szCs w:val="19"/>
        </w:rPr>
        <w:t xml:space="preserve"> </w:t>
      </w:r>
      <w:r w:rsidRPr="00042707">
        <w:rPr>
          <w:rFonts w:ascii="Arial" w:hAnsi="Arial"/>
          <w:sz w:val="19"/>
          <w:szCs w:val="19"/>
        </w:rPr>
        <w:t>equity and cash flows</w:t>
      </w:r>
      <w:r>
        <w:rPr>
          <w:rFonts w:ascii="Arial" w:hAnsi="Arial"/>
          <w:sz w:val="19"/>
          <w:szCs w:val="19"/>
        </w:rPr>
        <w:t xml:space="preserve"> </w:t>
      </w:r>
      <w:r w:rsidRPr="00042707">
        <w:rPr>
          <w:rFonts w:ascii="Arial" w:hAnsi="Arial"/>
          <w:sz w:val="19"/>
          <w:szCs w:val="19"/>
        </w:rPr>
        <w:t xml:space="preserve">for the </w:t>
      </w:r>
      <w:r w:rsidR="00EB07A6">
        <w:rPr>
          <w:rFonts w:ascii="Arial" w:hAnsi="Arial"/>
          <w:sz w:val="19"/>
          <w:szCs w:val="19"/>
        </w:rPr>
        <w:t>nine</w:t>
      </w:r>
      <w:r w:rsidRPr="00042707">
        <w:rPr>
          <w:rFonts w:ascii="Arial" w:hAnsi="Arial"/>
          <w:sz w:val="19"/>
          <w:szCs w:val="19"/>
        </w:rPr>
        <w:t xml:space="preserve">-month period </w:t>
      </w:r>
      <w:r>
        <w:rPr>
          <w:rFonts w:ascii="Arial" w:hAnsi="Arial"/>
          <w:sz w:val="19"/>
          <w:szCs w:val="19"/>
        </w:rPr>
        <w:t xml:space="preserve">then </w:t>
      </w:r>
      <w:r w:rsidRPr="00042707">
        <w:rPr>
          <w:rFonts w:ascii="Arial" w:hAnsi="Arial"/>
          <w:sz w:val="19"/>
          <w:szCs w:val="19"/>
        </w:rPr>
        <w:t>ended,</w:t>
      </w:r>
      <w:r>
        <w:rPr>
          <w:rFonts w:ascii="Arial" w:hAnsi="Arial"/>
          <w:sz w:val="19"/>
          <w:szCs w:val="19"/>
        </w:rPr>
        <w:t xml:space="preserve"> presented as comparative information, were reviewed by aforementioned who concluded that nothing has come to her attention that caused her to </w:t>
      </w:r>
      <w:r w:rsidRPr="004D2CC3">
        <w:rPr>
          <w:rFonts w:ascii="Arial" w:hAnsi="Arial"/>
          <w:sz w:val="19"/>
          <w:szCs w:val="19"/>
        </w:rPr>
        <w:t>believe that the accompanying interim consolidated, and separate financial information is not prepared, in all material respects, in accordance with Thai Accounting Standard No. 34 “Interim Financial Reporting”</w:t>
      </w:r>
      <w:r w:rsidR="00EB106B">
        <w:rPr>
          <w:rFonts w:ascii="Arial" w:hAnsi="Arial"/>
          <w:sz w:val="19"/>
          <w:szCs w:val="19"/>
        </w:rPr>
        <w:t xml:space="preserve"> i</w:t>
      </w:r>
      <w:r w:rsidR="00EB106B" w:rsidRPr="00EB106B">
        <w:rPr>
          <w:rFonts w:ascii="Arial" w:hAnsi="Arial"/>
          <w:sz w:val="19"/>
          <w:szCs w:val="19"/>
        </w:rPr>
        <w:t>ncluding a paragraph emphasi</w:t>
      </w:r>
      <w:r w:rsidR="00EB106B">
        <w:rPr>
          <w:rFonts w:ascii="Arial" w:hAnsi="Arial"/>
          <w:sz w:val="19"/>
          <w:szCs w:val="19"/>
        </w:rPr>
        <w:t>s</w:t>
      </w:r>
      <w:r w:rsidR="00522633">
        <w:rPr>
          <w:rFonts w:ascii="Arial" w:hAnsi="Arial"/>
          <w:sz w:val="19"/>
          <w:szCs w:val="19"/>
        </w:rPr>
        <w:t xml:space="preserve"> of matter</w:t>
      </w:r>
      <w:r w:rsidR="00EB106B" w:rsidRPr="00EB106B">
        <w:rPr>
          <w:rFonts w:ascii="Arial" w:hAnsi="Arial"/>
          <w:sz w:val="19"/>
          <w:szCs w:val="19"/>
        </w:rPr>
        <w:t xml:space="preserve"> related to the business acquisition and the business combination under common control</w:t>
      </w:r>
      <w:r w:rsidR="00C134AA">
        <w:rPr>
          <w:rFonts w:ascii="Arial" w:hAnsi="Arial"/>
          <w:sz w:val="19"/>
          <w:szCs w:val="19"/>
        </w:rPr>
        <w:t xml:space="preserve"> </w:t>
      </w:r>
      <w:r>
        <w:rPr>
          <w:rFonts w:ascii="Arial" w:hAnsi="Arial"/>
          <w:sz w:val="19"/>
          <w:szCs w:val="19"/>
        </w:rPr>
        <w:t>thereon in her report dated 1</w:t>
      </w:r>
      <w:r w:rsidR="005F6E6A">
        <w:rPr>
          <w:rFonts w:ascii="Arial" w:hAnsi="Arial"/>
          <w:sz w:val="19"/>
          <w:szCs w:val="19"/>
        </w:rPr>
        <w:t>4</w:t>
      </w:r>
      <w:r>
        <w:rPr>
          <w:rFonts w:ascii="Arial" w:hAnsi="Arial"/>
          <w:sz w:val="19"/>
          <w:szCs w:val="19"/>
        </w:rPr>
        <w:t xml:space="preserve"> </w:t>
      </w:r>
      <w:r w:rsidR="005F6E6A">
        <w:rPr>
          <w:rFonts w:ascii="Arial" w:hAnsi="Arial"/>
          <w:sz w:val="19"/>
          <w:szCs w:val="19"/>
        </w:rPr>
        <w:t>November</w:t>
      </w:r>
      <w:r w:rsidRPr="002C2FB7">
        <w:rPr>
          <w:rFonts w:ascii="Arial" w:hAnsi="Arial"/>
          <w:sz w:val="19"/>
          <w:szCs w:val="19"/>
        </w:rPr>
        <w:t xml:space="preserve"> 202</w:t>
      </w:r>
      <w:r>
        <w:rPr>
          <w:rFonts w:ascii="Arial" w:hAnsi="Arial"/>
          <w:sz w:val="19"/>
          <w:szCs w:val="19"/>
        </w:rPr>
        <w:t>4</w:t>
      </w:r>
      <w:r w:rsidRPr="00731148">
        <w:rPr>
          <w:rFonts w:ascii="Arial" w:hAnsi="Arial"/>
          <w:sz w:val="19"/>
          <w:szCs w:val="19"/>
        </w:rPr>
        <w:t>.</w:t>
      </w:r>
    </w:p>
    <w:p w14:paraId="352E48F6" w14:textId="77777777" w:rsidR="002D470A" w:rsidRPr="001F069C" w:rsidRDefault="002D470A" w:rsidP="00D35E12">
      <w:pPr>
        <w:spacing w:after="0" w:line="360" w:lineRule="auto"/>
        <w:jc w:val="thaiDistribute"/>
        <w:rPr>
          <w:rFonts w:ascii="Arial" w:hAnsi="Arial"/>
          <w:b/>
          <w:bCs/>
          <w:sz w:val="24"/>
          <w:szCs w:val="24"/>
        </w:rPr>
      </w:pPr>
    </w:p>
    <w:p w14:paraId="23B1388A" w14:textId="77777777" w:rsidR="002B36DE" w:rsidRPr="001F069C" w:rsidRDefault="002B36DE" w:rsidP="00D35E12">
      <w:pPr>
        <w:spacing w:after="0" w:line="360" w:lineRule="auto"/>
        <w:jc w:val="thaiDistribute"/>
        <w:rPr>
          <w:rFonts w:ascii="Arial" w:hAnsi="Arial"/>
          <w:b/>
          <w:bCs/>
          <w:sz w:val="24"/>
          <w:szCs w:val="24"/>
        </w:rPr>
      </w:pPr>
    </w:p>
    <w:p w14:paraId="26263D35" w14:textId="33E39D47" w:rsidR="00033DD2" w:rsidRPr="00D35E12" w:rsidRDefault="002A518F" w:rsidP="00D35E12">
      <w:pPr>
        <w:spacing w:after="0" w:line="360" w:lineRule="auto"/>
        <w:jc w:val="thaiDistribute"/>
        <w:rPr>
          <w:rFonts w:ascii="Arial" w:hAnsi="Arial"/>
          <w:b/>
          <w:bCs/>
          <w:sz w:val="19"/>
          <w:szCs w:val="19"/>
        </w:rPr>
      </w:pPr>
      <w:r w:rsidRPr="00A109D2">
        <w:rPr>
          <w:rFonts w:ascii="Arial" w:hAnsi="Arial"/>
          <w:b/>
          <w:bCs/>
          <w:sz w:val="19"/>
          <w:szCs w:val="19"/>
        </w:rPr>
        <w:t>Saranya Akharamahaphanit</w:t>
      </w:r>
    </w:p>
    <w:p w14:paraId="2406D79F" w14:textId="77777777" w:rsidR="00033DD2" w:rsidRPr="00D35E12" w:rsidRDefault="00033DD2" w:rsidP="00D35E12">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8ABF89" w14:textId="1416AE31" w:rsidR="00033DD2" w:rsidRPr="00D35E12" w:rsidRDefault="00033DD2" w:rsidP="00D35E12">
      <w:pPr>
        <w:spacing w:after="0" w:line="360" w:lineRule="auto"/>
        <w:jc w:val="thaiDistribute"/>
        <w:rPr>
          <w:rFonts w:ascii="Arial" w:hAnsi="Arial"/>
          <w:sz w:val="19"/>
          <w:szCs w:val="19"/>
        </w:rPr>
      </w:pPr>
      <w:r w:rsidRPr="00D35E12">
        <w:rPr>
          <w:rFonts w:ascii="Arial" w:hAnsi="Arial"/>
          <w:sz w:val="19"/>
          <w:szCs w:val="19"/>
        </w:rPr>
        <w:t xml:space="preserve">Registration No. </w:t>
      </w:r>
      <w:r w:rsidR="005046F9" w:rsidRPr="00A109D2">
        <w:rPr>
          <w:rFonts w:ascii="Arial" w:hAnsi="Arial"/>
          <w:sz w:val="19"/>
          <w:szCs w:val="19"/>
        </w:rPr>
        <w:t>9919</w:t>
      </w:r>
    </w:p>
    <w:p w14:paraId="26E2BD44" w14:textId="77777777" w:rsidR="00033DD2" w:rsidRPr="002D470A" w:rsidRDefault="00033DD2" w:rsidP="00D35E12">
      <w:pPr>
        <w:spacing w:after="0" w:line="360" w:lineRule="auto"/>
        <w:jc w:val="thaiDistribute"/>
        <w:rPr>
          <w:rFonts w:ascii="Arial" w:hAnsi="Arial"/>
          <w:sz w:val="12"/>
          <w:szCs w:val="12"/>
        </w:rPr>
      </w:pPr>
    </w:p>
    <w:p w14:paraId="6383B304" w14:textId="77777777" w:rsidR="006635F3" w:rsidRPr="00D35E12" w:rsidRDefault="006635F3" w:rsidP="00D35E12">
      <w:pPr>
        <w:pStyle w:val="RNormal"/>
        <w:spacing w:line="360" w:lineRule="auto"/>
        <w:rPr>
          <w:rFonts w:ascii="Arial" w:hAnsi="Arial" w:cs="Arial"/>
          <w:sz w:val="19"/>
          <w:szCs w:val="19"/>
        </w:rPr>
      </w:pPr>
      <w:r w:rsidRPr="00D35E12">
        <w:rPr>
          <w:rFonts w:ascii="Arial" w:hAnsi="Arial" w:cs="Arial"/>
          <w:sz w:val="19"/>
          <w:szCs w:val="19"/>
        </w:rPr>
        <w:t>Grant Thornton Limited</w:t>
      </w:r>
    </w:p>
    <w:p w14:paraId="4E778E13" w14:textId="77777777" w:rsidR="00033DD2" w:rsidRPr="00A52190" w:rsidRDefault="008534F8" w:rsidP="00D35E12">
      <w:pPr>
        <w:spacing w:after="0" w:line="360" w:lineRule="auto"/>
        <w:jc w:val="thaiDistribute"/>
        <w:rPr>
          <w:rFonts w:ascii="Arial" w:hAnsi="Arial"/>
          <w:sz w:val="19"/>
          <w:szCs w:val="19"/>
          <w:rtl/>
          <w:cs/>
        </w:rPr>
      </w:pPr>
      <w:r w:rsidRPr="00A52190">
        <w:rPr>
          <w:rFonts w:ascii="Arial" w:hAnsi="Arial"/>
          <w:sz w:val="19"/>
          <w:szCs w:val="19"/>
        </w:rPr>
        <w:t>Bangkok</w:t>
      </w:r>
    </w:p>
    <w:p w14:paraId="0FE3840C" w14:textId="6CE5F3F6" w:rsidR="00963958" w:rsidRPr="00C003E6" w:rsidRDefault="003E324D" w:rsidP="00963958">
      <w:pPr>
        <w:pStyle w:val="BodyText"/>
        <w:rPr>
          <w:rFonts w:ascii="Arial" w:hAnsi="Arial" w:cs="Browallia New"/>
          <w:sz w:val="19"/>
          <w:szCs w:val="24"/>
          <w:lang w:bidi="th-TH"/>
        </w:rPr>
      </w:pPr>
      <w:r>
        <w:rPr>
          <w:rFonts w:ascii="Arial" w:hAnsi="Arial" w:cs="Browallia New"/>
          <w:sz w:val="19"/>
          <w:szCs w:val="24"/>
          <w:lang w:val="en-US" w:bidi="th-TH"/>
        </w:rPr>
        <w:t>14</w:t>
      </w:r>
      <w:r w:rsidR="00E57198">
        <w:rPr>
          <w:rFonts w:ascii="Arial" w:hAnsi="Arial" w:cs="Browallia New"/>
          <w:sz w:val="19"/>
          <w:szCs w:val="24"/>
          <w:lang w:val="en-US" w:bidi="th-TH"/>
        </w:rPr>
        <w:t xml:space="preserve"> </w:t>
      </w:r>
      <w:r w:rsidR="00AD2441">
        <w:rPr>
          <w:rFonts w:ascii="Arial" w:hAnsi="Arial" w:cs="Browallia New"/>
          <w:sz w:val="19"/>
          <w:szCs w:val="24"/>
          <w:lang w:val="en-US" w:bidi="th-TH"/>
        </w:rPr>
        <w:t>November</w:t>
      </w:r>
      <w:r w:rsidR="00963958" w:rsidRPr="004230D2">
        <w:rPr>
          <w:rFonts w:ascii="Arial" w:hAnsi="Arial" w:cs="Browallia New"/>
          <w:sz w:val="19"/>
          <w:szCs w:val="24"/>
          <w:lang w:val="en-US" w:bidi="th-TH"/>
        </w:rPr>
        <w:t xml:space="preserve"> 2025</w:t>
      </w:r>
    </w:p>
    <w:sectPr w:rsidR="00963958" w:rsidRPr="00C003E6" w:rsidSect="002559AC">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066BD" w14:textId="77777777" w:rsidR="008805E1" w:rsidRDefault="008805E1">
      <w:r>
        <w:separator/>
      </w:r>
    </w:p>
  </w:endnote>
  <w:endnote w:type="continuationSeparator" w:id="0">
    <w:p w14:paraId="477C61F3" w14:textId="77777777" w:rsidR="008805E1" w:rsidRDefault="008805E1">
      <w:r>
        <w:continuationSeparator/>
      </w:r>
    </w:p>
  </w:endnote>
  <w:endnote w:type="continuationNotice" w:id="1">
    <w:p w14:paraId="1FDE275D" w14:textId="77777777" w:rsidR="008805E1" w:rsidRDefault="008805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88638" w14:textId="77777777" w:rsidR="008805E1" w:rsidRDefault="008805E1">
      <w:bookmarkStart w:id="0" w:name="_Hlk482348182"/>
      <w:bookmarkEnd w:id="0"/>
      <w:r>
        <w:separator/>
      </w:r>
    </w:p>
  </w:footnote>
  <w:footnote w:type="continuationSeparator" w:id="0">
    <w:p w14:paraId="37E9AC68" w14:textId="77777777" w:rsidR="008805E1" w:rsidRDefault="008805E1">
      <w:r>
        <w:continuationSeparator/>
      </w:r>
    </w:p>
  </w:footnote>
  <w:footnote w:type="continuationNotice" w:id="1">
    <w:p w14:paraId="6778F1B2" w14:textId="77777777" w:rsidR="008805E1" w:rsidRDefault="008805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5993F" w14:textId="2A227761"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C8835" w14:textId="77777777" w:rsidR="00D15EA5" w:rsidRDefault="00D15EA5" w:rsidP="00D15EA5">
    <w:pPr>
      <w:pStyle w:val="Header"/>
      <w:tabs>
        <w:tab w:val="clear" w:pos="8562"/>
        <w:tab w:val="left" w:pos="5328"/>
      </w:tabs>
      <w:spacing w:after="1418"/>
    </w:pPr>
  </w:p>
  <w:p w14:paraId="58FA4FD7" w14:textId="5E388DA2"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00AC155C">
      <w:rPr>
        <w:rFonts w:cs="Browallia New"/>
        <w:color w:val="auto"/>
        <w:sz w:val="28"/>
        <w:szCs w:val="28"/>
        <w:lang w:val="en-US" w:bidi="th-TH"/>
      </w:rPr>
      <w:br/>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3" w:name="Footer3_tbl"/>
    <w:bookmarkEnd w:id="3"/>
  </w:p>
  <w:p w14:paraId="4652D9AE" w14:textId="5DF1C89B" w:rsidR="00D460E7" w:rsidRPr="0050782C"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344361525">
    <w:abstractNumId w:val="3"/>
  </w:num>
  <w:num w:numId="2" w16cid:durableId="1943099860">
    <w:abstractNumId w:val="2"/>
  </w:num>
  <w:num w:numId="3" w16cid:durableId="1512065193">
    <w:abstractNumId w:val="1"/>
  </w:num>
  <w:num w:numId="4" w16cid:durableId="667634357">
    <w:abstractNumId w:val="0"/>
  </w:num>
  <w:num w:numId="5" w16cid:durableId="393282500">
    <w:abstractNumId w:val="6"/>
  </w:num>
  <w:num w:numId="6" w16cid:durableId="1924534744">
    <w:abstractNumId w:val="5"/>
  </w:num>
  <w:num w:numId="7" w16cid:durableId="1577396083">
    <w:abstractNumId w:val="10"/>
  </w:num>
  <w:num w:numId="8" w16cid:durableId="1524786894">
    <w:abstractNumId w:val="16"/>
  </w:num>
  <w:num w:numId="9" w16cid:durableId="162475087">
    <w:abstractNumId w:val="5"/>
  </w:num>
  <w:num w:numId="10" w16cid:durableId="1569026193">
    <w:abstractNumId w:val="15"/>
  </w:num>
  <w:num w:numId="11" w16cid:durableId="1812551370">
    <w:abstractNumId w:val="13"/>
  </w:num>
  <w:num w:numId="12" w16cid:durableId="981883303">
    <w:abstractNumId w:val="4"/>
  </w:num>
  <w:num w:numId="13" w16cid:durableId="1158695145">
    <w:abstractNumId w:val="8"/>
  </w:num>
  <w:num w:numId="14" w16cid:durableId="395594719">
    <w:abstractNumId w:val="7"/>
  </w:num>
  <w:num w:numId="15" w16cid:durableId="975916669">
    <w:abstractNumId w:val="8"/>
  </w:num>
  <w:num w:numId="16" w16cid:durableId="2111663694">
    <w:abstractNumId w:val="9"/>
  </w:num>
  <w:num w:numId="17" w16cid:durableId="2035575197">
    <w:abstractNumId w:val="11"/>
  </w:num>
  <w:num w:numId="18" w16cid:durableId="1266619977">
    <w:abstractNumId w:val="15"/>
  </w:num>
  <w:num w:numId="19" w16cid:durableId="658388326">
    <w:abstractNumId w:val="13"/>
  </w:num>
  <w:num w:numId="20" w16cid:durableId="1905607586">
    <w:abstractNumId w:val="4"/>
  </w:num>
  <w:num w:numId="21" w16cid:durableId="1481507678">
    <w:abstractNumId w:val="8"/>
  </w:num>
  <w:num w:numId="22" w16cid:durableId="284124225">
    <w:abstractNumId w:val="7"/>
  </w:num>
  <w:num w:numId="23" w16cid:durableId="805779346">
    <w:abstractNumId w:val="7"/>
  </w:num>
  <w:num w:numId="24" w16cid:durableId="301468687">
    <w:abstractNumId w:val="7"/>
  </w:num>
  <w:num w:numId="25" w16cid:durableId="1111166610">
    <w:abstractNumId w:val="8"/>
  </w:num>
  <w:num w:numId="26" w16cid:durableId="1980186073">
    <w:abstractNumId w:val="8"/>
  </w:num>
  <w:num w:numId="27" w16cid:durableId="1755130223">
    <w:abstractNumId w:val="8"/>
  </w:num>
  <w:num w:numId="28" w16cid:durableId="1218709561">
    <w:abstractNumId w:val="14"/>
  </w:num>
  <w:num w:numId="29" w16cid:durableId="916863076">
    <w:abstractNumId w:val="14"/>
  </w:num>
  <w:num w:numId="30" w16cid:durableId="964773354">
    <w:abstractNumId w:val="14"/>
  </w:num>
  <w:num w:numId="31" w16cid:durableId="1691446241">
    <w:abstractNumId w:val="12"/>
  </w:num>
  <w:num w:numId="32" w16cid:durableId="405735060">
    <w:abstractNumId w:val="12"/>
  </w:num>
  <w:num w:numId="33" w16cid:durableId="42462113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4F2D"/>
    <w:rsid w:val="0001479E"/>
    <w:rsid w:val="000162B0"/>
    <w:rsid w:val="00020CEB"/>
    <w:rsid w:val="00026AA3"/>
    <w:rsid w:val="0003023B"/>
    <w:rsid w:val="0003082D"/>
    <w:rsid w:val="00031D17"/>
    <w:rsid w:val="000327B2"/>
    <w:rsid w:val="00033DD2"/>
    <w:rsid w:val="00043D1D"/>
    <w:rsid w:val="00044ACE"/>
    <w:rsid w:val="0004550E"/>
    <w:rsid w:val="00051BA5"/>
    <w:rsid w:val="00052614"/>
    <w:rsid w:val="00054EBB"/>
    <w:rsid w:val="000615AC"/>
    <w:rsid w:val="000723F7"/>
    <w:rsid w:val="0007331B"/>
    <w:rsid w:val="00074485"/>
    <w:rsid w:val="00082422"/>
    <w:rsid w:val="000828F1"/>
    <w:rsid w:val="00082F59"/>
    <w:rsid w:val="000921F2"/>
    <w:rsid w:val="00094261"/>
    <w:rsid w:val="00094333"/>
    <w:rsid w:val="00095BF7"/>
    <w:rsid w:val="00097FAB"/>
    <w:rsid w:val="000A5FED"/>
    <w:rsid w:val="000B4FFB"/>
    <w:rsid w:val="000B65E3"/>
    <w:rsid w:val="000B7090"/>
    <w:rsid w:val="000C0A65"/>
    <w:rsid w:val="000C3D19"/>
    <w:rsid w:val="000D2E70"/>
    <w:rsid w:val="000D37BC"/>
    <w:rsid w:val="000D3DD2"/>
    <w:rsid w:val="000D6F43"/>
    <w:rsid w:val="000E52CE"/>
    <w:rsid w:val="000F21C9"/>
    <w:rsid w:val="000F3AAB"/>
    <w:rsid w:val="000F6E25"/>
    <w:rsid w:val="000F71B5"/>
    <w:rsid w:val="001011DF"/>
    <w:rsid w:val="001016A6"/>
    <w:rsid w:val="00112B69"/>
    <w:rsid w:val="0011563C"/>
    <w:rsid w:val="00122F4F"/>
    <w:rsid w:val="00125640"/>
    <w:rsid w:val="001261DB"/>
    <w:rsid w:val="001316D3"/>
    <w:rsid w:val="00131918"/>
    <w:rsid w:val="00140888"/>
    <w:rsid w:val="00142432"/>
    <w:rsid w:val="001554CD"/>
    <w:rsid w:val="00155A91"/>
    <w:rsid w:val="00160CFF"/>
    <w:rsid w:val="001613E2"/>
    <w:rsid w:val="0016459D"/>
    <w:rsid w:val="001647B2"/>
    <w:rsid w:val="001648D4"/>
    <w:rsid w:val="00167017"/>
    <w:rsid w:val="00167732"/>
    <w:rsid w:val="00181DAF"/>
    <w:rsid w:val="001845E9"/>
    <w:rsid w:val="0019210D"/>
    <w:rsid w:val="001976BB"/>
    <w:rsid w:val="00197765"/>
    <w:rsid w:val="001A246C"/>
    <w:rsid w:val="001A3BFB"/>
    <w:rsid w:val="001A3C20"/>
    <w:rsid w:val="001A56F6"/>
    <w:rsid w:val="001B198C"/>
    <w:rsid w:val="001B236A"/>
    <w:rsid w:val="001B3895"/>
    <w:rsid w:val="001B7388"/>
    <w:rsid w:val="001C5BB5"/>
    <w:rsid w:val="001C6BDD"/>
    <w:rsid w:val="001D2302"/>
    <w:rsid w:val="001D7BB3"/>
    <w:rsid w:val="001E12A6"/>
    <w:rsid w:val="001E498F"/>
    <w:rsid w:val="001F069C"/>
    <w:rsid w:val="001F7CF8"/>
    <w:rsid w:val="00205828"/>
    <w:rsid w:val="002138F5"/>
    <w:rsid w:val="002142E2"/>
    <w:rsid w:val="00214B9D"/>
    <w:rsid w:val="00222F1B"/>
    <w:rsid w:val="0022518C"/>
    <w:rsid w:val="00230A3A"/>
    <w:rsid w:val="0023320A"/>
    <w:rsid w:val="00237A7E"/>
    <w:rsid w:val="0024137A"/>
    <w:rsid w:val="00241F16"/>
    <w:rsid w:val="00245FB5"/>
    <w:rsid w:val="00247969"/>
    <w:rsid w:val="00250DA1"/>
    <w:rsid w:val="00252C17"/>
    <w:rsid w:val="002559AC"/>
    <w:rsid w:val="00257677"/>
    <w:rsid w:val="0026182A"/>
    <w:rsid w:val="002619DF"/>
    <w:rsid w:val="0026315B"/>
    <w:rsid w:val="002708E7"/>
    <w:rsid w:val="00275FCA"/>
    <w:rsid w:val="00277EBE"/>
    <w:rsid w:val="002838FB"/>
    <w:rsid w:val="00285249"/>
    <w:rsid w:val="00291356"/>
    <w:rsid w:val="00296576"/>
    <w:rsid w:val="00297842"/>
    <w:rsid w:val="002A252E"/>
    <w:rsid w:val="002A518F"/>
    <w:rsid w:val="002A73F4"/>
    <w:rsid w:val="002B36DE"/>
    <w:rsid w:val="002C137E"/>
    <w:rsid w:val="002C623D"/>
    <w:rsid w:val="002D02DF"/>
    <w:rsid w:val="002D3F80"/>
    <w:rsid w:val="002D470A"/>
    <w:rsid w:val="002D5A0F"/>
    <w:rsid w:val="002D6E25"/>
    <w:rsid w:val="002D7B80"/>
    <w:rsid w:val="002E02F4"/>
    <w:rsid w:val="002E084B"/>
    <w:rsid w:val="002E2C56"/>
    <w:rsid w:val="002E7F1E"/>
    <w:rsid w:val="002F2DEB"/>
    <w:rsid w:val="002F3903"/>
    <w:rsid w:val="002F4A52"/>
    <w:rsid w:val="002F7D90"/>
    <w:rsid w:val="0030026A"/>
    <w:rsid w:val="0030211D"/>
    <w:rsid w:val="00305173"/>
    <w:rsid w:val="00316F6C"/>
    <w:rsid w:val="00321A76"/>
    <w:rsid w:val="003264F3"/>
    <w:rsid w:val="00326E3E"/>
    <w:rsid w:val="00335E5B"/>
    <w:rsid w:val="00341FAB"/>
    <w:rsid w:val="00354E3D"/>
    <w:rsid w:val="00354F5D"/>
    <w:rsid w:val="0036001B"/>
    <w:rsid w:val="00360B0D"/>
    <w:rsid w:val="00365ECE"/>
    <w:rsid w:val="003744DA"/>
    <w:rsid w:val="00380685"/>
    <w:rsid w:val="00380FA7"/>
    <w:rsid w:val="00381BF8"/>
    <w:rsid w:val="00384904"/>
    <w:rsid w:val="003856AF"/>
    <w:rsid w:val="00394AB2"/>
    <w:rsid w:val="003A0DF7"/>
    <w:rsid w:val="003A7A74"/>
    <w:rsid w:val="003B4CCD"/>
    <w:rsid w:val="003B4DED"/>
    <w:rsid w:val="003B6F14"/>
    <w:rsid w:val="003B7895"/>
    <w:rsid w:val="003C07EE"/>
    <w:rsid w:val="003C12C5"/>
    <w:rsid w:val="003C27EF"/>
    <w:rsid w:val="003C2AD9"/>
    <w:rsid w:val="003C32E9"/>
    <w:rsid w:val="003C3898"/>
    <w:rsid w:val="003C79A5"/>
    <w:rsid w:val="003D0707"/>
    <w:rsid w:val="003D2605"/>
    <w:rsid w:val="003D64D6"/>
    <w:rsid w:val="003D6935"/>
    <w:rsid w:val="003E034A"/>
    <w:rsid w:val="003E1415"/>
    <w:rsid w:val="003E2DCE"/>
    <w:rsid w:val="003E324D"/>
    <w:rsid w:val="003E3E21"/>
    <w:rsid w:val="00401AB8"/>
    <w:rsid w:val="004071B5"/>
    <w:rsid w:val="004103FF"/>
    <w:rsid w:val="00416281"/>
    <w:rsid w:val="00422353"/>
    <w:rsid w:val="00422D2C"/>
    <w:rsid w:val="00426915"/>
    <w:rsid w:val="00426D59"/>
    <w:rsid w:val="004273E7"/>
    <w:rsid w:val="00433F63"/>
    <w:rsid w:val="004340B9"/>
    <w:rsid w:val="00434F99"/>
    <w:rsid w:val="00435788"/>
    <w:rsid w:val="004359E6"/>
    <w:rsid w:val="00436BC6"/>
    <w:rsid w:val="00443CE3"/>
    <w:rsid w:val="00444692"/>
    <w:rsid w:val="0044603C"/>
    <w:rsid w:val="00452E7B"/>
    <w:rsid w:val="0045332B"/>
    <w:rsid w:val="004546FA"/>
    <w:rsid w:val="00460860"/>
    <w:rsid w:val="00462034"/>
    <w:rsid w:val="00464A40"/>
    <w:rsid w:val="0046575C"/>
    <w:rsid w:val="00466411"/>
    <w:rsid w:val="00471139"/>
    <w:rsid w:val="00471CE4"/>
    <w:rsid w:val="00476F8C"/>
    <w:rsid w:val="00481630"/>
    <w:rsid w:val="00481A9D"/>
    <w:rsid w:val="00481FE7"/>
    <w:rsid w:val="0048532C"/>
    <w:rsid w:val="0049103F"/>
    <w:rsid w:val="004933F6"/>
    <w:rsid w:val="004A0DFE"/>
    <w:rsid w:val="004A3C62"/>
    <w:rsid w:val="004B32C4"/>
    <w:rsid w:val="004C0971"/>
    <w:rsid w:val="004C0C25"/>
    <w:rsid w:val="004C0CAC"/>
    <w:rsid w:val="004C2111"/>
    <w:rsid w:val="004C2A59"/>
    <w:rsid w:val="004C5E6C"/>
    <w:rsid w:val="004C732E"/>
    <w:rsid w:val="004D20AE"/>
    <w:rsid w:val="004D3578"/>
    <w:rsid w:val="004D39CF"/>
    <w:rsid w:val="004F1A16"/>
    <w:rsid w:val="004F207F"/>
    <w:rsid w:val="004F5D91"/>
    <w:rsid w:val="005002A7"/>
    <w:rsid w:val="005046F9"/>
    <w:rsid w:val="0050709D"/>
    <w:rsid w:val="005070FA"/>
    <w:rsid w:val="00507317"/>
    <w:rsid w:val="0050782C"/>
    <w:rsid w:val="0051306D"/>
    <w:rsid w:val="00513A3C"/>
    <w:rsid w:val="00517083"/>
    <w:rsid w:val="0052186A"/>
    <w:rsid w:val="00522633"/>
    <w:rsid w:val="00527E23"/>
    <w:rsid w:val="00531C25"/>
    <w:rsid w:val="005321DA"/>
    <w:rsid w:val="005352E2"/>
    <w:rsid w:val="00535A0A"/>
    <w:rsid w:val="0053655B"/>
    <w:rsid w:val="0054013C"/>
    <w:rsid w:val="00542B8A"/>
    <w:rsid w:val="0054381E"/>
    <w:rsid w:val="00543DC9"/>
    <w:rsid w:val="00547541"/>
    <w:rsid w:val="00551365"/>
    <w:rsid w:val="0055164B"/>
    <w:rsid w:val="00552729"/>
    <w:rsid w:val="005627FF"/>
    <w:rsid w:val="00567F8B"/>
    <w:rsid w:val="00571910"/>
    <w:rsid w:val="0057351E"/>
    <w:rsid w:val="00577D61"/>
    <w:rsid w:val="005822AC"/>
    <w:rsid w:val="0058321F"/>
    <w:rsid w:val="00587791"/>
    <w:rsid w:val="005910D7"/>
    <w:rsid w:val="00593EC3"/>
    <w:rsid w:val="005A4421"/>
    <w:rsid w:val="005A4862"/>
    <w:rsid w:val="005A675F"/>
    <w:rsid w:val="005B405A"/>
    <w:rsid w:val="005B4E64"/>
    <w:rsid w:val="005C2CCB"/>
    <w:rsid w:val="005C6479"/>
    <w:rsid w:val="005C6559"/>
    <w:rsid w:val="005C69FD"/>
    <w:rsid w:val="005D1324"/>
    <w:rsid w:val="005D17B0"/>
    <w:rsid w:val="005D7025"/>
    <w:rsid w:val="005E2D67"/>
    <w:rsid w:val="005E5578"/>
    <w:rsid w:val="005F3DBC"/>
    <w:rsid w:val="005F4D62"/>
    <w:rsid w:val="005F56C8"/>
    <w:rsid w:val="005F6973"/>
    <w:rsid w:val="005F6E6A"/>
    <w:rsid w:val="0060149A"/>
    <w:rsid w:val="00606541"/>
    <w:rsid w:val="0060710E"/>
    <w:rsid w:val="00610ED7"/>
    <w:rsid w:val="00620CE3"/>
    <w:rsid w:val="00621086"/>
    <w:rsid w:val="0062775E"/>
    <w:rsid w:val="0063224A"/>
    <w:rsid w:val="006365A1"/>
    <w:rsid w:val="00636AA2"/>
    <w:rsid w:val="0063706A"/>
    <w:rsid w:val="00640E81"/>
    <w:rsid w:val="00655DDC"/>
    <w:rsid w:val="00656078"/>
    <w:rsid w:val="006635F3"/>
    <w:rsid w:val="00666764"/>
    <w:rsid w:val="0066694B"/>
    <w:rsid w:val="00667DB6"/>
    <w:rsid w:val="006771E8"/>
    <w:rsid w:val="00677C01"/>
    <w:rsid w:val="00683CC7"/>
    <w:rsid w:val="00692CA5"/>
    <w:rsid w:val="006932D7"/>
    <w:rsid w:val="00693A4D"/>
    <w:rsid w:val="00694266"/>
    <w:rsid w:val="006A118A"/>
    <w:rsid w:val="006B06A2"/>
    <w:rsid w:val="006B5A23"/>
    <w:rsid w:val="006C3D37"/>
    <w:rsid w:val="006C6376"/>
    <w:rsid w:val="006D5444"/>
    <w:rsid w:val="006D6FF5"/>
    <w:rsid w:val="006E08F3"/>
    <w:rsid w:val="006E128C"/>
    <w:rsid w:val="006F1B19"/>
    <w:rsid w:val="006F29ED"/>
    <w:rsid w:val="006F4F77"/>
    <w:rsid w:val="006F7E16"/>
    <w:rsid w:val="0070147C"/>
    <w:rsid w:val="0071001A"/>
    <w:rsid w:val="00710378"/>
    <w:rsid w:val="00714FD6"/>
    <w:rsid w:val="00724509"/>
    <w:rsid w:val="007265F7"/>
    <w:rsid w:val="0073084B"/>
    <w:rsid w:val="00731894"/>
    <w:rsid w:val="007331C2"/>
    <w:rsid w:val="00733488"/>
    <w:rsid w:val="00737506"/>
    <w:rsid w:val="00741488"/>
    <w:rsid w:val="00745E7E"/>
    <w:rsid w:val="00746356"/>
    <w:rsid w:val="00746796"/>
    <w:rsid w:val="00746D91"/>
    <w:rsid w:val="00747686"/>
    <w:rsid w:val="00751FC1"/>
    <w:rsid w:val="0075598A"/>
    <w:rsid w:val="00755ECD"/>
    <w:rsid w:val="00761097"/>
    <w:rsid w:val="00761813"/>
    <w:rsid w:val="00761EEB"/>
    <w:rsid w:val="00771B85"/>
    <w:rsid w:val="00775DA6"/>
    <w:rsid w:val="0078044B"/>
    <w:rsid w:val="0078170A"/>
    <w:rsid w:val="00790956"/>
    <w:rsid w:val="0079502D"/>
    <w:rsid w:val="007A0755"/>
    <w:rsid w:val="007A0E92"/>
    <w:rsid w:val="007A31D9"/>
    <w:rsid w:val="007A5720"/>
    <w:rsid w:val="007A74F9"/>
    <w:rsid w:val="007B0B5B"/>
    <w:rsid w:val="007B7F94"/>
    <w:rsid w:val="007C43FB"/>
    <w:rsid w:val="007D41A1"/>
    <w:rsid w:val="007D4387"/>
    <w:rsid w:val="007D55B1"/>
    <w:rsid w:val="007E05E1"/>
    <w:rsid w:val="007E0D5A"/>
    <w:rsid w:val="007E28FA"/>
    <w:rsid w:val="007F1F67"/>
    <w:rsid w:val="007F7C1F"/>
    <w:rsid w:val="008033D0"/>
    <w:rsid w:val="00803576"/>
    <w:rsid w:val="00803FB6"/>
    <w:rsid w:val="008059EF"/>
    <w:rsid w:val="0080666E"/>
    <w:rsid w:val="008119D2"/>
    <w:rsid w:val="008128F7"/>
    <w:rsid w:val="00812938"/>
    <w:rsid w:val="00815E98"/>
    <w:rsid w:val="00823EEB"/>
    <w:rsid w:val="00824096"/>
    <w:rsid w:val="00826A69"/>
    <w:rsid w:val="00827B71"/>
    <w:rsid w:val="00830DAC"/>
    <w:rsid w:val="0083134C"/>
    <w:rsid w:val="00832F51"/>
    <w:rsid w:val="00843100"/>
    <w:rsid w:val="00844CDC"/>
    <w:rsid w:val="008461C3"/>
    <w:rsid w:val="00847054"/>
    <w:rsid w:val="00850F25"/>
    <w:rsid w:val="00852914"/>
    <w:rsid w:val="008534AA"/>
    <w:rsid w:val="008534F8"/>
    <w:rsid w:val="00853F92"/>
    <w:rsid w:val="0085428E"/>
    <w:rsid w:val="00857FCE"/>
    <w:rsid w:val="00865B53"/>
    <w:rsid w:val="00870396"/>
    <w:rsid w:val="008719C2"/>
    <w:rsid w:val="00872635"/>
    <w:rsid w:val="00874243"/>
    <w:rsid w:val="008805E1"/>
    <w:rsid w:val="00884189"/>
    <w:rsid w:val="00884FF7"/>
    <w:rsid w:val="00893E22"/>
    <w:rsid w:val="00894ACE"/>
    <w:rsid w:val="008967DA"/>
    <w:rsid w:val="00897D7C"/>
    <w:rsid w:val="008A0C06"/>
    <w:rsid w:val="008A3842"/>
    <w:rsid w:val="008A7A08"/>
    <w:rsid w:val="008B0731"/>
    <w:rsid w:val="008B19D9"/>
    <w:rsid w:val="008B1FD3"/>
    <w:rsid w:val="008B204B"/>
    <w:rsid w:val="008C23E0"/>
    <w:rsid w:val="008C2ACB"/>
    <w:rsid w:val="008C49AE"/>
    <w:rsid w:val="008C59F7"/>
    <w:rsid w:val="008D3D24"/>
    <w:rsid w:val="008D3F77"/>
    <w:rsid w:val="008D4F29"/>
    <w:rsid w:val="008D7C54"/>
    <w:rsid w:val="008E6BD0"/>
    <w:rsid w:val="008E7687"/>
    <w:rsid w:val="008F0E3C"/>
    <w:rsid w:val="008F11FA"/>
    <w:rsid w:val="008F33AE"/>
    <w:rsid w:val="008F4ACA"/>
    <w:rsid w:val="008F5F27"/>
    <w:rsid w:val="00906097"/>
    <w:rsid w:val="009123CF"/>
    <w:rsid w:val="00912F98"/>
    <w:rsid w:val="009176C7"/>
    <w:rsid w:val="00917FBB"/>
    <w:rsid w:val="009219CA"/>
    <w:rsid w:val="009223D3"/>
    <w:rsid w:val="00927E89"/>
    <w:rsid w:val="00930551"/>
    <w:rsid w:val="00930FD6"/>
    <w:rsid w:val="00931D7A"/>
    <w:rsid w:val="009346B6"/>
    <w:rsid w:val="00935D8D"/>
    <w:rsid w:val="00942FE8"/>
    <w:rsid w:val="009534C6"/>
    <w:rsid w:val="00957E70"/>
    <w:rsid w:val="00963958"/>
    <w:rsid w:val="00970DAB"/>
    <w:rsid w:val="009713A7"/>
    <w:rsid w:val="009719D5"/>
    <w:rsid w:val="00972E75"/>
    <w:rsid w:val="0097321D"/>
    <w:rsid w:val="00977C19"/>
    <w:rsid w:val="00984400"/>
    <w:rsid w:val="00986DBB"/>
    <w:rsid w:val="00992531"/>
    <w:rsid w:val="00995CD5"/>
    <w:rsid w:val="009A1787"/>
    <w:rsid w:val="009A3DA5"/>
    <w:rsid w:val="009A4F5A"/>
    <w:rsid w:val="009A5E39"/>
    <w:rsid w:val="009B0C28"/>
    <w:rsid w:val="009B1605"/>
    <w:rsid w:val="009B1F44"/>
    <w:rsid w:val="009B3915"/>
    <w:rsid w:val="009B4573"/>
    <w:rsid w:val="009B545D"/>
    <w:rsid w:val="009B65F3"/>
    <w:rsid w:val="009C002A"/>
    <w:rsid w:val="009C1062"/>
    <w:rsid w:val="009C2D70"/>
    <w:rsid w:val="009C42B6"/>
    <w:rsid w:val="009D23D8"/>
    <w:rsid w:val="009D617A"/>
    <w:rsid w:val="009D74EA"/>
    <w:rsid w:val="009E278C"/>
    <w:rsid w:val="009E68DE"/>
    <w:rsid w:val="009E74E1"/>
    <w:rsid w:val="009F4C7B"/>
    <w:rsid w:val="009F6B10"/>
    <w:rsid w:val="009F6EDC"/>
    <w:rsid w:val="00A01742"/>
    <w:rsid w:val="00A0276B"/>
    <w:rsid w:val="00A035CE"/>
    <w:rsid w:val="00A0537F"/>
    <w:rsid w:val="00A0602E"/>
    <w:rsid w:val="00A06C1F"/>
    <w:rsid w:val="00A07FFA"/>
    <w:rsid w:val="00A11FB4"/>
    <w:rsid w:val="00A1550B"/>
    <w:rsid w:val="00A16103"/>
    <w:rsid w:val="00A1717F"/>
    <w:rsid w:val="00A32C56"/>
    <w:rsid w:val="00A35782"/>
    <w:rsid w:val="00A362F9"/>
    <w:rsid w:val="00A4154F"/>
    <w:rsid w:val="00A43534"/>
    <w:rsid w:val="00A43EE6"/>
    <w:rsid w:val="00A477A0"/>
    <w:rsid w:val="00A47CCA"/>
    <w:rsid w:val="00A52190"/>
    <w:rsid w:val="00A60F49"/>
    <w:rsid w:val="00A61E15"/>
    <w:rsid w:val="00A66F91"/>
    <w:rsid w:val="00A70229"/>
    <w:rsid w:val="00A76441"/>
    <w:rsid w:val="00A76BEB"/>
    <w:rsid w:val="00A87C6C"/>
    <w:rsid w:val="00A918D1"/>
    <w:rsid w:val="00A93309"/>
    <w:rsid w:val="00A93A9A"/>
    <w:rsid w:val="00AA375B"/>
    <w:rsid w:val="00AA389B"/>
    <w:rsid w:val="00AA5C16"/>
    <w:rsid w:val="00AA677D"/>
    <w:rsid w:val="00AB398D"/>
    <w:rsid w:val="00AB7231"/>
    <w:rsid w:val="00AC155C"/>
    <w:rsid w:val="00AC31D4"/>
    <w:rsid w:val="00AC3A6B"/>
    <w:rsid w:val="00AC6098"/>
    <w:rsid w:val="00AD04FD"/>
    <w:rsid w:val="00AD2441"/>
    <w:rsid w:val="00AE0A40"/>
    <w:rsid w:val="00AE2BF6"/>
    <w:rsid w:val="00AE3370"/>
    <w:rsid w:val="00AE64CA"/>
    <w:rsid w:val="00AF7092"/>
    <w:rsid w:val="00AF791B"/>
    <w:rsid w:val="00B004AB"/>
    <w:rsid w:val="00B02B85"/>
    <w:rsid w:val="00B04C55"/>
    <w:rsid w:val="00B1324D"/>
    <w:rsid w:val="00B157E2"/>
    <w:rsid w:val="00B16278"/>
    <w:rsid w:val="00B21241"/>
    <w:rsid w:val="00B24A45"/>
    <w:rsid w:val="00B25B92"/>
    <w:rsid w:val="00B26948"/>
    <w:rsid w:val="00B34504"/>
    <w:rsid w:val="00B34D51"/>
    <w:rsid w:val="00B36A0E"/>
    <w:rsid w:val="00B36BA1"/>
    <w:rsid w:val="00B376DA"/>
    <w:rsid w:val="00B379C5"/>
    <w:rsid w:val="00B40D67"/>
    <w:rsid w:val="00B43C45"/>
    <w:rsid w:val="00B45FB7"/>
    <w:rsid w:val="00B46CF5"/>
    <w:rsid w:val="00B55EE8"/>
    <w:rsid w:val="00B56E6C"/>
    <w:rsid w:val="00B61CBE"/>
    <w:rsid w:val="00B63D0E"/>
    <w:rsid w:val="00B7209E"/>
    <w:rsid w:val="00B83039"/>
    <w:rsid w:val="00B90E2D"/>
    <w:rsid w:val="00B9173B"/>
    <w:rsid w:val="00B926C3"/>
    <w:rsid w:val="00B93F4A"/>
    <w:rsid w:val="00BA4610"/>
    <w:rsid w:val="00BA5B00"/>
    <w:rsid w:val="00BB1A07"/>
    <w:rsid w:val="00BB6DAD"/>
    <w:rsid w:val="00BB7152"/>
    <w:rsid w:val="00BB7346"/>
    <w:rsid w:val="00BC1555"/>
    <w:rsid w:val="00BC60A9"/>
    <w:rsid w:val="00BC66F0"/>
    <w:rsid w:val="00BD5274"/>
    <w:rsid w:val="00BE0C8A"/>
    <w:rsid w:val="00BE334D"/>
    <w:rsid w:val="00BE4988"/>
    <w:rsid w:val="00BE5194"/>
    <w:rsid w:val="00BE55C5"/>
    <w:rsid w:val="00BF0A24"/>
    <w:rsid w:val="00BF1C24"/>
    <w:rsid w:val="00BF2B91"/>
    <w:rsid w:val="00BF5E73"/>
    <w:rsid w:val="00C00DA9"/>
    <w:rsid w:val="00C050FF"/>
    <w:rsid w:val="00C05C89"/>
    <w:rsid w:val="00C06686"/>
    <w:rsid w:val="00C06939"/>
    <w:rsid w:val="00C130E3"/>
    <w:rsid w:val="00C134AA"/>
    <w:rsid w:val="00C17D0D"/>
    <w:rsid w:val="00C21055"/>
    <w:rsid w:val="00C21E3B"/>
    <w:rsid w:val="00C256BC"/>
    <w:rsid w:val="00C309C8"/>
    <w:rsid w:val="00C33812"/>
    <w:rsid w:val="00C35B1A"/>
    <w:rsid w:val="00C36B3E"/>
    <w:rsid w:val="00C41C7D"/>
    <w:rsid w:val="00C63023"/>
    <w:rsid w:val="00C63743"/>
    <w:rsid w:val="00C73C79"/>
    <w:rsid w:val="00C74D36"/>
    <w:rsid w:val="00C76C6C"/>
    <w:rsid w:val="00C80EC5"/>
    <w:rsid w:val="00C82C58"/>
    <w:rsid w:val="00C86BB9"/>
    <w:rsid w:val="00C8772C"/>
    <w:rsid w:val="00C9576E"/>
    <w:rsid w:val="00C9774B"/>
    <w:rsid w:val="00CA10F4"/>
    <w:rsid w:val="00CA1C41"/>
    <w:rsid w:val="00CA43FD"/>
    <w:rsid w:val="00CA5838"/>
    <w:rsid w:val="00CB18EB"/>
    <w:rsid w:val="00CB3CFE"/>
    <w:rsid w:val="00CB432D"/>
    <w:rsid w:val="00CB441E"/>
    <w:rsid w:val="00CC72E9"/>
    <w:rsid w:val="00CC76A1"/>
    <w:rsid w:val="00CC7F41"/>
    <w:rsid w:val="00CD25C2"/>
    <w:rsid w:val="00CE24E5"/>
    <w:rsid w:val="00CE41DB"/>
    <w:rsid w:val="00CE4D96"/>
    <w:rsid w:val="00CE6BBB"/>
    <w:rsid w:val="00CF36F0"/>
    <w:rsid w:val="00CF3776"/>
    <w:rsid w:val="00CF762A"/>
    <w:rsid w:val="00D0608B"/>
    <w:rsid w:val="00D078C4"/>
    <w:rsid w:val="00D10E30"/>
    <w:rsid w:val="00D15EA5"/>
    <w:rsid w:val="00D20CAF"/>
    <w:rsid w:val="00D2100B"/>
    <w:rsid w:val="00D25463"/>
    <w:rsid w:val="00D3089E"/>
    <w:rsid w:val="00D31D7A"/>
    <w:rsid w:val="00D3346B"/>
    <w:rsid w:val="00D33E60"/>
    <w:rsid w:val="00D35E12"/>
    <w:rsid w:val="00D40CB4"/>
    <w:rsid w:val="00D460E7"/>
    <w:rsid w:val="00D63ABC"/>
    <w:rsid w:val="00D67276"/>
    <w:rsid w:val="00D675F1"/>
    <w:rsid w:val="00D73B96"/>
    <w:rsid w:val="00D807FF"/>
    <w:rsid w:val="00D80807"/>
    <w:rsid w:val="00D860EC"/>
    <w:rsid w:val="00D86917"/>
    <w:rsid w:val="00D86A9D"/>
    <w:rsid w:val="00D92A9D"/>
    <w:rsid w:val="00D92F22"/>
    <w:rsid w:val="00D92F9A"/>
    <w:rsid w:val="00D93DC5"/>
    <w:rsid w:val="00D9427D"/>
    <w:rsid w:val="00D94ECD"/>
    <w:rsid w:val="00D96128"/>
    <w:rsid w:val="00DA1CC6"/>
    <w:rsid w:val="00DA257E"/>
    <w:rsid w:val="00DA288D"/>
    <w:rsid w:val="00DA36EE"/>
    <w:rsid w:val="00DA452E"/>
    <w:rsid w:val="00DA5128"/>
    <w:rsid w:val="00DB308D"/>
    <w:rsid w:val="00DB5F40"/>
    <w:rsid w:val="00DC4EFA"/>
    <w:rsid w:val="00DD02D4"/>
    <w:rsid w:val="00DD1E47"/>
    <w:rsid w:val="00DD3A3F"/>
    <w:rsid w:val="00DD61A9"/>
    <w:rsid w:val="00DD6EF1"/>
    <w:rsid w:val="00DE352F"/>
    <w:rsid w:val="00DE4958"/>
    <w:rsid w:val="00DF1404"/>
    <w:rsid w:val="00DF2E01"/>
    <w:rsid w:val="00DF329A"/>
    <w:rsid w:val="00E02B38"/>
    <w:rsid w:val="00E04361"/>
    <w:rsid w:val="00E064FD"/>
    <w:rsid w:val="00E1053A"/>
    <w:rsid w:val="00E123DC"/>
    <w:rsid w:val="00E12A39"/>
    <w:rsid w:val="00E215E5"/>
    <w:rsid w:val="00E219C3"/>
    <w:rsid w:val="00E26AF3"/>
    <w:rsid w:val="00E276E0"/>
    <w:rsid w:val="00E314EA"/>
    <w:rsid w:val="00E33FDA"/>
    <w:rsid w:val="00E406D5"/>
    <w:rsid w:val="00E43C68"/>
    <w:rsid w:val="00E43D9D"/>
    <w:rsid w:val="00E56701"/>
    <w:rsid w:val="00E56D49"/>
    <w:rsid w:val="00E56DF4"/>
    <w:rsid w:val="00E57198"/>
    <w:rsid w:val="00E62754"/>
    <w:rsid w:val="00E64339"/>
    <w:rsid w:val="00E64D2D"/>
    <w:rsid w:val="00E66372"/>
    <w:rsid w:val="00E72D2B"/>
    <w:rsid w:val="00E72D34"/>
    <w:rsid w:val="00E7427E"/>
    <w:rsid w:val="00E85FF4"/>
    <w:rsid w:val="00E86B53"/>
    <w:rsid w:val="00E90073"/>
    <w:rsid w:val="00E9110B"/>
    <w:rsid w:val="00E92C67"/>
    <w:rsid w:val="00E93AE8"/>
    <w:rsid w:val="00E9470E"/>
    <w:rsid w:val="00E96FDA"/>
    <w:rsid w:val="00EA08B9"/>
    <w:rsid w:val="00EA0D4D"/>
    <w:rsid w:val="00EA143F"/>
    <w:rsid w:val="00EA2B6F"/>
    <w:rsid w:val="00EA4150"/>
    <w:rsid w:val="00EA6386"/>
    <w:rsid w:val="00EB07A6"/>
    <w:rsid w:val="00EB106B"/>
    <w:rsid w:val="00EB3478"/>
    <w:rsid w:val="00EB4B39"/>
    <w:rsid w:val="00EB6FE3"/>
    <w:rsid w:val="00EB71AD"/>
    <w:rsid w:val="00ED1E24"/>
    <w:rsid w:val="00EE0F65"/>
    <w:rsid w:val="00EE1CE1"/>
    <w:rsid w:val="00EE3A71"/>
    <w:rsid w:val="00EE7EEC"/>
    <w:rsid w:val="00F01283"/>
    <w:rsid w:val="00F02AAE"/>
    <w:rsid w:val="00F11A64"/>
    <w:rsid w:val="00F12F1B"/>
    <w:rsid w:val="00F17584"/>
    <w:rsid w:val="00F17701"/>
    <w:rsid w:val="00F21183"/>
    <w:rsid w:val="00F246A1"/>
    <w:rsid w:val="00F26DED"/>
    <w:rsid w:val="00F37917"/>
    <w:rsid w:val="00F42D5E"/>
    <w:rsid w:val="00F5416F"/>
    <w:rsid w:val="00F5513E"/>
    <w:rsid w:val="00F63175"/>
    <w:rsid w:val="00F63F3F"/>
    <w:rsid w:val="00F66FA5"/>
    <w:rsid w:val="00F71678"/>
    <w:rsid w:val="00F71CCD"/>
    <w:rsid w:val="00F730E3"/>
    <w:rsid w:val="00F755E9"/>
    <w:rsid w:val="00F82396"/>
    <w:rsid w:val="00F82E6E"/>
    <w:rsid w:val="00F86A0D"/>
    <w:rsid w:val="00F909CD"/>
    <w:rsid w:val="00F946A1"/>
    <w:rsid w:val="00F974D1"/>
    <w:rsid w:val="00FA16E0"/>
    <w:rsid w:val="00FC0FA5"/>
    <w:rsid w:val="00FC4397"/>
    <w:rsid w:val="00FD05AD"/>
    <w:rsid w:val="00FD0666"/>
    <w:rsid w:val="00FD324B"/>
    <w:rsid w:val="00FD7295"/>
    <w:rsid w:val="00FE2187"/>
    <w:rsid w:val="00FE320C"/>
    <w:rsid w:val="00FE513D"/>
    <w:rsid w:val="00FE51D6"/>
    <w:rsid w:val="00FE6083"/>
    <w:rsid w:val="00FE651C"/>
    <w:rsid w:val="00FE7323"/>
    <w:rsid w:val="00FF210A"/>
    <w:rsid w:val="00FF5B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9CED44"/>
  <w15:docId w15:val="{82C6C84F-0705-4B05-9F2B-F85CA7540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1">
    <w:name w:val="Grid Table 2 Accent 1"/>
    <w:basedOn w:val="TableNormal"/>
    <w:uiPriority w:val="47"/>
    <w:rsid w:val="004A0DFE"/>
    <w:tblPr>
      <w:tblStyleRowBandSize w:val="1"/>
      <w:tblStyleColBandSize w:val="1"/>
    </w:tblPr>
    <w:tcPr>
      <w:shd w:val="clear" w:color="auto" w:fill="DACDED" w:themeFill="accent1" w:themeFillTint="33"/>
    </w:tc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2">
    <w:name w:val="Grid Table 2 Accent 2"/>
    <w:basedOn w:val="TableNormal"/>
    <w:uiPriority w:val="47"/>
    <w:rsid w:val="004A0DFE"/>
    <w:tblPr>
      <w:tblStyleRowBandSize w:val="1"/>
      <w:tblStyleColBandSize w:val="1"/>
    </w:tblPr>
    <w:tcPr>
      <w:shd w:val="clear" w:color="auto" w:fill="F4F2EF" w:themeFill="accent2" w:themeFillTint="33"/>
    </w:tc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3">
    <w:name w:val="Grid Table 2 Accent 3"/>
    <w:basedOn w:val="TableNormal"/>
    <w:uiPriority w:val="47"/>
    <w:rsid w:val="004A0DFE"/>
    <w:tblPr>
      <w:tblStyleRowBandSize w:val="1"/>
      <w:tblStyleColBandSize w:val="1"/>
    </w:tblPr>
    <w:tcPr>
      <w:shd w:val="clear" w:color="auto" w:fill="BDF9FF" w:themeFill="accent3" w:themeFillTint="33"/>
    </w:tc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4">
    <w:name w:val="Grid Table 2 Accent 4"/>
    <w:basedOn w:val="TableNormal"/>
    <w:uiPriority w:val="47"/>
    <w:rsid w:val="004A0DFE"/>
    <w:tblPr>
      <w:tblStyleRowBandSize w:val="1"/>
      <w:tblStyleColBandSize w:val="1"/>
    </w:tblPr>
    <w:tcPr>
      <w:shd w:val="clear" w:color="auto" w:fill="FFE4D2" w:themeFill="accent4" w:themeFillTint="33"/>
    </w:tc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5">
    <w:name w:val="Grid Table 2 Accent 5"/>
    <w:basedOn w:val="TableNormal"/>
    <w:uiPriority w:val="47"/>
    <w:rsid w:val="004A0DFE"/>
    <w:tblPr>
      <w:tblStyleRowBandSize w:val="1"/>
      <w:tblStyleColBandSize w:val="1"/>
    </w:tblPr>
    <w:tcPr>
      <w:shd w:val="clear" w:color="auto" w:fill="EAF7D6" w:themeFill="accent5" w:themeFillTint="33"/>
    </w:tc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6">
    <w:name w:val="Grid Table 2 Accent 6"/>
    <w:basedOn w:val="TableNormal"/>
    <w:uiPriority w:val="47"/>
    <w:rsid w:val="004A0DFE"/>
    <w:tblPr>
      <w:tblStyleRowBandSize w:val="1"/>
      <w:tblStyleColBandSize w:val="1"/>
    </w:tblPr>
    <w:tcPr>
      <w:shd w:val="clear" w:color="auto" w:fill="FAD3D8" w:themeFill="accent6" w:themeFillTint="33"/>
    </w:tc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3">
    <w:name w:val="Grid Table 3"/>
    <w:basedOn w:val="TableNormal"/>
    <w:uiPriority w:val="48"/>
    <w:rsid w:val="004A0DFE"/>
    <w:tblPr>
      <w:tblStyleRowBandSize w:val="1"/>
      <w:tblStyleColBandSize w:val="1"/>
    </w:tblPr>
    <w:tcPr>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Pr>
    <w:tcPr>
      <w:shd w:val="clear" w:color="auto" w:fill="DACDED" w:themeFill="accen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Pr>
    <w:tcPr>
      <w:shd w:val="clear" w:color="auto" w:fill="F4F2EF" w:themeFill="accent2"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Pr>
    <w:tcPr>
      <w:shd w:val="clear" w:color="auto" w:fill="BDF9FF" w:themeFill="accent3"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Pr>
    <w:tcPr>
      <w:shd w:val="clear" w:color="auto" w:fill="FFE4D2" w:themeFill="accent4"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Pr>
    <w:tcPr>
      <w:shd w:val="clear" w:color="auto" w:fill="EAF7D6" w:themeFill="accent5"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Pr>
    <w:tcPr>
      <w:shd w:val="clear" w:color="auto" w:fill="FAD3D8" w:themeFill="accent6"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Pr>
    <w:tcPr>
      <w:tcBorders>
        <w:top w:val="double" w:sz="4" w:space="0" w:color="000000" w:themeColor="text1"/>
      </w:tcBorders>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StylePr>
    <w:tblStylePr w:type="firstCol">
      <w:rPr>
        <w:b/>
        <w:bCs/>
      </w:rPr>
    </w:tblStylePr>
    <w:tblStylePr w:type="lastCol">
      <w:rPr>
        <w:b/>
        <w:bCs/>
      </w:rPr>
    </w:tblStylePr>
  </w:style>
  <w:style w:type="table" w:styleId="GridTable4-Accent1">
    <w:name w:val="Grid Table 4 Accent 1"/>
    <w:basedOn w:val="TableNormal"/>
    <w:uiPriority w:val="49"/>
    <w:rsid w:val="004A0DFE"/>
    <w:tblPr>
      <w:tblStyleRowBandSize w:val="1"/>
      <w:tblStyleColBandSize w:val="1"/>
    </w:tblPr>
    <w:tcPr>
      <w:tcBorders>
        <w:top w:val="double" w:sz="4" w:space="0" w:color="4F2D7F" w:themeColor="accent1"/>
      </w:tcBorders>
      <w:shd w:val="clear" w:color="auto" w:fill="DACDED" w:themeFill="accent1" w:themeFillTint="33"/>
    </w:tc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StylePr>
    <w:tblStylePr w:type="firstCol">
      <w:rPr>
        <w:b/>
        <w:bCs/>
      </w:rPr>
    </w:tblStylePr>
    <w:tblStylePr w:type="lastCol">
      <w:rPr>
        <w:b/>
        <w:bCs/>
      </w:rPr>
    </w:tblStylePr>
  </w:style>
  <w:style w:type="table" w:styleId="GridTable4-Accent2">
    <w:name w:val="Grid Table 4 Accent 2"/>
    <w:basedOn w:val="TableNormal"/>
    <w:uiPriority w:val="49"/>
    <w:rsid w:val="004A0DFE"/>
    <w:tblPr>
      <w:tblStyleRowBandSize w:val="1"/>
      <w:tblStyleColBandSize w:val="1"/>
    </w:tblPr>
    <w:tcPr>
      <w:tcBorders>
        <w:top w:val="double" w:sz="4" w:space="0" w:color="C8BEAF" w:themeColor="accent2"/>
      </w:tcBorders>
      <w:shd w:val="clear" w:color="auto" w:fill="F4F2EF" w:themeFill="accent2" w:themeFillTint="33"/>
    </w:tc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StylePr>
    <w:tblStylePr w:type="firstCol">
      <w:rPr>
        <w:b/>
        <w:bCs/>
      </w:rPr>
    </w:tblStylePr>
    <w:tblStylePr w:type="lastCol">
      <w:rPr>
        <w:b/>
        <w:bCs/>
      </w:rPr>
    </w:tblStylePr>
  </w:style>
  <w:style w:type="table" w:styleId="GridTable4-Accent3">
    <w:name w:val="Grid Table 4 Accent 3"/>
    <w:basedOn w:val="TableNormal"/>
    <w:uiPriority w:val="49"/>
    <w:rsid w:val="004A0DFE"/>
    <w:tblPr>
      <w:tblStyleRowBandSize w:val="1"/>
      <w:tblStyleColBandSize w:val="1"/>
    </w:tblPr>
    <w:tcPr>
      <w:tcBorders>
        <w:top w:val="double" w:sz="4" w:space="0" w:color="00A7B5" w:themeColor="accent3"/>
      </w:tcBorders>
      <w:shd w:val="clear" w:color="auto" w:fill="BDF9FF" w:themeFill="accent3" w:themeFillTint="33"/>
    </w:tc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StylePr>
    <w:tblStylePr w:type="firstCol">
      <w:rPr>
        <w:b/>
        <w:bCs/>
      </w:rPr>
    </w:tblStylePr>
    <w:tblStylePr w:type="lastCol">
      <w:rPr>
        <w:b/>
        <w:bCs/>
      </w:rPr>
    </w:tblStylePr>
  </w:style>
  <w:style w:type="table" w:styleId="GridTable4-Accent4">
    <w:name w:val="Grid Table 4 Accent 4"/>
    <w:basedOn w:val="TableNormal"/>
    <w:uiPriority w:val="49"/>
    <w:rsid w:val="004A0DFE"/>
    <w:tblPr>
      <w:tblStyleRowBandSize w:val="1"/>
      <w:tblStyleColBandSize w:val="1"/>
    </w:tblPr>
    <w:tcPr>
      <w:tcBorders>
        <w:top w:val="double" w:sz="4" w:space="0" w:color="FF7D1E" w:themeColor="accent4"/>
      </w:tcBorders>
      <w:shd w:val="clear" w:color="auto" w:fill="FFE4D2" w:themeFill="accent4" w:themeFillTint="33"/>
    </w:tc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StylePr>
    <w:tblStylePr w:type="firstCol">
      <w:rPr>
        <w:b/>
        <w:bCs/>
      </w:rPr>
    </w:tblStylePr>
    <w:tblStylePr w:type="lastCol">
      <w:rPr>
        <w:b/>
        <w:bCs/>
      </w:rPr>
    </w:tblStylePr>
  </w:style>
  <w:style w:type="table" w:styleId="GridTable4-Accent5">
    <w:name w:val="Grid Table 4 Accent 5"/>
    <w:basedOn w:val="TableNormal"/>
    <w:uiPriority w:val="49"/>
    <w:rsid w:val="004A0DFE"/>
    <w:tblPr>
      <w:tblStyleRowBandSize w:val="1"/>
      <w:tblStyleColBandSize w:val="1"/>
    </w:tblPr>
    <w:tcPr>
      <w:tcBorders>
        <w:top w:val="double" w:sz="4" w:space="0" w:color="9BD732" w:themeColor="accent5"/>
      </w:tcBorders>
      <w:shd w:val="clear" w:color="auto" w:fill="EAF7D6" w:themeFill="accent5" w:themeFillTint="33"/>
    </w:tc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StylePr>
    <w:tblStylePr w:type="firstCol">
      <w:rPr>
        <w:b/>
        <w:bCs/>
      </w:rPr>
    </w:tblStylePr>
    <w:tblStylePr w:type="lastCol">
      <w:rPr>
        <w:b/>
        <w:bCs/>
      </w:rPr>
    </w:tblStylePr>
  </w:style>
  <w:style w:type="table" w:styleId="GridTable4-Accent6">
    <w:name w:val="Grid Table 4 Accent 6"/>
    <w:basedOn w:val="TableNormal"/>
    <w:uiPriority w:val="49"/>
    <w:rsid w:val="004A0DFE"/>
    <w:tblPr>
      <w:tblStyleRowBandSize w:val="1"/>
      <w:tblStyleColBandSize w:val="1"/>
    </w:tblPr>
    <w:tcPr>
      <w:tcBorders>
        <w:top w:val="double" w:sz="4" w:space="0" w:color="E92841" w:themeColor="accent6"/>
      </w:tcBorders>
      <w:shd w:val="clear" w:color="auto" w:fill="FAD3D8" w:themeFill="accent6" w:themeFillTint="33"/>
    </w:tc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StylePr>
    <w:tblStylePr w:type="firstCol">
      <w:rPr>
        <w:b/>
        <w:bCs/>
      </w:rPr>
    </w:tblStylePr>
    <w:tblStylePr w:type="lastCol">
      <w:rPr>
        <w:b/>
        <w:bCs/>
      </w:rPr>
    </w:tblStylePr>
  </w:style>
  <w:style w:type="table" w:styleId="GridTable5Dark">
    <w:name w:val="Grid Table 5 Dark"/>
    <w:basedOn w:val="TableNormal"/>
    <w:uiPriority w:val="50"/>
    <w:rsid w:val="004A0DFE"/>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style>
  <w:style w:type="table" w:styleId="LightList-Accent1">
    <w:name w:val="Light List Accent 1"/>
    <w:basedOn w:val="TableNormal"/>
    <w:uiPriority w:val="61"/>
    <w:semiHidden/>
    <w:unhideWhenUsed/>
    <w:rsid w:val="004A0DFE"/>
    <w:tblPr>
      <w:tblStyleRowBandSize w:val="1"/>
      <w:tblStyleColBandSize w:val="1"/>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style>
  <w:style w:type="table" w:styleId="LightList-Accent2">
    <w:name w:val="Light List Accent 2"/>
    <w:basedOn w:val="TableNormal"/>
    <w:uiPriority w:val="61"/>
    <w:semiHidden/>
    <w:unhideWhenUsed/>
    <w:rsid w:val="004A0DFE"/>
    <w:tblPr>
      <w:tblStyleRowBandSize w:val="1"/>
      <w:tblStyleColBandSize w:val="1"/>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style>
  <w:style w:type="table" w:styleId="LightList-Accent3">
    <w:name w:val="Light List Accent 3"/>
    <w:basedOn w:val="TableNormal"/>
    <w:uiPriority w:val="61"/>
    <w:semiHidden/>
    <w:unhideWhenUsed/>
    <w:rsid w:val="004A0DFE"/>
    <w:tblPr>
      <w:tblStyleRowBandSize w:val="1"/>
      <w:tblStyleColBandSize w:val="1"/>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style>
  <w:style w:type="table" w:styleId="LightList-Accent4">
    <w:name w:val="Light List Accent 4"/>
    <w:basedOn w:val="TableNormal"/>
    <w:uiPriority w:val="61"/>
    <w:semiHidden/>
    <w:unhideWhenUsed/>
    <w:rsid w:val="004A0DFE"/>
    <w:tblPr>
      <w:tblStyleRowBandSize w:val="1"/>
      <w:tblStyleColBandSize w:val="1"/>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style>
  <w:style w:type="table" w:styleId="LightList-Accent5">
    <w:name w:val="Light List Accent 5"/>
    <w:basedOn w:val="TableNormal"/>
    <w:uiPriority w:val="61"/>
    <w:semiHidden/>
    <w:unhideWhenUsed/>
    <w:rsid w:val="004A0DFE"/>
    <w:tblPr>
      <w:tblStyleRowBandSize w:val="1"/>
      <w:tblStyleColBandSize w:val="1"/>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style>
  <w:style w:type="table" w:styleId="LightList-Accent6">
    <w:name w:val="Light List Accent 6"/>
    <w:basedOn w:val="TableNormal"/>
    <w:uiPriority w:val="61"/>
    <w:semiHidden/>
    <w:unhideWhenUsed/>
    <w:rsid w:val="004A0DFE"/>
    <w:tblPr>
      <w:tblStyleRowBandSize w:val="1"/>
      <w:tblStyleColBandSize w:val="1"/>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Pr>
    <w:tcPr>
      <w:shd w:val="clear" w:color="auto" w:fill="CCCCCC" w:themeFill="tex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1">
    <w:name w:val="List Table 2 Accent 1"/>
    <w:basedOn w:val="TableNormal"/>
    <w:uiPriority w:val="47"/>
    <w:rsid w:val="004A0DFE"/>
    <w:tblPr>
      <w:tblStyleRowBandSize w:val="1"/>
      <w:tblStyleColBandSize w:val="1"/>
    </w:tblPr>
    <w:tcPr>
      <w:shd w:val="clear" w:color="auto" w:fill="DACDED" w:themeFill="accen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2">
    <w:name w:val="List Table 2 Accent 2"/>
    <w:basedOn w:val="TableNormal"/>
    <w:uiPriority w:val="47"/>
    <w:rsid w:val="004A0DFE"/>
    <w:tblPr>
      <w:tblStyleRowBandSize w:val="1"/>
      <w:tblStyleColBandSize w:val="1"/>
    </w:tblPr>
    <w:tcPr>
      <w:shd w:val="clear" w:color="auto" w:fill="F4F2EF" w:themeFill="accent2"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3">
    <w:name w:val="List Table 2 Accent 3"/>
    <w:basedOn w:val="TableNormal"/>
    <w:uiPriority w:val="47"/>
    <w:rsid w:val="004A0DFE"/>
    <w:tblPr>
      <w:tblStyleRowBandSize w:val="1"/>
      <w:tblStyleColBandSize w:val="1"/>
    </w:tblPr>
    <w:tcPr>
      <w:shd w:val="clear" w:color="auto" w:fill="BDF9FF" w:themeFill="accent3"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4">
    <w:name w:val="List Table 2 Accent 4"/>
    <w:basedOn w:val="TableNormal"/>
    <w:uiPriority w:val="47"/>
    <w:rsid w:val="004A0DFE"/>
    <w:tblPr>
      <w:tblStyleRowBandSize w:val="1"/>
      <w:tblStyleColBandSize w:val="1"/>
    </w:tblPr>
    <w:tcPr>
      <w:shd w:val="clear" w:color="auto" w:fill="FFE4D2" w:themeFill="accent4"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5">
    <w:name w:val="List Table 2 Accent 5"/>
    <w:basedOn w:val="TableNormal"/>
    <w:uiPriority w:val="47"/>
    <w:rsid w:val="004A0DFE"/>
    <w:tblPr>
      <w:tblStyleRowBandSize w:val="1"/>
      <w:tblStyleColBandSize w:val="1"/>
    </w:tblPr>
    <w:tcPr>
      <w:shd w:val="clear" w:color="auto" w:fill="EAF7D6" w:themeFill="accent5"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6">
    <w:name w:val="List Table 2 Accent 6"/>
    <w:basedOn w:val="TableNormal"/>
    <w:uiPriority w:val="47"/>
    <w:rsid w:val="004A0DFE"/>
    <w:tblPr>
      <w:tblStyleRowBandSize w:val="1"/>
      <w:tblStyleColBandSize w:val="1"/>
    </w:tblPr>
    <w:tcPr>
      <w:shd w:val="clear" w:color="auto" w:fill="FAD3D8" w:themeFill="accent6"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cPr>
      <w:tcBorders>
        <w:left w:val="single" w:sz="4" w:space="0" w:color="000000" w:themeColor="text1"/>
      </w:tcBorders>
      <w:shd w:val="clear" w:color="auto" w:fill="CCCCCC" w:themeFill="text1" w:themeFillTint="33"/>
    </w:tc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cPr>
      <w:tcBorders>
        <w:left w:val="single" w:sz="4" w:space="0" w:color="4F2D7F" w:themeColor="accent1"/>
      </w:tcBorders>
      <w:shd w:val="clear" w:color="auto" w:fill="DACDED" w:themeFill="accent1" w:themeFillTint="33"/>
    </w:tc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cPr>
      <w:tcBorders>
        <w:left w:val="single" w:sz="4" w:space="0" w:color="C8BEAF" w:themeColor="accent2"/>
      </w:tcBorders>
      <w:shd w:val="clear" w:color="auto" w:fill="F4F2EF" w:themeFill="accent2" w:themeFillTint="33"/>
    </w:tc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cPr>
      <w:tcBorders>
        <w:left w:val="single" w:sz="4" w:space="0" w:color="00A7B5" w:themeColor="accent3"/>
      </w:tcBorders>
      <w:shd w:val="clear" w:color="auto" w:fill="BDF9FF" w:themeFill="accent3" w:themeFillTint="33"/>
    </w:tc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cPr>
      <w:tcBorders>
        <w:left w:val="single" w:sz="4" w:space="0" w:color="FF7D1E" w:themeColor="accent4"/>
      </w:tcBorders>
      <w:shd w:val="clear" w:color="auto" w:fill="FFE4D2" w:themeFill="accent4" w:themeFillTint="33"/>
    </w:tc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cPr>
      <w:tcBorders>
        <w:left w:val="single" w:sz="4" w:space="0" w:color="9BD732" w:themeColor="accent5"/>
      </w:tcBorders>
      <w:shd w:val="clear" w:color="auto" w:fill="EAF7D6" w:themeFill="accent5" w:themeFillTint="33"/>
    </w:tc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cPr>
      <w:tcBorders>
        <w:left w:val="single" w:sz="4" w:space="0" w:color="E92841" w:themeColor="accent6"/>
      </w:tcBorders>
      <w:shd w:val="clear" w:color="auto" w:fill="FAD3D8" w:themeFill="accent6" w:themeFillTint="33"/>
    </w:tc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Pr>
    <w:tcPr>
      <w:shd w:val="clear" w:color="auto" w:fill="C0C0C0" w:themeFill="text1" w:themeFillTint="3F"/>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Pr>
    <w:tcPr>
      <w:shd w:val="clear" w:color="auto" w:fill="D1C1E9" w:themeFill="accent1" w:themeFillTint="3F"/>
    </w:tc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Pr>
    <w:tcPr>
      <w:shd w:val="clear" w:color="auto" w:fill="F1EEEB" w:themeFill="accent2" w:themeFillTint="3F"/>
    </w:tc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Pr>
    <w:tcPr>
      <w:shd w:val="clear" w:color="auto" w:fill="ADF8FF" w:themeFill="accent3" w:themeFillTint="3F"/>
    </w:tc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Pr>
    <w:tcPr>
      <w:shd w:val="clear" w:color="auto" w:fill="FFDEC7" w:themeFill="accent4" w:themeFillTint="3F"/>
    </w:tc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Pr>
    <w:tcPr>
      <w:shd w:val="clear" w:color="auto" w:fill="E6F5CC" w:themeFill="accent5" w:themeFillTint="3F"/>
    </w:tc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Pr>
    <w:tcPr>
      <w:shd w:val="clear" w:color="auto" w:fill="F9C9CF" w:themeFill="accent6" w:themeFillTint="3F"/>
    </w:tc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Pr>
    <w:tcPr>
      <w:shd w:val="clear" w:color="auto" w:fill="C0C0C0" w:themeFill="text1" w:themeFillTint="3F"/>
    </w:tc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style>
  <w:style w:type="table" w:styleId="MediumShading1-Accent1">
    <w:name w:val="Medium Shading 1 Accent 1"/>
    <w:basedOn w:val="TableNormal"/>
    <w:uiPriority w:val="63"/>
    <w:semiHidden/>
    <w:unhideWhenUsed/>
    <w:rsid w:val="004A0DFE"/>
    <w:tblPr>
      <w:tblStyleRowBandSize w:val="1"/>
      <w:tblStyleColBandSize w:val="1"/>
    </w:tblPr>
    <w:tcPr>
      <w:shd w:val="clear" w:color="auto" w:fill="D1C1E9" w:themeFill="accent1" w:themeFillTint="3F"/>
    </w:tc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style>
  <w:style w:type="table" w:styleId="MediumShading1-Accent2">
    <w:name w:val="Medium Shading 1 Accent 2"/>
    <w:basedOn w:val="TableNormal"/>
    <w:uiPriority w:val="63"/>
    <w:semiHidden/>
    <w:unhideWhenUsed/>
    <w:rsid w:val="004A0DFE"/>
    <w:tblPr>
      <w:tblStyleRowBandSize w:val="1"/>
      <w:tblStyleColBandSize w:val="1"/>
    </w:tblPr>
    <w:tcPr>
      <w:shd w:val="clear" w:color="auto" w:fill="F1EEEB" w:themeFill="accent2" w:themeFillTint="3F"/>
    </w:tc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style>
  <w:style w:type="table" w:styleId="MediumShading1-Accent3">
    <w:name w:val="Medium Shading 1 Accent 3"/>
    <w:basedOn w:val="TableNormal"/>
    <w:uiPriority w:val="63"/>
    <w:semiHidden/>
    <w:unhideWhenUsed/>
    <w:rsid w:val="004A0DFE"/>
    <w:tblPr>
      <w:tblStyleRowBandSize w:val="1"/>
      <w:tblStyleColBandSize w:val="1"/>
    </w:tblPr>
    <w:tcPr>
      <w:shd w:val="clear" w:color="auto" w:fill="ADF8FF" w:themeFill="accent3" w:themeFillTint="3F"/>
    </w:tc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style>
  <w:style w:type="table" w:styleId="MediumShading1-Accent4">
    <w:name w:val="Medium Shading 1 Accent 4"/>
    <w:basedOn w:val="TableNormal"/>
    <w:uiPriority w:val="63"/>
    <w:semiHidden/>
    <w:unhideWhenUsed/>
    <w:rsid w:val="004A0DFE"/>
    <w:tblPr>
      <w:tblStyleRowBandSize w:val="1"/>
      <w:tblStyleColBandSize w:val="1"/>
    </w:tblPr>
    <w:tcPr>
      <w:shd w:val="clear" w:color="auto" w:fill="FFDEC7" w:themeFill="accent4" w:themeFillTint="3F"/>
    </w:tc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style>
  <w:style w:type="table" w:styleId="MediumShading1-Accent5">
    <w:name w:val="Medium Shading 1 Accent 5"/>
    <w:basedOn w:val="TableNormal"/>
    <w:uiPriority w:val="63"/>
    <w:semiHidden/>
    <w:unhideWhenUsed/>
    <w:rsid w:val="004A0DFE"/>
    <w:tblPr>
      <w:tblStyleRowBandSize w:val="1"/>
      <w:tblStyleColBandSize w:val="1"/>
    </w:tblPr>
    <w:tcPr>
      <w:shd w:val="clear" w:color="auto" w:fill="E6F5CC" w:themeFill="accent5" w:themeFillTint="3F"/>
    </w:tc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style>
  <w:style w:type="table" w:styleId="MediumShading1-Accent6">
    <w:name w:val="Medium Shading 1 Accent 6"/>
    <w:basedOn w:val="TableNormal"/>
    <w:uiPriority w:val="63"/>
    <w:semiHidden/>
    <w:unhideWhenUsed/>
    <w:rsid w:val="004A0DFE"/>
    <w:tblPr>
      <w:tblStyleRowBandSize w:val="1"/>
      <w:tblStyleColBandSize w:val="1"/>
    </w:tblPr>
    <w:tcPr>
      <w:shd w:val="clear" w:color="auto" w:fill="F9C9CF" w:themeFill="accent6" w:themeFillTint="3F"/>
    </w:tc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style>
  <w:style w:type="table" w:styleId="MediumShading2">
    <w:name w:val="Medium Shading 2"/>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style>
  <w:style w:type="table" w:styleId="PlainTable2">
    <w:name w:val="Plain Table 2"/>
    <w:basedOn w:val="TableNormal"/>
    <w:uiPriority w:val="42"/>
    <w:rsid w:val="004A0DFE"/>
    <w:tblPr>
      <w:tblStyleRowBandSize w:val="1"/>
      <w:tblStyleColBandSize w:val="1"/>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cPr>
      <w:tcBorders>
        <w:right w:val="single" w:sz="4" w:space="0" w:color="7F7F7F" w:themeColor="text1" w:themeTint="80"/>
      </w:tcBorders>
    </w:tc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Pr w:type="firstRow">
      <w:rPr>
        <w:b/>
        <w:bCs/>
      </w:rPr>
    </w:tblStylePr>
    <w:tblStylePr w:type="lastRow">
      <w:rPr>
        <w:b/>
        <w:bCs/>
      </w:rPr>
    </w:tblStylePr>
    <w:tblStylePr w:type="firstCol">
      <w:rPr>
        <w:b/>
        <w:bCs/>
      </w:rPr>
    </w:tblStylePr>
    <w:tblStylePr w:type="lastCol">
      <w:rPr>
        <w:b/>
        <w:bCs/>
      </w:rPr>
    </w:tblStylePr>
  </w:style>
  <w:style w:type="table" w:styleId="PlainTable5">
    <w:name w:val="Plain Table 5"/>
    <w:basedOn w:val="TableNormal"/>
    <w:uiPriority w:val="45"/>
    <w:rsid w:val="004A0DFE"/>
    <w:tblPr>
      <w:tblStyleRowBandSize w:val="1"/>
      <w:tblStyleColBandSize w:val="1"/>
    </w:tblPr>
    <w:tcPr>
      <w:tcBorders>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tcBorders>
        <w:right w:val="single" w:sz="6" w:space="0" w:color="808080"/>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tcBorders>
        <w:bottom w:val="single" w:sz="6" w:space="0" w:color="FFFFFF"/>
        <w:right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StylePr>
    <w:tblStylePr w:type="band2Vert">
      <w:rPr>
        <w:color w:val="auto"/>
      </w:rPr>
      <w:tblPr/>
      <w:tcPr>
        <w:shd w:val="pct50" w:color="C0C0C0" w:fill="FFFFFF"/>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cPr>
      <w:tcBorders>
        <w:top w:val="single" w:sz="6" w:space="0" w:color="000000"/>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cPr>
      <w:tcBorders>
        <w:top w:val="single" w:sz="12" w:space="0" w:color="000000"/>
      </w:tcBorders>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StylePr>
    <w:tblStylePr w:type="firstCol">
      <w:rPr>
        <w:b/>
        <w:bCs/>
        <w:color w:val="000000"/>
      </w:rPr>
    </w:tblStylePr>
  </w:style>
  <w:style w:type="table" w:styleId="TableClassic4">
    <w:name w:val="Table Classic 4"/>
    <w:basedOn w:val="TableNormal"/>
    <w:semiHidden/>
    <w:unhideWhenUsed/>
    <w:rsid w:val="004A0DFE"/>
    <w:pPr>
      <w:spacing w:after="120" w:line="240" w:lineRule="atLeast"/>
    </w:pPr>
    <w:tblPr/>
    <w:tcPr>
      <w:tcBorders>
        <w:bottom w:val="single" w:sz="6" w:space="0" w:color="000000"/>
      </w:tcBorders>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StylePr>
    <w:tblStylePr w:type="firstCol">
      <w:rPr>
        <w:b/>
        <w:bCs/>
      </w:r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StylePr w:type="firstRow">
      <w:rPr>
        <w:b/>
        <w:bCs/>
        <w:i/>
        <w:iCs/>
      </w:rPr>
    </w:tblStylePr>
    <w:tblStylePr w:type="firstCol">
      <w:rPr>
        <w:b/>
        <w:bCs/>
        <w:i/>
        <w:iCs/>
      </w:rPr>
    </w:tblStylePr>
    <w:tblStylePr w:type="swCell">
      <w:rPr>
        <w:b/>
        <w:bCs/>
        <w:i w:val="0"/>
        <w:iCs w:val="0"/>
      </w:rPr>
    </w:tblStylePr>
  </w:style>
  <w:style w:type="table" w:styleId="TableColorful2">
    <w:name w:val="Table Colorful 2"/>
    <w:basedOn w:val="TableNormal"/>
    <w:semiHidden/>
    <w:unhideWhenUsed/>
    <w:rsid w:val="004A0DFE"/>
    <w:pPr>
      <w:spacing w:after="120" w:line="240" w:lineRule="atLeast"/>
    </w:pP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StylePr w:type="nwCell">
      <w:rPr>
        <w:b/>
        <w:bCs/>
        <w:color w:val="FFFFFF"/>
      </w:rPr>
    </w:tblStylePr>
  </w:style>
  <w:style w:type="table" w:styleId="TableColumns1">
    <w:name w:val="Table Columns 1"/>
    <w:basedOn w:val="TableNormal"/>
    <w:semiHidden/>
    <w:unhideWhenUsed/>
    <w:rsid w:val="004A0DFE"/>
    <w:pPr>
      <w:spacing w:after="120" w:line="240" w:lineRule="atLeast"/>
    </w:pPr>
    <w:rPr>
      <w:b/>
      <w:bCs/>
    </w:rPr>
    <w:tblPr>
      <w:tblStyleColBandSize w:val="1"/>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cPr>
      <w:shd w:val="pct10" w:color="000000" w:fill="FFFFFF"/>
    </w:tc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lumns5">
    <w:name w:val="Table Columns 5"/>
    <w:basedOn w:val="TableNormal"/>
    <w:semiHidden/>
    <w:unhideWhenUsed/>
    <w:rsid w:val="004A0DFE"/>
    <w:pPr>
      <w:spacing w:after="120" w:line="240" w:lineRule="atLeast"/>
    </w:p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Pr>
    <w:tcPr>
      <w:shd w:val="pct5" w:color="000000" w:fill="FFFFFF"/>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StylePr w:type="firstRow">
      <w:rPr>
        <w:caps/>
        <w:color w:val="auto"/>
      </w:rPr>
    </w:tblStylePr>
  </w:style>
  <w:style w:type="table" w:styleId="TableGrid1">
    <w:name w:val="Table Grid 1"/>
    <w:basedOn w:val="TableNormal"/>
    <w:semiHidden/>
    <w:unhideWhenUsed/>
    <w:rsid w:val="004A0DFE"/>
    <w:pPr>
      <w:spacing w:after="120" w:line="240" w:lineRule="atLeast"/>
    </w:pPr>
    <w:tblPr/>
    <w:tblStylePr w:type="lastRow">
      <w:rPr>
        <w:i/>
        <w:iCs/>
      </w:rPr>
    </w:tblStylePr>
    <w:tblStylePr w:type="lastCol">
      <w:rPr>
        <w:i/>
        <w:iCs/>
      </w:rPr>
    </w:tblStylePr>
  </w:style>
  <w:style w:type="table" w:styleId="TableGrid2">
    <w:name w:val="Table Grid 2"/>
    <w:basedOn w:val="TableNormal"/>
    <w:semiHidden/>
    <w:unhideWhenUsed/>
    <w:rsid w:val="004A0DFE"/>
    <w:pPr>
      <w:spacing w:after="120" w:line="240" w:lineRule="atLeast"/>
    </w:p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styleId="TableGrid3">
    <w:name w:val="Table Grid 3"/>
    <w:basedOn w:val="TableNormal"/>
    <w:semiHidden/>
    <w:unhideWhenUsed/>
    <w:rsid w:val="004A0DFE"/>
    <w:pPr>
      <w:spacing w:after="120" w:line="240" w:lineRule="atLeast"/>
    </w:p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StylePr>
  </w:style>
  <w:style w:type="table" w:styleId="TableGrid4">
    <w:name w:val="Table Grid 4"/>
    <w:basedOn w:val="TableNormal"/>
    <w:semiHidden/>
    <w:unhideWhenUsed/>
    <w:rsid w:val="004A0DFE"/>
    <w:pPr>
      <w:spacing w:after="120" w:line="240" w:lineRule="atLeast"/>
    </w:p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styleId="TableGrid5">
    <w:name w:val="Table Grid 5"/>
    <w:basedOn w:val="TableNormal"/>
    <w:semiHidden/>
    <w:unhideWhenUsed/>
    <w:rsid w:val="004A0DFE"/>
    <w:pPr>
      <w:spacing w:after="120" w:line="240" w:lineRule="atLeast"/>
    </w:pP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StylePr>
    <w:tblStylePr w:type="lastCol">
      <w:rPr>
        <w:b/>
        <w:bCs/>
      </w:r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StylePr>
  </w:style>
  <w:style w:type="table" w:styleId="TableGridLight">
    <w:name w:val="Grid Table Light"/>
    <w:basedOn w:val="TableNormal"/>
    <w:uiPriority w:val="40"/>
    <w:rsid w:val="004A0DFE"/>
    <w:tblPr/>
  </w:style>
  <w:style w:type="table" w:styleId="TableList1">
    <w:name w:val="Table List 1"/>
    <w:basedOn w:val="TableNormal"/>
    <w:semiHidden/>
    <w:unhideWhenUsed/>
    <w:rsid w:val="004A0DFE"/>
    <w:pPr>
      <w:spacing w:after="120" w:line="240" w:lineRule="atLeast"/>
    </w:pPr>
    <w:tblPr>
      <w:tblStyleRowBandSize w:val="1"/>
    </w:tblPr>
    <w:tcPr>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Pr>
    <w:tcPr>
      <w:shd w:val="pct20" w:color="00FF00" w:fill="FFFFFF"/>
    </w:tc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StylePr w:type="firstRow">
      <w:rPr>
        <w:b/>
        <w:bCs/>
        <w:color w:val="FFFFFF"/>
      </w:rPr>
    </w:tblStylePr>
  </w:style>
  <w:style w:type="table" w:styleId="TableList5">
    <w:name w:val="Table List 5"/>
    <w:basedOn w:val="TableNormal"/>
    <w:semiHidden/>
    <w:unhideWhenUsed/>
    <w:rsid w:val="004A0DFE"/>
    <w:pPr>
      <w:spacing w:after="120" w:line="240" w:lineRule="atLeast"/>
    </w:pPr>
    <w:tblPr/>
    <w:tcPr>
      <w:tcBorders>
        <w:bottom w:val="single" w:sz="12" w:space="0" w:color="000000"/>
      </w:tcBorders>
      <w:shd w:val="clear" w:color="auto" w:fill="auto"/>
    </w:tcPr>
    <w:tblStylePr w:type="firstRow">
      <w:rPr>
        <w:b/>
        <w:bCs/>
      </w:rPr>
    </w:tblStylePr>
    <w:tblStylePr w:type="firstCol">
      <w:rPr>
        <w:b/>
        <w:bCs/>
      </w:rPr>
    </w:tblStylePr>
  </w:style>
  <w:style w:type="table" w:styleId="TableList6">
    <w:name w:val="Table List 6"/>
    <w:basedOn w:val="TableNormal"/>
    <w:semiHidden/>
    <w:unhideWhenUsed/>
    <w:rsid w:val="004A0DFE"/>
    <w:pPr>
      <w:spacing w:after="120" w:line="240" w:lineRule="atLeast"/>
    </w:pPr>
    <w:tblPr>
      <w:tblStyleRowBandSize w:val="1"/>
    </w:tblPr>
    <w:tcPr>
      <w:tcBorders>
        <w:right w:val="single" w:sz="12" w:space="0" w:color="000000"/>
      </w:tcBorders>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StylePr>
  </w:style>
  <w:style w:type="table" w:styleId="TableList7">
    <w:name w:val="Table List 7"/>
    <w:basedOn w:val="TableNormal"/>
    <w:semiHidden/>
    <w:unhideWhenUsed/>
    <w:rsid w:val="004A0DFE"/>
    <w:pPr>
      <w:spacing w:after="120" w:line="240" w:lineRule="atLeast"/>
    </w:pPr>
    <w:tblPr>
      <w:tblStyleRowBandSize w:val="1"/>
    </w:tblPr>
    <w:tcPr>
      <w:shd w:val="pct20" w:color="000000" w:fill="FFFFFF"/>
    </w:tc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style>
  <w:style w:type="table" w:styleId="TableList8">
    <w:name w:val="Table List 8"/>
    <w:basedOn w:val="TableNormal"/>
    <w:semiHidden/>
    <w:unhideWhenUsed/>
    <w:rsid w:val="004A0DFE"/>
    <w:pPr>
      <w:spacing w:after="120" w:line="240" w:lineRule="atLeast"/>
    </w:pPr>
    <w:tblPr>
      <w:tblStyleRowBandSize w:val="1"/>
    </w:tblPr>
    <w:tcPr>
      <w:shd w:val="pct25" w:color="FFFF00" w:fill="FFFFFF"/>
    </w:tc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cPr>
      <w:shd w:val="clear" w:color="auto" w:fill="auto"/>
    </w:tcPr>
    <w:tblStylePr w:type="firstRow">
      <w:rPr>
        <w:b/>
        <w:bCs/>
        <w:color w:val="auto"/>
      </w:rPr>
    </w:tblStylePr>
  </w:style>
  <w:style w:type="table" w:styleId="TableSimple1">
    <w:name w:val="Table Simple 1"/>
    <w:basedOn w:val="TableNormal"/>
    <w:semiHidden/>
    <w:unhideWhenUsed/>
    <w:rsid w:val="004A0DFE"/>
    <w:pPr>
      <w:spacing w:after="120" w:line="240" w:lineRule="atLeast"/>
    </w:pP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cPr>
      <w:tcBorders>
        <w:bottom w:val="single" w:sz="6" w:space="0" w:color="000000"/>
      </w:tcBorders>
      <w:shd w:val="pct25" w:color="808000" w:fill="FFFFFF"/>
    </w:tc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cPr>
      <w:tcBorders>
        <w:left w:val="single" w:sz="12" w:space="0" w:color="000000"/>
        <w:righ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style>
  <w:style w:type="table" w:styleId="TableWeb1">
    <w:name w:val="Table Web 1"/>
    <w:basedOn w:val="TableNormal"/>
    <w:semiHidden/>
    <w:unhideWhenUsed/>
    <w:rsid w:val="004A0DFE"/>
    <w:pPr>
      <w:spacing w:after="120" w:line="240" w:lineRule="atLeast"/>
    </w:pPr>
    <w:tblPr/>
    <w:tblStylePr w:type="firstRow">
      <w:rPr>
        <w:color w:val="auto"/>
      </w:rPr>
    </w:tblStylePr>
  </w:style>
  <w:style w:type="table" w:styleId="TableWeb2">
    <w:name w:val="Table Web 2"/>
    <w:basedOn w:val="TableNormal"/>
    <w:semiHidden/>
    <w:unhideWhenUsed/>
    <w:rsid w:val="004A0DFE"/>
    <w:pPr>
      <w:spacing w:after="120" w:line="240" w:lineRule="atLeast"/>
    </w:pPr>
    <w:tblPr/>
    <w:tblStylePr w:type="firstRow">
      <w:rPr>
        <w:color w:val="auto"/>
      </w:rPr>
    </w:tblStylePr>
  </w:style>
  <w:style w:type="table" w:styleId="TableWeb3">
    <w:name w:val="Table Web 3"/>
    <w:basedOn w:val="TableNormal"/>
    <w:semiHidden/>
    <w:unhideWhenUsed/>
    <w:rsid w:val="004A0DFE"/>
    <w:pPr>
      <w:spacing w:after="120" w:line="240" w:lineRule="atLeast"/>
    </w:pPr>
    <w:tblPr/>
    <w:tblStylePr w:type="firstRow">
      <w:rPr>
        <w:color w:val="auto"/>
      </w:r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34598607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12B13A4F38D74F97AB9F07E65AEB6E" ma:contentTypeVersion="3" ma:contentTypeDescription="Create a new document." ma:contentTypeScope="" ma:versionID="f413a6335a949acf9c14c19b1cb73d7a">
  <xsd:schema xmlns:xsd="http://www.w3.org/2001/XMLSchema" xmlns:xs="http://www.w3.org/2001/XMLSchema" xmlns:p="http://schemas.microsoft.com/office/2006/metadata/properties" xmlns:ns2="5aa06a3a-4414-4580-8afb-31ad53db1831" targetNamespace="http://schemas.microsoft.com/office/2006/metadata/properties" ma:root="true" ma:fieldsID="90a171109d4d550547030ede45cdf548" ns2:_="">
    <xsd:import namespace="5aa06a3a-4414-4580-8afb-31ad53db18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06a3a-4414-4580-8afb-31ad53db18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53B777-41FA-4F25-A40C-5CDC17028E5F}">
  <ds:schemaRefs>
    <ds:schemaRef ds:uri="http://schemas.microsoft.com/sharepoint/v3/contenttype/forms"/>
  </ds:schemaRefs>
</ds:datastoreItem>
</file>

<file path=customXml/itemProps2.xml><?xml version="1.0" encoding="utf-8"?>
<ds:datastoreItem xmlns:ds="http://schemas.openxmlformats.org/officeDocument/2006/customXml" ds:itemID="{63977673-C2FF-4C09-ACC3-3A87B3299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06a3a-4414-4580-8afb-31ad53db1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C4099B-B4E2-4227-A11F-722314119A61}">
  <ds:schemaRefs>
    <ds:schemaRef ds:uri="http://schemas.openxmlformats.org/officeDocument/2006/bibliography"/>
  </ds:schemaRefs>
</ds:datastoreItem>
</file>

<file path=customXml/itemProps4.xml><?xml version="1.0" encoding="utf-8"?>
<ds:datastoreItem xmlns:ds="http://schemas.openxmlformats.org/officeDocument/2006/customXml" ds:itemID="{3845FC78-A264-4DD8-BC03-A4D7E7352E2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Letter_GTSL.dotm</Template>
  <TotalTime>236</TotalTime>
  <Pages>2</Pages>
  <Words>572</Words>
  <Characters>3371</Characters>
  <Application>Microsoft Office Word</Application>
  <DocSecurity>0</DocSecurity>
  <Lines>74</Lines>
  <Paragraphs>18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337</cp:revision>
  <cp:lastPrinted>2025-11-14T09:56:00Z</cp:lastPrinted>
  <dcterms:created xsi:type="dcterms:W3CDTF">2018-03-22T09:09:00Z</dcterms:created>
  <dcterms:modified xsi:type="dcterms:W3CDTF">2025-11-14T11:21:00Z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0x010100EF12B13A4F38D74F97AB9F07E65AEB6E</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